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F3ED" w14:textId="32285D9B" w:rsidR="00600BA1" w:rsidRPr="003D5C0C" w:rsidRDefault="00600BA1" w:rsidP="006633FA">
      <w:pPr>
        <w:spacing w:line="480" w:lineRule="auto"/>
        <w:jc w:val="both"/>
        <w:rPr>
          <w:rFonts w:ascii="Arial" w:hAnsi="Arial" w:cs="Arial"/>
          <w:b/>
          <w:bCs/>
          <w:color w:val="000000" w:themeColor="text1"/>
          <w:sz w:val="32"/>
          <w:szCs w:val="32"/>
        </w:rPr>
      </w:pPr>
      <w:bookmarkStart w:id="0" w:name="_GoBack"/>
      <w:bookmarkEnd w:id="0"/>
      <w:r w:rsidRPr="003D5C0C">
        <w:rPr>
          <w:rFonts w:ascii="Arial" w:hAnsi="Arial" w:cs="Arial"/>
          <w:b/>
          <w:bCs/>
          <w:color w:val="000000" w:themeColor="text1"/>
          <w:sz w:val="32"/>
          <w:szCs w:val="32"/>
        </w:rPr>
        <w:t xml:space="preserve">Exception </w:t>
      </w:r>
      <w:r w:rsidR="00EB3E8E" w:rsidRPr="003D5C0C">
        <w:rPr>
          <w:rFonts w:ascii="Arial" w:hAnsi="Arial" w:cs="Arial"/>
          <w:b/>
          <w:bCs/>
          <w:color w:val="000000" w:themeColor="text1"/>
          <w:sz w:val="32"/>
          <w:szCs w:val="32"/>
        </w:rPr>
        <w:t>and</w:t>
      </w:r>
      <w:r w:rsidR="00615927" w:rsidRPr="003D5C0C">
        <w:rPr>
          <w:rFonts w:ascii="Arial" w:hAnsi="Arial" w:cs="Arial"/>
          <w:b/>
          <w:bCs/>
          <w:color w:val="000000" w:themeColor="text1"/>
          <w:sz w:val="32"/>
          <w:szCs w:val="32"/>
        </w:rPr>
        <w:t xml:space="preserve"> </w:t>
      </w:r>
      <w:r w:rsidRPr="003D5C0C">
        <w:rPr>
          <w:rFonts w:ascii="Arial" w:hAnsi="Arial" w:cs="Arial"/>
          <w:b/>
          <w:bCs/>
          <w:color w:val="000000" w:themeColor="text1"/>
          <w:sz w:val="32"/>
          <w:szCs w:val="32"/>
        </w:rPr>
        <w:t>rule</w:t>
      </w:r>
      <w:r w:rsidR="00EB3E8E" w:rsidRPr="003D5C0C">
        <w:rPr>
          <w:rFonts w:ascii="Arial" w:hAnsi="Arial" w:cs="Arial"/>
          <w:b/>
          <w:bCs/>
          <w:color w:val="000000" w:themeColor="text1"/>
          <w:sz w:val="32"/>
          <w:szCs w:val="32"/>
        </w:rPr>
        <w:t>:</w:t>
      </w:r>
      <w:r w:rsidRPr="003D5C0C">
        <w:rPr>
          <w:rFonts w:ascii="Arial" w:hAnsi="Arial" w:cs="Arial"/>
          <w:b/>
          <w:bCs/>
          <w:color w:val="000000" w:themeColor="text1"/>
          <w:sz w:val="32"/>
          <w:szCs w:val="32"/>
        </w:rPr>
        <w:t xml:space="preserve"> </w:t>
      </w:r>
      <w:r w:rsidR="003E49DF" w:rsidRPr="003D5C0C">
        <w:rPr>
          <w:rFonts w:ascii="Arial" w:hAnsi="Arial" w:cs="Arial"/>
          <w:b/>
          <w:bCs/>
          <w:color w:val="000000" w:themeColor="text1"/>
          <w:sz w:val="32"/>
          <w:szCs w:val="32"/>
        </w:rPr>
        <w:t xml:space="preserve">how the </w:t>
      </w:r>
      <w:r w:rsidRPr="003D5C0C">
        <w:rPr>
          <w:rFonts w:ascii="Arial" w:hAnsi="Arial" w:cs="Arial"/>
          <w:b/>
          <w:bCs/>
          <w:color w:val="000000" w:themeColor="text1"/>
          <w:sz w:val="32"/>
          <w:szCs w:val="32"/>
        </w:rPr>
        <w:t>‘Standard Method’</w:t>
      </w:r>
      <w:r w:rsidR="003E49DF" w:rsidRPr="003D5C0C">
        <w:rPr>
          <w:rFonts w:ascii="Arial" w:hAnsi="Arial" w:cs="Arial"/>
          <w:b/>
          <w:bCs/>
          <w:color w:val="000000" w:themeColor="text1"/>
          <w:sz w:val="32"/>
          <w:szCs w:val="32"/>
        </w:rPr>
        <w:t xml:space="preserve"> fails to govern England’s housing requirement </w:t>
      </w:r>
      <w:r w:rsidRPr="003D5C0C">
        <w:rPr>
          <w:rFonts w:ascii="Arial" w:hAnsi="Arial" w:cs="Arial"/>
          <w:b/>
          <w:bCs/>
          <w:color w:val="000000" w:themeColor="text1"/>
          <w:sz w:val="32"/>
          <w:szCs w:val="32"/>
        </w:rPr>
        <w:t xml:space="preserve"> </w:t>
      </w:r>
    </w:p>
    <w:p w14:paraId="51E6900A" w14:textId="77777777" w:rsidR="001C4936" w:rsidRDefault="001C4936" w:rsidP="006633FA">
      <w:pPr>
        <w:spacing w:line="480" w:lineRule="auto"/>
        <w:jc w:val="both"/>
        <w:rPr>
          <w:rFonts w:ascii="Arial" w:hAnsi="Arial" w:cs="Arial"/>
          <w:b/>
          <w:bCs/>
          <w:color w:val="000000" w:themeColor="text1"/>
          <w:sz w:val="28"/>
          <w:szCs w:val="28"/>
        </w:rPr>
      </w:pPr>
    </w:p>
    <w:p w14:paraId="2A8AF518" w14:textId="31422733" w:rsidR="001F01CD" w:rsidRPr="003D5C0C" w:rsidRDefault="001F01CD" w:rsidP="006633FA">
      <w:pPr>
        <w:spacing w:line="480" w:lineRule="auto"/>
        <w:jc w:val="both"/>
        <w:rPr>
          <w:rFonts w:ascii="Arial" w:hAnsi="Arial" w:cs="Arial"/>
          <w:b/>
          <w:bCs/>
          <w:color w:val="000000" w:themeColor="text1"/>
          <w:sz w:val="28"/>
          <w:szCs w:val="28"/>
        </w:rPr>
      </w:pPr>
      <w:r w:rsidRPr="003D5C0C">
        <w:rPr>
          <w:rFonts w:ascii="Arial" w:hAnsi="Arial" w:cs="Arial"/>
          <w:b/>
          <w:bCs/>
          <w:color w:val="000000" w:themeColor="text1"/>
          <w:sz w:val="28"/>
          <w:szCs w:val="28"/>
        </w:rPr>
        <w:t>Introduction</w:t>
      </w:r>
    </w:p>
    <w:p w14:paraId="2FE954D7" w14:textId="21A91614" w:rsidR="001F01CD" w:rsidRPr="003D5C0C" w:rsidRDefault="001F01CD" w:rsidP="006633FA">
      <w:pPr>
        <w:spacing w:after="160" w:line="480" w:lineRule="auto"/>
        <w:contextualSpacing/>
        <w:jc w:val="both"/>
        <w:rPr>
          <w:rFonts w:ascii="Arial" w:hAnsi="Arial" w:cs="Arial"/>
          <w:color w:val="000000" w:themeColor="text1"/>
        </w:rPr>
      </w:pPr>
      <w:r w:rsidRPr="003D5C0C">
        <w:rPr>
          <w:rFonts w:ascii="Arial" w:hAnsi="Arial" w:cs="Arial"/>
          <w:color w:val="000000" w:themeColor="text1"/>
        </w:rPr>
        <w:t xml:space="preserve">There is a growing literature on </w:t>
      </w:r>
      <w:r w:rsidR="00BC62BE">
        <w:rPr>
          <w:rFonts w:ascii="Arial" w:hAnsi="Arial" w:cs="Arial"/>
          <w:color w:val="000000" w:themeColor="text1"/>
        </w:rPr>
        <w:t xml:space="preserve">the </w:t>
      </w:r>
      <w:r w:rsidRPr="003D5C0C">
        <w:rPr>
          <w:rFonts w:ascii="Arial" w:hAnsi="Arial" w:cs="Arial"/>
          <w:color w:val="000000" w:themeColor="text1"/>
        </w:rPr>
        <w:t xml:space="preserve">calculative practices that underpin how </w:t>
      </w:r>
      <w:r w:rsidR="005A63E7">
        <w:rPr>
          <w:rFonts w:ascii="Arial" w:hAnsi="Arial" w:cs="Arial"/>
          <w:color w:val="000000" w:themeColor="text1"/>
        </w:rPr>
        <w:t xml:space="preserve">various </w:t>
      </w:r>
      <w:r w:rsidRPr="003D5C0C">
        <w:rPr>
          <w:rFonts w:ascii="Arial" w:hAnsi="Arial" w:cs="Arial"/>
          <w:color w:val="000000" w:themeColor="text1"/>
        </w:rPr>
        <w:t xml:space="preserve">governments seek to control housing supply through the assessment of </w:t>
      </w:r>
      <w:r w:rsidR="00BC62BE">
        <w:rPr>
          <w:rFonts w:ascii="Arial" w:hAnsi="Arial" w:cs="Arial"/>
          <w:color w:val="000000" w:themeColor="text1"/>
        </w:rPr>
        <w:t xml:space="preserve">a </w:t>
      </w:r>
      <w:r w:rsidRPr="003D5C0C">
        <w:rPr>
          <w:rFonts w:ascii="Arial" w:hAnsi="Arial" w:cs="Arial"/>
          <w:color w:val="000000" w:themeColor="text1"/>
        </w:rPr>
        <w:t xml:space="preserve">society’s housing requirements.  Important work in this regard can be found in some of the cities and nations where the related issues of housing unaffordability and under-supply have become a prominent political concern, including Australia, Canada and the USA (Li and Shan, 2020; Palm and Whitzman, 2020; Rowley et al., 2017).  </w:t>
      </w:r>
    </w:p>
    <w:p w14:paraId="25687BA6" w14:textId="77777777" w:rsidR="001F01CD" w:rsidRPr="003D5C0C" w:rsidRDefault="001F01CD" w:rsidP="006633FA">
      <w:pPr>
        <w:spacing w:after="160" w:line="480" w:lineRule="auto"/>
        <w:contextualSpacing/>
        <w:jc w:val="both"/>
        <w:rPr>
          <w:rFonts w:ascii="Arial" w:eastAsiaTheme="minorHAnsi" w:hAnsi="Arial" w:cs="Arial"/>
          <w:color w:val="000000" w:themeColor="text1"/>
          <w:lang w:eastAsia="en-US"/>
        </w:rPr>
      </w:pPr>
    </w:p>
    <w:p w14:paraId="345C43FB" w14:textId="07FB8D97" w:rsidR="001F01CD" w:rsidRPr="003D5C0C" w:rsidRDefault="005A63E7" w:rsidP="006633FA">
      <w:pPr>
        <w:spacing w:after="160" w:line="480" w:lineRule="auto"/>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A prime</w:t>
      </w:r>
      <w:r w:rsidR="001F01CD" w:rsidRPr="003D5C0C">
        <w:rPr>
          <w:rFonts w:ascii="Arial" w:eastAsiaTheme="minorHAnsi" w:hAnsi="Arial" w:cs="Arial"/>
          <w:color w:val="000000" w:themeColor="text1"/>
          <w:lang w:eastAsia="en-US"/>
        </w:rPr>
        <w:t xml:space="preserve"> example of a nation that has sought to use assessments of housing requirement to govern the supply of new dwellings is England.  The history of the English approach to understanding</w:t>
      </w:r>
      <w:r w:rsidR="00EB3E8E" w:rsidRPr="003D5C0C">
        <w:rPr>
          <w:rFonts w:ascii="Arial" w:eastAsiaTheme="minorHAnsi" w:hAnsi="Arial" w:cs="Arial"/>
          <w:color w:val="000000" w:themeColor="text1"/>
          <w:lang w:eastAsia="en-US"/>
        </w:rPr>
        <w:t xml:space="preserve"> variations between </w:t>
      </w:r>
      <w:r w:rsidR="001F01CD" w:rsidRPr="003D5C0C">
        <w:rPr>
          <w:rFonts w:ascii="Arial" w:eastAsiaTheme="minorHAnsi" w:hAnsi="Arial" w:cs="Arial"/>
          <w:color w:val="000000" w:themeColor="text1"/>
          <w:lang w:eastAsia="en-US"/>
        </w:rPr>
        <w:t xml:space="preserve">housing </w:t>
      </w:r>
      <w:r w:rsidR="00EB3E8E" w:rsidRPr="003D5C0C">
        <w:rPr>
          <w:rFonts w:ascii="Arial" w:eastAsiaTheme="minorHAnsi" w:hAnsi="Arial" w:cs="Arial"/>
          <w:color w:val="000000" w:themeColor="text1"/>
          <w:lang w:eastAsia="en-US"/>
        </w:rPr>
        <w:t xml:space="preserve">supply and </w:t>
      </w:r>
      <w:r w:rsidR="001F01CD" w:rsidRPr="003D5C0C">
        <w:rPr>
          <w:rFonts w:ascii="Arial" w:eastAsiaTheme="minorHAnsi" w:hAnsi="Arial" w:cs="Arial"/>
          <w:color w:val="000000" w:themeColor="text1"/>
          <w:lang w:eastAsia="en-US"/>
        </w:rPr>
        <w:t xml:space="preserve">requirement has been documented thoroughly (see for example, </w:t>
      </w:r>
      <w:r w:rsidR="00B574F7">
        <w:rPr>
          <w:rFonts w:ascii="Arial" w:eastAsiaTheme="minorHAnsi" w:hAnsi="Arial" w:cs="Arial"/>
          <w:color w:val="000000" w:themeColor="text1"/>
          <w:lang w:eastAsia="en-US"/>
        </w:rPr>
        <w:t xml:space="preserve">Bradley, 2020; </w:t>
      </w:r>
      <w:r w:rsidR="001F01CD" w:rsidRPr="003D5C0C">
        <w:rPr>
          <w:rFonts w:ascii="Arial" w:eastAsiaTheme="minorHAnsi" w:hAnsi="Arial" w:cs="Arial"/>
          <w:color w:val="000000" w:themeColor="text1"/>
          <w:lang w:eastAsia="en-US"/>
        </w:rPr>
        <w:t>Bramley, Karley and Watkins, 2005; Bramley et al., 2010; Bramley, 2012). However, it</w:t>
      </w:r>
      <w:r>
        <w:rPr>
          <w:rFonts w:ascii="Arial" w:eastAsiaTheme="minorHAnsi" w:hAnsi="Arial" w:cs="Arial"/>
          <w:color w:val="000000" w:themeColor="text1"/>
          <w:lang w:eastAsia="en-US"/>
        </w:rPr>
        <w:t xml:space="preserve"> is clear that </w:t>
      </w:r>
      <w:r w:rsidR="001F01CD" w:rsidRPr="003D5C0C">
        <w:rPr>
          <w:rFonts w:ascii="Arial" w:eastAsiaTheme="minorHAnsi" w:hAnsi="Arial" w:cs="Arial"/>
          <w:color w:val="000000" w:themeColor="text1"/>
          <w:lang w:eastAsia="en-US"/>
        </w:rPr>
        <w:t xml:space="preserve">despite </w:t>
      </w:r>
      <w:r>
        <w:rPr>
          <w:rFonts w:ascii="Arial" w:eastAsiaTheme="minorHAnsi" w:hAnsi="Arial" w:cs="Arial"/>
          <w:color w:val="000000" w:themeColor="text1"/>
          <w:lang w:eastAsia="en-US"/>
        </w:rPr>
        <w:t>various methods of assessing</w:t>
      </w:r>
      <w:r w:rsidR="001F01CD" w:rsidRPr="003D5C0C">
        <w:rPr>
          <w:rFonts w:ascii="Arial" w:eastAsiaTheme="minorHAnsi" w:hAnsi="Arial" w:cs="Arial"/>
          <w:color w:val="000000" w:themeColor="text1"/>
          <w:lang w:eastAsia="en-US"/>
        </w:rPr>
        <w:t xml:space="preserve"> housing requirement the gap between the supply of new dwellings and demand has remained significant.  The question, “why aren’t we building enough homes?” has now been posed by a wide range of industry </w:t>
      </w:r>
      <w:r w:rsidR="006252A4">
        <w:rPr>
          <w:rFonts w:ascii="Arial" w:eastAsiaTheme="minorHAnsi" w:hAnsi="Arial" w:cs="Arial"/>
          <w:color w:val="000000" w:themeColor="text1"/>
          <w:lang w:eastAsia="en-US"/>
        </w:rPr>
        <w:t xml:space="preserve">commentators </w:t>
      </w:r>
      <w:r w:rsidR="001F01CD" w:rsidRPr="003D5C0C">
        <w:rPr>
          <w:rFonts w:ascii="Arial" w:eastAsiaTheme="minorHAnsi" w:hAnsi="Arial" w:cs="Arial"/>
          <w:color w:val="000000" w:themeColor="text1"/>
          <w:lang w:eastAsia="en-US"/>
        </w:rPr>
        <w:t xml:space="preserve">(Bentley, 2016; Johnston, 2015; Hannah, 2017; Stokel-Walker, 2015; Morton, 2012; UK Construction Online, 2020) with </w:t>
      </w:r>
      <w:r w:rsidR="00EB3E8E" w:rsidRPr="003D5C0C">
        <w:rPr>
          <w:rFonts w:ascii="Arial" w:eastAsiaTheme="minorHAnsi" w:hAnsi="Arial" w:cs="Arial"/>
          <w:color w:val="000000" w:themeColor="text1"/>
          <w:lang w:eastAsia="en-US"/>
        </w:rPr>
        <w:t xml:space="preserve">little appreciable effect: </w:t>
      </w:r>
      <w:r w:rsidR="001F01CD" w:rsidRPr="003D5C0C">
        <w:rPr>
          <w:rFonts w:ascii="Arial" w:eastAsiaTheme="minorHAnsi" w:hAnsi="Arial" w:cs="Arial"/>
          <w:color w:val="000000" w:themeColor="text1"/>
          <w:lang w:eastAsia="en-US"/>
        </w:rPr>
        <w:t xml:space="preserve">the rate at which the supply of new homes has grown consistently </w:t>
      </w:r>
      <w:r w:rsidR="006252A4">
        <w:rPr>
          <w:rFonts w:ascii="Arial" w:eastAsiaTheme="minorHAnsi" w:hAnsi="Arial" w:cs="Arial"/>
          <w:color w:val="000000" w:themeColor="text1"/>
          <w:lang w:eastAsia="en-US"/>
        </w:rPr>
        <w:t xml:space="preserve">has consistently </w:t>
      </w:r>
      <w:r w:rsidR="001F01CD" w:rsidRPr="003D5C0C">
        <w:rPr>
          <w:rFonts w:ascii="Arial" w:eastAsiaTheme="minorHAnsi" w:hAnsi="Arial" w:cs="Arial"/>
          <w:color w:val="000000" w:themeColor="text1"/>
          <w:lang w:eastAsia="en-US"/>
        </w:rPr>
        <w:t>lag</w:t>
      </w:r>
      <w:r w:rsidR="006252A4">
        <w:rPr>
          <w:rFonts w:ascii="Arial" w:eastAsiaTheme="minorHAnsi" w:hAnsi="Arial" w:cs="Arial"/>
          <w:color w:val="000000" w:themeColor="text1"/>
          <w:lang w:eastAsia="en-US"/>
        </w:rPr>
        <w:t>ged</w:t>
      </w:r>
      <w:r w:rsidR="001F01CD" w:rsidRPr="003D5C0C">
        <w:rPr>
          <w:rFonts w:ascii="Arial" w:eastAsiaTheme="minorHAnsi" w:hAnsi="Arial" w:cs="Arial"/>
          <w:color w:val="000000" w:themeColor="text1"/>
          <w:lang w:eastAsia="en-US"/>
        </w:rPr>
        <w:t xml:space="preserve"> behind forecast requirement.  For example, Wilson and Barton (2018: 3) reported that in 2017/18 around 222,000 new homes were built in </w:t>
      </w:r>
      <w:r w:rsidR="001F01CD" w:rsidRPr="003D5C0C">
        <w:rPr>
          <w:rFonts w:ascii="Arial" w:eastAsiaTheme="minorHAnsi" w:hAnsi="Arial" w:cs="Arial"/>
          <w:color w:val="000000" w:themeColor="text1"/>
          <w:lang w:eastAsia="en-US"/>
        </w:rPr>
        <w:lastRenderedPageBreak/>
        <w:t xml:space="preserve">comparison with estimates of annual housing requirement that ranged between 240,000 and 340,000. Research by the BBC in 2020 argued that the gap between demand for new housing and supply had grown to over 1 million dwellings (BBC, 2020). </w:t>
      </w:r>
    </w:p>
    <w:p w14:paraId="52A8C242" w14:textId="77777777" w:rsidR="001F01CD" w:rsidRPr="003D5C0C" w:rsidRDefault="001F01CD" w:rsidP="006633FA">
      <w:pPr>
        <w:spacing w:after="160" w:line="480" w:lineRule="auto"/>
        <w:contextualSpacing/>
        <w:jc w:val="both"/>
        <w:rPr>
          <w:rFonts w:ascii="Arial" w:eastAsiaTheme="minorHAnsi" w:hAnsi="Arial" w:cs="Arial"/>
          <w:color w:val="000000" w:themeColor="text1"/>
          <w:lang w:eastAsia="en-US"/>
        </w:rPr>
      </w:pPr>
    </w:p>
    <w:p w14:paraId="21883AEF" w14:textId="6307D31D" w:rsidR="005A63E7" w:rsidRDefault="001F01CD" w:rsidP="006633FA">
      <w:pPr>
        <w:spacing w:after="160" w:line="480" w:lineRule="auto"/>
        <w:contextualSpacing/>
        <w:jc w:val="both"/>
        <w:rPr>
          <w:rFonts w:ascii="Arial" w:eastAsiaTheme="minorHAnsi" w:hAnsi="Arial" w:cs="Arial"/>
          <w:color w:val="000000" w:themeColor="text1"/>
          <w:lang w:eastAsia="en-US"/>
        </w:rPr>
      </w:pPr>
      <w:r w:rsidRPr="003D5C0C">
        <w:rPr>
          <w:rFonts w:ascii="Arial" w:eastAsiaTheme="minorHAnsi" w:hAnsi="Arial" w:cs="Arial"/>
          <w:color w:val="000000" w:themeColor="text1"/>
          <w:lang w:eastAsia="en-US"/>
        </w:rPr>
        <w:t>It is against this backdrop that the Standard Method of assessing housing requirement</w:t>
      </w:r>
      <w:r w:rsidR="005A63E7">
        <w:rPr>
          <w:rFonts w:ascii="Arial" w:eastAsiaTheme="minorHAnsi" w:hAnsi="Arial" w:cs="Arial"/>
          <w:color w:val="000000" w:themeColor="text1"/>
          <w:lang w:eastAsia="en-US"/>
        </w:rPr>
        <w:t xml:space="preserve"> in England</w:t>
      </w:r>
      <w:r w:rsidRPr="003D5C0C">
        <w:rPr>
          <w:rFonts w:ascii="Arial" w:eastAsiaTheme="minorHAnsi" w:hAnsi="Arial" w:cs="Arial"/>
          <w:color w:val="000000" w:themeColor="text1"/>
          <w:lang w:eastAsia="en-US"/>
        </w:rPr>
        <w:t xml:space="preserve"> was introduced in February 2019 as a technocratic measure </w:t>
      </w:r>
      <w:r w:rsidR="00EB3E8E" w:rsidRPr="003D5C0C">
        <w:rPr>
          <w:rFonts w:ascii="Arial" w:eastAsiaTheme="minorHAnsi" w:hAnsi="Arial" w:cs="Arial"/>
          <w:color w:val="000000" w:themeColor="text1"/>
          <w:lang w:eastAsia="en-US"/>
        </w:rPr>
        <w:t xml:space="preserve">to discipline the market into delivering the scale of new development that is believed to be required. </w:t>
      </w:r>
      <w:r w:rsidRPr="003D5C0C">
        <w:rPr>
          <w:rFonts w:ascii="Arial" w:eastAsiaTheme="minorHAnsi" w:hAnsi="Arial" w:cs="Arial"/>
          <w:color w:val="000000" w:themeColor="text1"/>
          <w:lang w:eastAsia="en-US"/>
        </w:rPr>
        <w:t>Prior to the introduction of the Standard Method, throughout the 20</w:t>
      </w:r>
      <w:r w:rsidRPr="003D5C0C">
        <w:rPr>
          <w:rFonts w:ascii="Arial" w:eastAsiaTheme="minorHAnsi" w:hAnsi="Arial" w:cs="Arial"/>
          <w:color w:val="000000" w:themeColor="text1"/>
          <w:vertAlign w:val="superscript"/>
          <w:lang w:eastAsia="en-US"/>
        </w:rPr>
        <w:t>th</w:t>
      </w:r>
      <w:r w:rsidRPr="003D5C0C">
        <w:rPr>
          <w:rFonts w:ascii="Arial" w:eastAsiaTheme="minorHAnsi" w:hAnsi="Arial" w:cs="Arial"/>
          <w:color w:val="000000" w:themeColor="text1"/>
          <w:lang w:eastAsia="en-US"/>
        </w:rPr>
        <w:t xml:space="preserve"> and 21</w:t>
      </w:r>
      <w:r w:rsidRPr="003D5C0C">
        <w:rPr>
          <w:rFonts w:ascii="Arial" w:eastAsiaTheme="minorHAnsi" w:hAnsi="Arial" w:cs="Arial"/>
          <w:color w:val="000000" w:themeColor="text1"/>
          <w:vertAlign w:val="superscript"/>
          <w:lang w:eastAsia="en-US"/>
        </w:rPr>
        <w:t>st</w:t>
      </w:r>
      <w:r w:rsidRPr="003D5C0C">
        <w:rPr>
          <w:rFonts w:ascii="Arial" w:eastAsiaTheme="minorHAnsi" w:hAnsi="Arial" w:cs="Arial"/>
          <w:color w:val="000000" w:themeColor="text1"/>
          <w:lang w:eastAsia="en-US"/>
        </w:rPr>
        <w:t xml:space="preserve"> Centuries, local authorities in England had been allowed significant freedom in determining the level of housing required in their jurisdiction.  Much of this work was out-sourced to private planning consultancies in the form of </w:t>
      </w:r>
      <w:r w:rsidRPr="005A63E7">
        <w:rPr>
          <w:rFonts w:ascii="Arial" w:eastAsiaTheme="minorHAnsi" w:hAnsi="Arial" w:cs="Arial"/>
          <w:color w:val="000000" w:themeColor="text1"/>
          <w:lang w:eastAsia="en-US"/>
        </w:rPr>
        <w:t>Strategic Housing Market Assessments (Ferrari et al., 2011). But, in 2019, this m</w:t>
      </w:r>
      <w:r w:rsidR="00E46154">
        <w:rPr>
          <w:rFonts w:ascii="Arial" w:eastAsiaTheme="minorHAnsi" w:hAnsi="Arial" w:cs="Arial"/>
          <w:color w:val="000000" w:themeColor="text1"/>
          <w:lang w:eastAsia="en-US"/>
        </w:rPr>
        <w:t>o</w:t>
      </w:r>
      <w:r w:rsidRPr="003D5C0C">
        <w:rPr>
          <w:rFonts w:ascii="Arial" w:eastAsiaTheme="minorHAnsi" w:hAnsi="Arial" w:cs="Arial"/>
          <w:color w:val="000000" w:themeColor="text1"/>
          <w:lang w:eastAsia="en-US"/>
        </w:rPr>
        <w:t xml:space="preserve">st fundamental feature of planning practice – the overall regulation of housing supply – was refocused </w:t>
      </w:r>
      <w:r w:rsidR="00E46154">
        <w:rPr>
          <w:rFonts w:ascii="Arial" w:eastAsiaTheme="minorHAnsi" w:hAnsi="Arial" w:cs="Arial"/>
          <w:color w:val="000000" w:themeColor="text1"/>
          <w:lang w:eastAsia="en-US"/>
        </w:rPr>
        <w:t xml:space="preserve">with the introduction of the Standard Method, shifting </w:t>
      </w:r>
      <w:r w:rsidRPr="003D5C0C">
        <w:rPr>
          <w:rFonts w:ascii="Arial" w:eastAsiaTheme="minorHAnsi" w:hAnsi="Arial" w:cs="Arial"/>
          <w:color w:val="000000" w:themeColor="text1"/>
          <w:lang w:eastAsia="en-US"/>
        </w:rPr>
        <w:t xml:space="preserve">practice from private consultancies to a simple, open-source, nationally prescribed calculation. The Standard Method, therefore, contrasts starkly with other forms of calculative practice that determine built environment outcomes, such as the evaluation of development viability by the house building industry, that are variable in content and process, often </w:t>
      </w:r>
      <w:r w:rsidR="005A63E7">
        <w:rPr>
          <w:rFonts w:ascii="Arial" w:eastAsiaTheme="minorHAnsi" w:hAnsi="Arial" w:cs="Arial"/>
          <w:color w:val="000000" w:themeColor="text1"/>
          <w:lang w:eastAsia="en-US"/>
        </w:rPr>
        <w:t xml:space="preserve">opaque in the interests of corporate confidentiality </w:t>
      </w:r>
      <w:r w:rsidRPr="003D5C0C">
        <w:rPr>
          <w:rFonts w:ascii="Arial" w:eastAsiaTheme="minorHAnsi" w:hAnsi="Arial" w:cs="Arial"/>
          <w:color w:val="000000" w:themeColor="text1"/>
          <w:lang w:eastAsia="en-US"/>
        </w:rPr>
        <w:t xml:space="preserve">and </w:t>
      </w:r>
      <w:r w:rsidR="005A63E7">
        <w:rPr>
          <w:rFonts w:ascii="Arial" w:eastAsiaTheme="minorHAnsi" w:hAnsi="Arial" w:cs="Arial"/>
          <w:color w:val="000000" w:themeColor="text1"/>
          <w:lang w:eastAsia="en-US"/>
        </w:rPr>
        <w:t xml:space="preserve">consequently </w:t>
      </w:r>
      <w:r w:rsidRPr="003D5C0C">
        <w:rPr>
          <w:rFonts w:ascii="Arial" w:eastAsiaTheme="minorHAnsi" w:hAnsi="Arial" w:cs="Arial"/>
          <w:color w:val="000000" w:themeColor="text1"/>
          <w:lang w:eastAsia="en-US"/>
        </w:rPr>
        <w:t>restricted to industry ‘experts’ (</w:t>
      </w:r>
      <w:r w:rsidR="00EB3E8E" w:rsidRPr="003D5C0C">
        <w:rPr>
          <w:rFonts w:ascii="Arial" w:eastAsiaTheme="minorHAnsi" w:hAnsi="Arial" w:cs="Arial"/>
          <w:color w:val="000000" w:themeColor="text1"/>
          <w:lang w:eastAsia="en-US"/>
        </w:rPr>
        <w:t>M</w:t>
      </w:r>
      <w:r w:rsidRPr="003D5C0C">
        <w:rPr>
          <w:rFonts w:ascii="Arial" w:eastAsiaTheme="minorHAnsi" w:hAnsi="Arial" w:cs="Arial"/>
          <w:color w:val="000000" w:themeColor="text1"/>
          <w:lang w:eastAsia="en-US"/>
        </w:rPr>
        <w:t xml:space="preserve">cAllister, Street and Wyatt, 2016). The Standard Method, by contrast, represents an attempt to exert central governmental control over housing supply by circumscribing the terms of local authority decision making through the instrument of a calculative process. </w:t>
      </w:r>
    </w:p>
    <w:p w14:paraId="61421E27" w14:textId="77777777" w:rsidR="005A63E7" w:rsidRDefault="005A63E7" w:rsidP="006633FA">
      <w:pPr>
        <w:spacing w:after="160" w:line="480" w:lineRule="auto"/>
        <w:contextualSpacing/>
        <w:jc w:val="both"/>
        <w:rPr>
          <w:rFonts w:ascii="Arial" w:eastAsiaTheme="minorHAnsi" w:hAnsi="Arial" w:cs="Arial"/>
          <w:color w:val="000000" w:themeColor="text1"/>
          <w:lang w:eastAsia="en-US"/>
        </w:rPr>
      </w:pPr>
    </w:p>
    <w:p w14:paraId="2055D771" w14:textId="408BAE0A" w:rsidR="00F27D25" w:rsidRPr="003D5C0C" w:rsidRDefault="001F01CD" w:rsidP="006633FA">
      <w:pPr>
        <w:spacing w:after="160" w:line="480" w:lineRule="auto"/>
        <w:contextualSpacing/>
        <w:jc w:val="both"/>
        <w:rPr>
          <w:rFonts w:ascii="Arial" w:eastAsiaTheme="minorHAnsi" w:hAnsi="Arial" w:cs="Arial"/>
          <w:color w:val="000000" w:themeColor="text1"/>
          <w:lang w:eastAsia="en-US"/>
        </w:rPr>
      </w:pPr>
      <w:r w:rsidRPr="003D5C0C">
        <w:rPr>
          <w:rFonts w:ascii="Arial" w:eastAsiaTheme="minorHAnsi" w:hAnsi="Arial" w:cs="Arial"/>
          <w:color w:val="000000" w:themeColor="text1"/>
          <w:lang w:eastAsia="en-US"/>
        </w:rPr>
        <w:lastRenderedPageBreak/>
        <w:t xml:space="preserve">This shift in </w:t>
      </w:r>
      <w:r w:rsidR="00B710E0" w:rsidRPr="003D5C0C">
        <w:rPr>
          <w:rFonts w:ascii="Arial" w:eastAsiaTheme="minorHAnsi" w:hAnsi="Arial" w:cs="Arial"/>
          <w:color w:val="000000" w:themeColor="text1"/>
          <w:lang w:eastAsia="en-US"/>
        </w:rPr>
        <w:t xml:space="preserve">practice </w:t>
      </w:r>
      <w:r w:rsidRPr="003D5C0C">
        <w:rPr>
          <w:rFonts w:ascii="Arial" w:eastAsiaTheme="minorHAnsi" w:hAnsi="Arial" w:cs="Arial"/>
          <w:color w:val="000000" w:themeColor="text1"/>
          <w:lang w:eastAsia="en-US"/>
        </w:rPr>
        <w:t xml:space="preserve">could be understood as emblematic of </w:t>
      </w:r>
      <w:r w:rsidR="00B710E0" w:rsidRPr="003D5C0C">
        <w:rPr>
          <w:rFonts w:ascii="Arial" w:eastAsiaTheme="minorHAnsi" w:hAnsi="Arial" w:cs="Arial"/>
          <w:color w:val="000000" w:themeColor="text1"/>
          <w:lang w:eastAsia="en-US"/>
        </w:rPr>
        <w:t>the thoroughly chronicled but unpredictable metamorphic twist in neoliberalism (</w:t>
      </w:r>
      <w:r w:rsidR="00F27D25" w:rsidRPr="003D5C0C">
        <w:rPr>
          <w:rFonts w:ascii="Arial" w:eastAsiaTheme="minorHAnsi" w:hAnsi="Arial" w:cs="Arial"/>
          <w:color w:val="000000" w:themeColor="text1"/>
          <w:lang w:eastAsia="en-US"/>
        </w:rPr>
        <w:t>see essays in Cahill et al., 2018)</w:t>
      </w:r>
      <w:r w:rsidR="00B710E0" w:rsidRPr="003D5C0C">
        <w:rPr>
          <w:rFonts w:ascii="Arial" w:eastAsiaTheme="minorHAnsi" w:hAnsi="Arial" w:cs="Arial"/>
          <w:color w:val="000000" w:themeColor="text1"/>
          <w:lang w:eastAsia="en-US"/>
        </w:rPr>
        <w:t xml:space="preserve">. From this perspective </w:t>
      </w:r>
      <w:r w:rsidRPr="003D5C0C">
        <w:rPr>
          <w:rFonts w:ascii="Arial" w:eastAsiaTheme="minorHAnsi" w:hAnsi="Arial" w:cs="Arial"/>
          <w:color w:val="000000" w:themeColor="text1"/>
          <w:lang w:eastAsia="en-US"/>
        </w:rPr>
        <w:t>the roll-back neoliberalism (Peck</w:t>
      </w:r>
      <w:r w:rsidR="00B710E0" w:rsidRPr="003D5C0C">
        <w:rPr>
          <w:rFonts w:ascii="Arial" w:eastAsiaTheme="minorHAnsi" w:hAnsi="Arial" w:cs="Arial"/>
          <w:color w:val="000000" w:themeColor="text1"/>
          <w:lang w:eastAsia="en-US"/>
        </w:rPr>
        <w:t xml:space="preserve"> and Tickell</w:t>
      </w:r>
      <w:r w:rsidRPr="003D5C0C">
        <w:rPr>
          <w:rFonts w:ascii="Arial" w:eastAsiaTheme="minorHAnsi" w:hAnsi="Arial" w:cs="Arial"/>
          <w:color w:val="000000" w:themeColor="text1"/>
          <w:lang w:eastAsia="en-US"/>
        </w:rPr>
        <w:t xml:space="preserve">, </w:t>
      </w:r>
      <w:r w:rsidR="00F27D25" w:rsidRPr="003D5C0C">
        <w:rPr>
          <w:rFonts w:ascii="Arial" w:eastAsiaTheme="minorHAnsi" w:hAnsi="Arial" w:cs="Arial"/>
          <w:color w:val="000000" w:themeColor="text1"/>
          <w:lang w:eastAsia="en-US"/>
        </w:rPr>
        <w:t xml:space="preserve">2002) </w:t>
      </w:r>
      <w:r w:rsidRPr="003D5C0C">
        <w:rPr>
          <w:rFonts w:ascii="Arial" w:eastAsiaTheme="minorHAnsi" w:hAnsi="Arial" w:cs="Arial"/>
          <w:color w:val="000000" w:themeColor="text1"/>
          <w:lang w:eastAsia="en-US"/>
        </w:rPr>
        <w:t xml:space="preserve">of the 1990s and 2000s that allowed the private development industry and its agents to define the contours of local </w:t>
      </w:r>
      <w:r w:rsidR="00F27D25" w:rsidRPr="003D5C0C">
        <w:rPr>
          <w:rFonts w:ascii="Arial" w:eastAsiaTheme="minorHAnsi" w:hAnsi="Arial" w:cs="Arial"/>
          <w:color w:val="000000" w:themeColor="text1"/>
          <w:lang w:eastAsia="en-US"/>
        </w:rPr>
        <w:t xml:space="preserve">housing </w:t>
      </w:r>
      <w:r w:rsidRPr="003D5C0C">
        <w:rPr>
          <w:rFonts w:ascii="Arial" w:eastAsiaTheme="minorHAnsi" w:hAnsi="Arial" w:cs="Arial"/>
          <w:color w:val="000000" w:themeColor="text1"/>
          <w:lang w:eastAsia="en-US"/>
        </w:rPr>
        <w:t>markets, managing supply through locally brokered cooperation</w:t>
      </w:r>
      <w:r w:rsidR="00F27D25" w:rsidRPr="003D5C0C">
        <w:rPr>
          <w:rFonts w:ascii="Arial" w:eastAsiaTheme="minorHAnsi" w:hAnsi="Arial" w:cs="Arial"/>
          <w:color w:val="000000" w:themeColor="text1"/>
          <w:lang w:eastAsia="en-US"/>
        </w:rPr>
        <w:t xml:space="preserve"> (Christophers, 2013) can be understood as being replaced by </w:t>
      </w:r>
      <w:r w:rsidRPr="003D5C0C">
        <w:rPr>
          <w:rFonts w:ascii="Arial" w:eastAsiaTheme="minorHAnsi" w:hAnsi="Arial" w:cs="Arial"/>
          <w:color w:val="000000" w:themeColor="text1"/>
          <w:lang w:eastAsia="en-US"/>
        </w:rPr>
        <w:t xml:space="preserve">a (re)turn to an authoritarian strand in </w:t>
      </w:r>
      <w:r w:rsidR="00F27D25" w:rsidRPr="003D5C0C">
        <w:rPr>
          <w:rFonts w:ascii="Arial" w:eastAsiaTheme="minorHAnsi" w:hAnsi="Arial" w:cs="Arial"/>
          <w:color w:val="000000" w:themeColor="text1"/>
          <w:lang w:eastAsia="en-US"/>
        </w:rPr>
        <w:t>n</w:t>
      </w:r>
      <w:r w:rsidRPr="003D5C0C">
        <w:rPr>
          <w:rFonts w:ascii="Arial" w:eastAsiaTheme="minorHAnsi" w:hAnsi="Arial" w:cs="Arial"/>
          <w:color w:val="000000" w:themeColor="text1"/>
          <w:lang w:eastAsia="en-US"/>
        </w:rPr>
        <w:t xml:space="preserve">eoliberalism </w:t>
      </w:r>
      <w:r w:rsidR="00F27D25" w:rsidRPr="003D5C0C">
        <w:rPr>
          <w:rFonts w:ascii="Arial" w:eastAsiaTheme="minorHAnsi" w:hAnsi="Arial" w:cs="Arial"/>
          <w:color w:val="000000" w:themeColor="text1"/>
          <w:lang w:eastAsia="en-US"/>
        </w:rPr>
        <w:t>that resituates the</w:t>
      </w:r>
      <w:r w:rsidRPr="003D5C0C">
        <w:rPr>
          <w:rFonts w:ascii="Arial" w:eastAsiaTheme="minorHAnsi" w:hAnsi="Arial" w:cs="Arial"/>
          <w:color w:val="000000" w:themeColor="text1"/>
          <w:lang w:eastAsia="en-US"/>
        </w:rPr>
        <w:t xml:space="preserve"> state </w:t>
      </w:r>
      <w:r w:rsidR="00F27D25" w:rsidRPr="003D5C0C">
        <w:rPr>
          <w:rFonts w:ascii="Arial" w:eastAsiaTheme="minorHAnsi" w:hAnsi="Arial" w:cs="Arial"/>
          <w:color w:val="000000" w:themeColor="text1"/>
          <w:lang w:eastAsia="en-US"/>
        </w:rPr>
        <w:t xml:space="preserve">as a more </w:t>
      </w:r>
      <w:r w:rsidRPr="003D5C0C">
        <w:rPr>
          <w:rFonts w:ascii="Arial" w:eastAsiaTheme="minorHAnsi" w:hAnsi="Arial" w:cs="Arial"/>
          <w:color w:val="000000" w:themeColor="text1"/>
          <w:lang w:eastAsia="en-US"/>
        </w:rPr>
        <w:t>active agent of market control</w:t>
      </w:r>
      <w:r w:rsidR="00F27D25" w:rsidRPr="003D5C0C">
        <w:rPr>
          <w:rFonts w:ascii="Arial" w:eastAsiaTheme="minorHAnsi" w:hAnsi="Arial" w:cs="Arial"/>
          <w:color w:val="000000" w:themeColor="text1"/>
          <w:lang w:eastAsia="en-US"/>
        </w:rPr>
        <w:t xml:space="preserve"> when the roll-back phase has conspicuously failed to deliver.  This hands-free/hand-on binary has been understood to be a hallmark of some aspects of the neoliberal project that mirrors the pre- and post- conditions of the global financial crisis</w:t>
      </w:r>
      <w:r w:rsidRPr="003D5C0C">
        <w:rPr>
          <w:rFonts w:ascii="Arial" w:eastAsiaTheme="minorHAnsi" w:hAnsi="Arial" w:cs="Arial"/>
          <w:color w:val="000000" w:themeColor="text1"/>
          <w:lang w:eastAsia="en-US"/>
        </w:rPr>
        <w:t xml:space="preserve"> (Peck</w:t>
      </w:r>
      <w:r w:rsidR="00F27D25" w:rsidRPr="003D5C0C">
        <w:rPr>
          <w:rFonts w:ascii="Arial" w:eastAsiaTheme="minorHAnsi" w:hAnsi="Arial" w:cs="Arial"/>
          <w:color w:val="000000" w:themeColor="text1"/>
          <w:lang w:eastAsia="en-US"/>
        </w:rPr>
        <w:t xml:space="preserve"> and Theodore, 2019</w:t>
      </w:r>
      <w:r w:rsidRPr="003D5C0C">
        <w:rPr>
          <w:rFonts w:ascii="Arial" w:eastAsiaTheme="minorHAnsi" w:hAnsi="Arial" w:cs="Arial"/>
          <w:color w:val="000000" w:themeColor="text1"/>
          <w:lang w:eastAsia="en-US"/>
        </w:rPr>
        <w:t>).</w:t>
      </w:r>
      <w:r w:rsidR="00F27D25" w:rsidRPr="003D5C0C">
        <w:rPr>
          <w:rFonts w:ascii="Arial" w:eastAsiaTheme="minorHAnsi" w:hAnsi="Arial" w:cs="Arial"/>
          <w:color w:val="000000" w:themeColor="text1"/>
          <w:lang w:eastAsia="en-US"/>
        </w:rPr>
        <w:t xml:space="preserve">  The recession-prone nature of the house-building industry, therefore, perhaps makes it particularly suitable for the imposition of the Standard Method as a means to exert central control over local outcomes.</w:t>
      </w:r>
    </w:p>
    <w:p w14:paraId="061153A1" w14:textId="77777777" w:rsidR="00F27D25" w:rsidRPr="003D5C0C" w:rsidRDefault="00F27D25" w:rsidP="006633FA">
      <w:pPr>
        <w:spacing w:line="480" w:lineRule="auto"/>
        <w:jc w:val="both"/>
        <w:rPr>
          <w:rFonts w:ascii="Arial" w:eastAsiaTheme="minorHAnsi" w:hAnsi="Arial" w:cs="Arial"/>
          <w:color w:val="000000" w:themeColor="text1"/>
          <w:lang w:eastAsia="en-US"/>
        </w:rPr>
      </w:pPr>
    </w:p>
    <w:p w14:paraId="6592C1E2" w14:textId="69C27B0D" w:rsidR="001F01CD" w:rsidRPr="003D5C0C" w:rsidRDefault="001F01CD" w:rsidP="006633FA">
      <w:pPr>
        <w:spacing w:line="480" w:lineRule="auto"/>
        <w:jc w:val="both"/>
        <w:rPr>
          <w:rFonts w:ascii="Arial" w:eastAsiaTheme="minorHAnsi" w:hAnsi="Arial" w:cs="Arial"/>
          <w:color w:val="000000" w:themeColor="text1"/>
          <w:lang w:eastAsia="en-US"/>
        </w:rPr>
      </w:pPr>
      <w:r w:rsidRPr="003D5C0C">
        <w:rPr>
          <w:rFonts w:ascii="Arial" w:hAnsi="Arial" w:cs="Arial"/>
          <w:color w:val="000000" w:themeColor="text1"/>
        </w:rPr>
        <w:t xml:space="preserve">As an instrument the Standard Method comprises two components: a demography-based assessment of household growth using Office for National Statistics (henceforth, ONS) population projections </w:t>
      </w:r>
      <w:r w:rsidRPr="003D5C0C">
        <w:rPr>
          <w:rFonts w:ascii="Arial" w:eastAsiaTheme="minorHAnsi" w:hAnsi="Arial" w:cs="Arial"/>
          <w:color w:val="000000" w:themeColor="text1"/>
          <w:lang w:eastAsia="en-US"/>
        </w:rPr>
        <w:t>(e.g. ONS, 2018a, 2018b)</w:t>
      </w:r>
      <w:r w:rsidRPr="003D5C0C">
        <w:rPr>
          <w:rFonts w:ascii="Arial" w:hAnsi="Arial" w:cs="Arial"/>
          <w:color w:val="000000" w:themeColor="text1"/>
        </w:rPr>
        <w:t xml:space="preserve"> and an affordability ratio that considers median house prices relative to median work-place-based incomes.  The result is a target number of dwellings for each Local Planning Authority (henceforth LPA) which, when taken together, determines how the production of new dwellings will be distributed across England.  </w:t>
      </w:r>
      <w:r w:rsidRPr="003D5C0C">
        <w:rPr>
          <w:rFonts w:ascii="Arial" w:eastAsiaTheme="minorHAnsi" w:hAnsi="Arial" w:cs="Arial"/>
          <w:color w:val="000000" w:themeColor="text1"/>
          <w:lang w:eastAsia="en-US"/>
        </w:rPr>
        <w:t>The approach is fundamentally driven by the underlying logic that if each LPA were to meet the</w:t>
      </w:r>
      <w:r w:rsidR="00F27D25" w:rsidRPr="003D5C0C">
        <w:rPr>
          <w:rFonts w:ascii="Arial" w:eastAsiaTheme="minorHAnsi" w:hAnsi="Arial" w:cs="Arial"/>
          <w:color w:val="000000" w:themeColor="text1"/>
          <w:lang w:eastAsia="en-US"/>
        </w:rPr>
        <w:t>ir</w:t>
      </w:r>
      <w:r w:rsidRPr="003D5C0C">
        <w:rPr>
          <w:rFonts w:ascii="Arial" w:eastAsiaTheme="minorHAnsi" w:hAnsi="Arial" w:cs="Arial"/>
          <w:color w:val="000000" w:themeColor="text1"/>
          <w:lang w:eastAsia="en-US"/>
        </w:rPr>
        <w:t xml:space="preserve"> local target the aggregated national picture would represent a supply side re-alignment to </w:t>
      </w:r>
      <w:r w:rsidRPr="003D5C0C">
        <w:rPr>
          <w:rFonts w:ascii="Arial" w:eastAsiaTheme="minorHAnsi" w:hAnsi="Arial" w:cs="Arial"/>
          <w:color w:val="000000" w:themeColor="text1"/>
          <w:lang w:eastAsia="en-US"/>
        </w:rPr>
        <w:lastRenderedPageBreak/>
        <w:t xml:space="preserve">meet demand.  </w:t>
      </w:r>
      <w:r w:rsidR="00F27D25" w:rsidRPr="003D5C0C">
        <w:rPr>
          <w:rFonts w:ascii="Arial" w:eastAsiaTheme="minorHAnsi" w:hAnsi="Arial" w:cs="Arial"/>
          <w:color w:val="000000" w:themeColor="text1"/>
          <w:lang w:eastAsia="en-US"/>
        </w:rPr>
        <w:t xml:space="preserve">In this way </w:t>
      </w:r>
      <w:r w:rsidRPr="003D5C0C">
        <w:rPr>
          <w:rFonts w:ascii="Arial" w:eastAsiaTheme="minorHAnsi" w:hAnsi="Arial" w:cs="Arial"/>
          <w:color w:val="000000" w:themeColor="text1"/>
          <w:lang w:eastAsia="en-US"/>
        </w:rPr>
        <w:t xml:space="preserve">the national government uses the </w:t>
      </w:r>
      <w:r w:rsidR="00F27D25" w:rsidRPr="003D5C0C">
        <w:rPr>
          <w:rFonts w:ascii="Arial" w:eastAsiaTheme="minorHAnsi" w:hAnsi="Arial" w:cs="Arial"/>
          <w:color w:val="000000" w:themeColor="text1"/>
          <w:lang w:eastAsia="en-US"/>
        </w:rPr>
        <w:t xml:space="preserve">Standard </w:t>
      </w:r>
      <w:r w:rsidRPr="003D5C0C">
        <w:rPr>
          <w:rFonts w:ascii="Arial" w:eastAsiaTheme="minorHAnsi" w:hAnsi="Arial" w:cs="Arial"/>
          <w:color w:val="000000" w:themeColor="text1"/>
          <w:lang w:eastAsia="en-US"/>
        </w:rPr>
        <w:t>Method to discipline LPAs to plan for a prescribed component of national housing requirement.</w:t>
      </w:r>
    </w:p>
    <w:p w14:paraId="4A24D6AA" w14:textId="77777777" w:rsidR="001F01CD" w:rsidRPr="003D5C0C" w:rsidRDefault="001F01CD" w:rsidP="006633FA">
      <w:pPr>
        <w:spacing w:line="480" w:lineRule="auto"/>
        <w:jc w:val="both"/>
        <w:rPr>
          <w:rFonts w:ascii="Arial" w:hAnsi="Arial" w:cs="Arial"/>
          <w:color w:val="000000" w:themeColor="text1"/>
        </w:rPr>
      </w:pPr>
    </w:p>
    <w:p w14:paraId="024C1041" w14:textId="0C6E29AC" w:rsidR="001F01CD" w:rsidRPr="003D5C0C" w:rsidRDefault="001F01CD"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However, it is clear that there are both practical and conceptual issues with this approach.  Two significant problems with the method include, firstly, the difficulty of overlaying this top-down target driven method of identifying housing </w:t>
      </w:r>
      <w:r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rPr>
        <w:t xml:space="preserve">onto a development industry </w:t>
      </w:r>
      <w:r w:rsidR="005A63E7">
        <w:rPr>
          <w:rFonts w:ascii="Arial" w:hAnsi="Arial" w:cs="Arial"/>
          <w:color w:val="000000" w:themeColor="text1"/>
        </w:rPr>
        <w:t>that</w:t>
      </w:r>
      <w:r w:rsidRPr="003D5C0C">
        <w:rPr>
          <w:rFonts w:ascii="Arial" w:hAnsi="Arial" w:cs="Arial"/>
          <w:color w:val="000000" w:themeColor="text1"/>
        </w:rPr>
        <w:t xml:space="preserve"> is private and driven by its own business models and, secondly, the omission of a significant number of variables that have a </w:t>
      </w:r>
      <w:r w:rsidR="00E46154">
        <w:rPr>
          <w:rFonts w:ascii="Arial" w:hAnsi="Arial" w:cs="Arial"/>
          <w:color w:val="000000" w:themeColor="text1"/>
        </w:rPr>
        <w:t xml:space="preserve">significant </w:t>
      </w:r>
      <w:r w:rsidRPr="003D5C0C">
        <w:rPr>
          <w:rFonts w:ascii="Arial" w:hAnsi="Arial" w:cs="Arial"/>
          <w:color w:val="000000" w:themeColor="text1"/>
        </w:rPr>
        <w:t xml:space="preserve">bearing on housing </w:t>
      </w:r>
      <w:r w:rsidRPr="003D5C0C">
        <w:rPr>
          <w:rFonts w:ascii="Arial" w:eastAsiaTheme="minorHAnsi" w:hAnsi="Arial" w:cs="Arial"/>
          <w:color w:val="000000" w:themeColor="text1"/>
          <w:lang w:eastAsia="en-US"/>
        </w:rPr>
        <w:t>requirement</w:t>
      </w:r>
      <w:r w:rsidRPr="003D5C0C">
        <w:rPr>
          <w:rFonts w:ascii="Arial" w:hAnsi="Arial" w:cs="Arial"/>
          <w:color w:val="000000" w:themeColor="text1"/>
        </w:rPr>
        <w:t>.  It is, therefore, perhaps unsurprising that research by the planning consultancy, Lichfields, found that the response to the introduction of the Standard Method by many local authorities was not what government had intended:</w:t>
      </w:r>
    </w:p>
    <w:p w14:paraId="3B182E95" w14:textId="77777777" w:rsidR="001F01CD" w:rsidRPr="003D5C0C" w:rsidRDefault="001F01CD" w:rsidP="006633FA">
      <w:pPr>
        <w:pStyle w:val="NormalWeb"/>
        <w:spacing w:line="480" w:lineRule="auto"/>
        <w:ind w:left="851" w:right="851"/>
        <w:jc w:val="both"/>
        <w:rPr>
          <w:rFonts w:ascii="Arial" w:hAnsi="Arial" w:cs="Arial"/>
          <w:color w:val="000000" w:themeColor="text1"/>
        </w:rPr>
      </w:pPr>
      <w:r w:rsidRPr="003D5C0C">
        <w:rPr>
          <w:rFonts w:ascii="Arial" w:hAnsi="Arial" w:cs="Arial"/>
          <w:color w:val="000000" w:themeColor="text1"/>
        </w:rPr>
        <w:t>The Standard Method was introduced in order to provide a simpler, quicker and more transparent approach that would speed up and simplify plan making and ensure delivery of sufficient homes throughout the country. However, certainly in the short term, local authorities’ response to the Standard Method has resulted in local housing requirements being significantly reduced, rather than increased, undermining the Government’s aim to boost housing delivery to 300,000 dpa (</w:t>
      </w:r>
      <w:r w:rsidRPr="003D5C0C">
        <w:rPr>
          <w:rFonts w:ascii="Arial" w:hAnsi="Arial" w:cs="Arial"/>
          <w:i/>
          <w:color w:val="000000" w:themeColor="text1"/>
        </w:rPr>
        <w:t>dwellings per annum</w:t>
      </w:r>
      <w:r w:rsidRPr="003D5C0C">
        <w:rPr>
          <w:rFonts w:ascii="Arial" w:hAnsi="Arial" w:cs="Arial"/>
          <w:color w:val="000000" w:themeColor="text1"/>
        </w:rPr>
        <w:t>). (Bickerdike, 2019: 1, parentheses added)</w:t>
      </w:r>
    </w:p>
    <w:p w14:paraId="29BFE0FA" w14:textId="77777777" w:rsidR="001F01CD" w:rsidRPr="003D5C0C" w:rsidRDefault="001F01CD" w:rsidP="006633FA">
      <w:pPr>
        <w:pStyle w:val="NormalWeb"/>
        <w:spacing w:line="480" w:lineRule="auto"/>
        <w:jc w:val="both"/>
        <w:rPr>
          <w:rFonts w:ascii="Arial" w:hAnsi="Arial" w:cs="Arial"/>
          <w:color w:val="000000" w:themeColor="text1"/>
        </w:rPr>
      </w:pPr>
      <w:r w:rsidRPr="003D5C0C">
        <w:rPr>
          <w:rFonts w:ascii="Arial" w:hAnsi="Arial" w:cs="Arial"/>
          <w:color w:val="000000" w:themeColor="text1"/>
        </w:rPr>
        <w:t xml:space="preserve">The situation described above represents a complex context where the determination of new development is set by multiple competing interests interacting in a space characterised by markedly contrasting approaches to the economics of the question.  </w:t>
      </w:r>
      <w:r w:rsidRPr="003D5C0C">
        <w:rPr>
          <w:rFonts w:ascii="Arial" w:hAnsi="Arial" w:cs="Arial"/>
          <w:color w:val="000000" w:themeColor="text1"/>
        </w:rPr>
        <w:lastRenderedPageBreak/>
        <w:t xml:space="preserve">Private real estate developers responding to market pressures may argue, in line with the quotation above, that the Standard Method’s account of housing </w:t>
      </w:r>
      <w:r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rPr>
        <w:t xml:space="preserve">underestimates levels of demand.  Similarly, LPAs are charged with implementing local policy to meet a nationally specified target but are also under pressure from anti-development councillors and citizens who have the right to submit evidence to contest the target in an attempt to reduce the amount of new development, particularly in areas of environmental quality.  It is perhaps little wonder that this odd assimilation of command economy-style targets, local democracy and a demand-driven private development industry has not successfully delivered the housing the country is said to require. </w:t>
      </w:r>
    </w:p>
    <w:p w14:paraId="41268EF1" w14:textId="36084E18" w:rsidR="001F01CD" w:rsidRPr="003D5C0C" w:rsidRDefault="001F01CD" w:rsidP="006633FA">
      <w:pPr>
        <w:spacing w:line="480" w:lineRule="auto"/>
        <w:jc w:val="both"/>
        <w:rPr>
          <w:rFonts w:ascii="Arial" w:hAnsi="Arial" w:cs="Arial"/>
          <w:color w:val="000000" w:themeColor="text1"/>
        </w:rPr>
      </w:pPr>
      <w:bookmarkStart w:id="1" w:name="_Hlk38543965"/>
      <w:r w:rsidRPr="003D5C0C">
        <w:rPr>
          <w:rFonts w:ascii="Arial" w:hAnsi="Arial" w:cs="Arial"/>
          <w:color w:val="000000" w:themeColor="text1"/>
        </w:rPr>
        <w:t xml:space="preserve">In this paper we seek to systematically unpack the Standard Method for the assessment of housing </w:t>
      </w:r>
      <w:r w:rsidRPr="003D5C0C">
        <w:rPr>
          <w:rFonts w:ascii="Arial" w:eastAsiaTheme="minorHAnsi" w:hAnsi="Arial" w:cs="Arial"/>
          <w:color w:val="000000" w:themeColor="text1"/>
          <w:lang w:eastAsia="en-US"/>
        </w:rPr>
        <w:t>requirement</w:t>
      </w:r>
      <w:r w:rsidRPr="003D5C0C">
        <w:rPr>
          <w:rFonts w:ascii="Arial" w:hAnsi="Arial" w:cs="Arial"/>
          <w:color w:val="000000" w:themeColor="text1"/>
        </w:rPr>
        <w:t xml:space="preserve">.  In so doing, our aim is to </w:t>
      </w:r>
      <w:r w:rsidR="00936F21" w:rsidRPr="003D5C0C">
        <w:rPr>
          <w:rFonts w:ascii="Arial" w:hAnsi="Arial" w:cs="Arial"/>
          <w:color w:val="000000" w:themeColor="text1"/>
        </w:rPr>
        <w:t>dismantle</w:t>
      </w:r>
      <w:r w:rsidR="00BD0847" w:rsidRPr="003D5C0C">
        <w:rPr>
          <w:rFonts w:ascii="Arial" w:hAnsi="Arial" w:cs="Arial"/>
          <w:color w:val="000000" w:themeColor="text1"/>
        </w:rPr>
        <w:t xml:space="preserve"> this purportedly objective assessment </w:t>
      </w:r>
      <w:r w:rsidR="00936F21" w:rsidRPr="003D5C0C">
        <w:rPr>
          <w:rFonts w:ascii="Arial" w:hAnsi="Arial" w:cs="Arial"/>
          <w:color w:val="000000" w:themeColor="text1"/>
        </w:rPr>
        <w:t xml:space="preserve">of housing requirement </w:t>
      </w:r>
      <w:r w:rsidR="00BD0847" w:rsidRPr="003D5C0C">
        <w:rPr>
          <w:rFonts w:ascii="Arial" w:hAnsi="Arial" w:cs="Arial"/>
          <w:color w:val="000000" w:themeColor="text1"/>
        </w:rPr>
        <w:t xml:space="preserve">in order to </w:t>
      </w:r>
      <w:r w:rsidRPr="003D5C0C">
        <w:rPr>
          <w:rFonts w:ascii="Arial" w:hAnsi="Arial" w:cs="Arial"/>
          <w:color w:val="000000" w:themeColor="text1"/>
        </w:rPr>
        <w:t xml:space="preserve">reveal the normative principles </w:t>
      </w:r>
      <w:r w:rsidR="00BD0847" w:rsidRPr="003D5C0C">
        <w:rPr>
          <w:rFonts w:ascii="Arial" w:hAnsi="Arial" w:cs="Arial"/>
          <w:color w:val="000000" w:themeColor="text1"/>
        </w:rPr>
        <w:t xml:space="preserve">buried within.  In so doing we seek to show how the performance of the calculation </w:t>
      </w:r>
      <w:r w:rsidR="00936F21" w:rsidRPr="003D5C0C">
        <w:rPr>
          <w:rFonts w:ascii="Arial" w:hAnsi="Arial" w:cs="Arial"/>
          <w:color w:val="000000" w:themeColor="text1"/>
        </w:rPr>
        <w:t>re</w:t>
      </w:r>
      <w:r w:rsidR="005A63E7">
        <w:rPr>
          <w:rFonts w:ascii="Arial" w:hAnsi="Arial" w:cs="Arial"/>
          <w:color w:val="000000" w:themeColor="text1"/>
        </w:rPr>
        <w:t xml:space="preserve">veals contradictions and </w:t>
      </w:r>
      <w:r w:rsidRPr="003D5C0C">
        <w:rPr>
          <w:rFonts w:ascii="Arial" w:hAnsi="Arial" w:cs="Arial"/>
          <w:color w:val="000000" w:themeColor="text1"/>
        </w:rPr>
        <w:t xml:space="preserve">ambiguities.  Furthermore, we argue that the Standard Method actually propagates established patterns of uneven geographic development that are in conflict with the government’s stated objective of building 300,000 new homes per annum with a preference for this development to take place on previously developed urban land.  To make this case we begin by setting out the Standard Method and the principle that only in the presence of ‘exceptional local circumstances’ can local authorities deviate from its use.  Following this discussion, we provide an analysis of what might count as an evidence base for thinking of LPAs as ‘exceptional’ solely in the terms of the inputs to the Standard Method.  We conclude that the range of local authorities that might be understood as experiencing exceptional local circumstances in relation to one or more of these inputs is very </w:t>
      </w:r>
      <w:r w:rsidRPr="003D5C0C">
        <w:rPr>
          <w:rFonts w:ascii="Arial" w:hAnsi="Arial" w:cs="Arial"/>
          <w:color w:val="000000" w:themeColor="text1"/>
        </w:rPr>
        <w:lastRenderedPageBreak/>
        <w:t xml:space="preserve">significant indeed.  We go on to provide a statistical analysis of the Standard Method which reveals the normative decision for some inputs to be weighted more strongly than others.  In conclusion we note that it is these normative aspects of the Standard Method that result in a distribution of housing </w:t>
      </w:r>
      <w:r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rPr>
        <w:t>that follows a well-worn path: significant levels of development</w:t>
      </w:r>
      <w:r w:rsidR="00936F21" w:rsidRPr="003D5C0C">
        <w:rPr>
          <w:rFonts w:ascii="Arial" w:hAnsi="Arial" w:cs="Arial"/>
          <w:color w:val="000000" w:themeColor="text1"/>
        </w:rPr>
        <w:t xml:space="preserve"> identified as required in </w:t>
      </w:r>
      <w:r w:rsidRPr="003D5C0C">
        <w:rPr>
          <w:rFonts w:ascii="Arial" w:hAnsi="Arial" w:cs="Arial"/>
          <w:color w:val="000000" w:themeColor="text1"/>
        </w:rPr>
        <w:t xml:space="preserve">London and the South East and low levels elsewhere, particularly </w:t>
      </w:r>
      <w:r w:rsidR="00936F21" w:rsidRPr="003D5C0C">
        <w:rPr>
          <w:rFonts w:ascii="Arial" w:hAnsi="Arial" w:cs="Arial"/>
          <w:color w:val="000000" w:themeColor="text1"/>
        </w:rPr>
        <w:t xml:space="preserve">in the </w:t>
      </w:r>
      <w:r w:rsidRPr="003D5C0C">
        <w:rPr>
          <w:rFonts w:ascii="Arial" w:hAnsi="Arial" w:cs="Arial"/>
          <w:color w:val="000000" w:themeColor="text1"/>
        </w:rPr>
        <w:t xml:space="preserve">deprived ex-industrial towns </w:t>
      </w:r>
      <w:r w:rsidR="00936F21" w:rsidRPr="003D5C0C">
        <w:rPr>
          <w:rFonts w:ascii="Arial" w:hAnsi="Arial" w:cs="Arial"/>
          <w:color w:val="000000" w:themeColor="text1"/>
        </w:rPr>
        <w:t>of</w:t>
      </w:r>
      <w:r w:rsidRPr="003D5C0C">
        <w:rPr>
          <w:rFonts w:ascii="Arial" w:hAnsi="Arial" w:cs="Arial"/>
          <w:color w:val="000000" w:themeColor="text1"/>
        </w:rPr>
        <w:t xml:space="preserve"> the north and midlands.</w:t>
      </w:r>
    </w:p>
    <w:bookmarkEnd w:id="1"/>
    <w:p w14:paraId="7F468F42" w14:textId="77777777" w:rsidR="001F01CD" w:rsidRPr="003D5C0C" w:rsidRDefault="001F01CD" w:rsidP="006633FA">
      <w:pPr>
        <w:spacing w:line="480" w:lineRule="auto"/>
        <w:jc w:val="both"/>
        <w:rPr>
          <w:rFonts w:ascii="Arial" w:hAnsi="Arial" w:cs="Arial"/>
          <w:color w:val="000000" w:themeColor="text1"/>
        </w:rPr>
      </w:pPr>
    </w:p>
    <w:p w14:paraId="6970C746" w14:textId="667A0306" w:rsidR="00A33BE1" w:rsidRPr="003D5C0C" w:rsidRDefault="00A5110D" w:rsidP="006633FA">
      <w:pPr>
        <w:spacing w:line="480" w:lineRule="auto"/>
        <w:jc w:val="both"/>
        <w:rPr>
          <w:rFonts w:ascii="Arial" w:hAnsi="Arial" w:cs="Arial"/>
          <w:color w:val="000000" w:themeColor="text1"/>
        </w:rPr>
      </w:pPr>
      <w:r w:rsidRPr="003D5C0C">
        <w:rPr>
          <w:rFonts w:ascii="Arial" w:hAnsi="Arial" w:cs="Arial"/>
          <w:b/>
          <w:bCs/>
          <w:color w:val="000000" w:themeColor="text1"/>
        </w:rPr>
        <w:t xml:space="preserve">The </w:t>
      </w:r>
      <w:r w:rsidR="000F2302" w:rsidRPr="003D5C0C">
        <w:rPr>
          <w:rFonts w:ascii="Arial" w:hAnsi="Arial" w:cs="Arial"/>
          <w:b/>
          <w:bCs/>
          <w:color w:val="000000" w:themeColor="text1"/>
        </w:rPr>
        <w:t xml:space="preserve">mechanics of the </w:t>
      </w:r>
      <w:r w:rsidR="00F62BC1" w:rsidRPr="003D5C0C">
        <w:rPr>
          <w:rFonts w:ascii="Arial" w:hAnsi="Arial" w:cs="Arial"/>
          <w:b/>
          <w:bCs/>
          <w:color w:val="000000" w:themeColor="text1"/>
        </w:rPr>
        <w:t>S</w:t>
      </w:r>
      <w:r w:rsidRPr="003D5C0C">
        <w:rPr>
          <w:rFonts w:ascii="Arial" w:hAnsi="Arial" w:cs="Arial"/>
          <w:b/>
          <w:bCs/>
          <w:color w:val="000000" w:themeColor="text1"/>
        </w:rPr>
        <w:t xml:space="preserve">tandard </w:t>
      </w:r>
      <w:r w:rsidR="00F62BC1" w:rsidRPr="003D5C0C">
        <w:rPr>
          <w:rFonts w:ascii="Arial" w:hAnsi="Arial" w:cs="Arial"/>
          <w:b/>
          <w:bCs/>
          <w:color w:val="000000" w:themeColor="text1"/>
        </w:rPr>
        <w:t>M</w:t>
      </w:r>
      <w:r w:rsidRPr="003D5C0C">
        <w:rPr>
          <w:rFonts w:ascii="Arial" w:hAnsi="Arial" w:cs="Arial"/>
          <w:b/>
          <w:bCs/>
          <w:color w:val="000000" w:themeColor="text1"/>
        </w:rPr>
        <w:t>ethod</w:t>
      </w:r>
    </w:p>
    <w:p w14:paraId="64D7EDAD" w14:textId="583CBF1C" w:rsidR="004B475D" w:rsidRPr="003D5C0C" w:rsidRDefault="004B475D"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The </w:t>
      </w:r>
      <w:r w:rsidR="00AD2277" w:rsidRPr="003D5C0C">
        <w:rPr>
          <w:rFonts w:ascii="Arial" w:hAnsi="Arial" w:cs="Arial"/>
          <w:color w:val="000000" w:themeColor="text1"/>
        </w:rPr>
        <w:t>S</w:t>
      </w:r>
      <w:r w:rsidRPr="003D5C0C">
        <w:rPr>
          <w:rFonts w:ascii="Arial" w:hAnsi="Arial" w:cs="Arial"/>
          <w:color w:val="000000" w:themeColor="text1"/>
        </w:rPr>
        <w:t xml:space="preserve">tandard </w:t>
      </w:r>
      <w:r w:rsidR="00AD2277" w:rsidRPr="003D5C0C">
        <w:rPr>
          <w:rFonts w:ascii="Arial" w:hAnsi="Arial" w:cs="Arial"/>
          <w:color w:val="000000" w:themeColor="text1"/>
        </w:rPr>
        <w:t>M</w:t>
      </w:r>
      <w:r w:rsidRPr="003D5C0C">
        <w:rPr>
          <w:rFonts w:ascii="Arial" w:hAnsi="Arial" w:cs="Arial"/>
          <w:color w:val="000000" w:themeColor="text1"/>
        </w:rPr>
        <w:t xml:space="preserve">ethod is a </w:t>
      </w:r>
      <w:r w:rsidR="009B7D50" w:rsidRPr="003D5C0C">
        <w:rPr>
          <w:rFonts w:ascii="Arial" w:hAnsi="Arial" w:cs="Arial"/>
          <w:color w:val="000000" w:themeColor="text1"/>
        </w:rPr>
        <w:t xml:space="preserve">housing </w:t>
      </w:r>
      <w:r w:rsidR="006E335E" w:rsidRPr="003D5C0C">
        <w:rPr>
          <w:rFonts w:ascii="Arial" w:eastAsiaTheme="minorHAnsi" w:hAnsi="Arial" w:cs="Arial"/>
          <w:color w:val="000000" w:themeColor="text1"/>
          <w:lang w:eastAsia="en-US"/>
        </w:rPr>
        <w:t xml:space="preserve">requirement </w:t>
      </w:r>
      <w:r w:rsidR="009B7D50" w:rsidRPr="003D5C0C">
        <w:rPr>
          <w:rFonts w:ascii="Arial" w:hAnsi="Arial" w:cs="Arial"/>
          <w:color w:val="000000" w:themeColor="text1"/>
        </w:rPr>
        <w:t xml:space="preserve">model that comprises a </w:t>
      </w:r>
      <w:r w:rsidRPr="003D5C0C">
        <w:rPr>
          <w:rFonts w:ascii="Arial" w:hAnsi="Arial" w:cs="Arial"/>
          <w:color w:val="000000" w:themeColor="text1"/>
        </w:rPr>
        <w:t>demographic projection model</w:t>
      </w:r>
      <w:r w:rsidR="009B7D50" w:rsidRPr="003D5C0C">
        <w:rPr>
          <w:rFonts w:ascii="Arial" w:hAnsi="Arial" w:cs="Arial"/>
          <w:color w:val="000000" w:themeColor="text1"/>
        </w:rPr>
        <w:t xml:space="preserve"> and </w:t>
      </w:r>
      <w:r w:rsidRPr="003D5C0C">
        <w:rPr>
          <w:rFonts w:ascii="Arial" w:hAnsi="Arial" w:cs="Arial"/>
          <w:color w:val="000000" w:themeColor="text1"/>
        </w:rPr>
        <w:t>an adjustment to account for affordability</w:t>
      </w:r>
      <w:r w:rsidR="009B7D50" w:rsidRPr="003D5C0C">
        <w:rPr>
          <w:rFonts w:ascii="Arial" w:hAnsi="Arial" w:cs="Arial"/>
          <w:color w:val="000000" w:themeColor="text1"/>
        </w:rPr>
        <w:t xml:space="preserve"> (which includes a </w:t>
      </w:r>
      <w:r w:rsidRPr="003D5C0C">
        <w:rPr>
          <w:rFonts w:ascii="Arial" w:hAnsi="Arial" w:cs="Arial"/>
          <w:color w:val="000000" w:themeColor="text1"/>
        </w:rPr>
        <w:t>cap to prevent a major uplift in the housing requirement</w:t>
      </w:r>
      <w:r w:rsidR="009B7D50" w:rsidRPr="003D5C0C">
        <w:rPr>
          <w:rFonts w:ascii="Arial" w:hAnsi="Arial" w:cs="Arial"/>
          <w:color w:val="000000" w:themeColor="text1"/>
        </w:rPr>
        <w:t xml:space="preserve"> in any single local authority)</w:t>
      </w:r>
      <w:r w:rsidRPr="003D5C0C">
        <w:rPr>
          <w:rFonts w:ascii="Arial" w:hAnsi="Arial" w:cs="Arial"/>
          <w:color w:val="000000" w:themeColor="text1"/>
        </w:rPr>
        <w:t>.</w:t>
      </w:r>
      <w:r w:rsidR="009B7D50" w:rsidRPr="003D5C0C">
        <w:rPr>
          <w:rFonts w:ascii="Arial" w:hAnsi="Arial" w:cs="Arial"/>
          <w:color w:val="000000" w:themeColor="text1"/>
        </w:rPr>
        <w:t xml:space="preserve">  </w:t>
      </w:r>
      <w:r w:rsidRPr="003D5C0C">
        <w:rPr>
          <w:rFonts w:ascii="Arial" w:hAnsi="Arial" w:cs="Arial"/>
          <w:color w:val="000000" w:themeColor="text1"/>
        </w:rPr>
        <w:t xml:space="preserve">The decision </w:t>
      </w:r>
      <w:r w:rsidR="005F3ADA" w:rsidRPr="003D5C0C">
        <w:rPr>
          <w:rFonts w:ascii="Arial" w:hAnsi="Arial" w:cs="Arial"/>
          <w:color w:val="000000" w:themeColor="text1"/>
        </w:rPr>
        <w:t xml:space="preserve">about what </w:t>
      </w:r>
      <w:r w:rsidRPr="003D5C0C">
        <w:rPr>
          <w:rFonts w:ascii="Arial" w:hAnsi="Arial" w:cs="Arial"/>
          <w:color w:val="000000" w:themeColor="text1"/>
        </w:rPr>
        <w:t xml:space="preserve">to include/exclude in a 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rPr>
        <w:t xml:space="preserve">model is an indication of a normative position about the </w:t>
      </w:r>
      <w:r w:rsidR="005F3ADA" w:rsidRPr="003D5C0C">
        <w:rPr>
          <w:rFonts w:ascii="Arial" w:hAnsi="Arial" w:cs="Arial"/>
          <w:color w:val="000000" w:themeColor="text1"/>
        </w:rPr>
        <w:t>relative importance of different variables</w:t>
      </w:r>
      <w:r w:rsidRPr="003D5C0C">
        <w:rPr>
          <w:rFonts w:ascii="Arial" w:hAnsi="Arial" w:cs="Arial"/>
          <w:color w:val="000000" w:themeColor="text1"/>
        </w:rPr>
        <w:t xml:space="preserve">.  As such calculations performed in line with the </w:t>
      </w:r>
      <w:r w:rsidR="00930610" w:rsidRPr="003D5C0C">
        <w:rPr>
          <w:rFonts w:ascii="Arial" w:hAnsi="Arial" w:cs="Arial"/>
          <w:color w:val="000000" w:themeColor="text1"/>
        </w:rPr>
        <w:t xml:space="preserve">Standard Method </w:t>
      </w:r>
      <w:r w:rsidRPr="003D5C0C">
        <w:rPr>
          <w:rFonts w:ascii="Arial" w:hAnsi="Arial" w:cs="Arial"/>
          <w:color w:val="000000" w:themeColor="text1"/>
        </w:rPr>
        <w:t xml:space="preserve">are calculative practices that </w:t>
      </w:r>
      <w:r w:rsidR="005F3ADA" w:rsidRPr="003D5C0C">
        <w:rPr>
          <w:rFonts w:ascii="Arial" w:hAnsi="Arial" w:cs="Arial"/>
          <w:color w:val="000000" w:themeColor="text1"/>
        </w:rPr>
        <w:t>are politically performative</w:t>
      </w:r>
      <w:r w:rsidRPr="003D5C0C">
        <w:rPr>
          <w:rFonts w:ascii="Arial" w:hAnsi="Arial" w:cs="Arial"/>
          <w:color w:val="000000" w:themeColor="text1"/>
        </w:rPr>
        <w:t xml:space="preserve">. </w:t>
      </w:r>
      <w:r w:rsidR="003A0A7C" w:rsidRPr="003D5C0C">
        <w:rPr>
          <w:rFonts w:ascii="Arial" w:hAnsi="Arial" w:cs="Arial"/>
          <w:color w:val="000000" w:themeColor="text1"/>
        </w:rPr>
        <w:t xml:space="preserve"> </w:t>
      </w:r>
      <w:r w:rsidRPr="003D5C0C">
        <w:rPr>
          <w:rFonts w:ascii="Arial" w:hAnsi="Arial" w:cs="Arial"/>
          <w:color w:val="000000" w:themeColor="text1"/>
        </w:rPr>
        <w:t>A substantial literature has emerged to understand calculative practices that materially determine planning and development outcomes (e.g. McAllister, Street and Wyatt, 2016; Crosby and Henneberry, 2016; Murphy, 2019), but to date there has been no analysis of the Standard Method from this perspective</w:t>
      </w:r>
      <w:r w:rsidR="00936F21" w:rsidRPr="003D5C0C">
        <w:rPr>
          <w:rFonts w:ascii="Arial" w:hAnsi="Arial" w:cs="Arial"/>
          <w:color w:val="000000" w:themeColor="text1"/>
        </w:rPr>
        <w:t>.</w:t>
      </w:r>
    </w:p>
    <w:p w14:paraId="4AC5F411" w14:textId="77777777" w:rsidR="004B475D" w:rsidRPr="003D5C0C" w:rsidRDefault="004B475D" w:rsidP="006633FA">
      <w:pPr>
        <w:spacing w:line="480" w:lineRule="auto"/>
        <w:jc w:val="both"/>
        <w:rPr>
          <w:rFonts w:ascii="Arial" w:hAnsi="Arial" w:cs="Arial"/>
          <w:color w:val="000000" w:themeColor="text1"/>
        </w:rPr>
      </w:pPr>
    </w:p>
    <w:p w14:paraId="2731116F" w14:textId="6BFD6C04" w:rsidR="004B475D" w:rsidRPr="003D5C0C" w:rsidRDefault="004B475D"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The Standard Method displays normative assumptions about a large number of issues. </w:t>
      </w:r>
      <w:r w:rsidR="00D96E9B" w:rsidRPr="003D5C0C">
        <w:rPr>
          <w:rFonts w:ascii="Arial" w:hAnsi="Arial" w:cs="Arial"/>
          <w:color w:val="000000" w:themeColor="text1"/>
        </w:rPr>
        <w:t>I</w:t>
      </w:r>
      <w:r w:rsidRPr="003D5C0C">
        <w:rPr>
          <w:rFonts w:ascii="Arial" w:hAnsi="Arial" w:cs="Arial"/>
          <w:color w:val="000000" w:themeColor="text1"/>
        </w:rPr>
        <w:t>n short</w:t>
      </w:r>
      <w:r w:rsidR="005F3ADA" w:rsidRPr="003D5C0C">
        <w:rPr>
          <w:rFonts w:ascii="Arial" w:hAnsi="Arial" w:cs="Arial"/>
          <w:color w:val="000000" w:themeColor="text1"/>
        </w:rPr>
        <w:t>,</w:t>
      </w:r>
      <w:r w:rsidRPr="003D5C0C">
        <w:rPr>
          <w:rFonts w:ascii="Arial" w:hAnsi="Arial" w:cs="Arial"/>
          <w:color w:val="000000" w:themeColor="text1"/>
        </w:rPr>
        <w:t xml:space="preserve"> </w:t>
      </w:r>
      <w:r w:rsidR="00D96E9B" w:rsidRPr="003D5C0C">
        <w:rPr>
          <w:rFonts w:ascii="Arial" w:hAnsi="Arial" w:cs="Arial"/>
          <w:color w:val="000000" w:themeColor="text1"/>
        </w:rPr>
        <w:t xml:space="preserve">the </w:t>
      </w:r>
      <w:r w:rsidRPr="003D5C0C">
        <w:rPr>
          <w:rFonts w:ascii="Arial" w:hAnsi="Arial" w:cs="Arial"/>
          <w:color w:val="000000" w:themeColor="text1"/>
        </w:rPr>
        <w:t>assumptions within the model relate to every step</w:t>
      </w:r>
      <w:r w:rsidR="005F3ADA" w:rsidRPr="003D5C0C">
        <w:rPr>
          <w:rFonts w:ascii="Arial" w:hAnsi="Arial" w:cs="Arial"/>
          <w:color w:val="000000" w:themeColor="text1"/>
        </w:rPr>
        <w:t xml:space="preserve"> of the calculative process</w:t>
      </w:r>
      <w:r w:rsidRPr="003D5C0C">
        <w:rPr>
          <w:rFonts w:ascii="Arial" w:hAnsi="Arial" w:cs="Arial"/>
          <w:color w:val="000000" w:themeColor="text1"/>
        </w:rPr>
        <w:t xml:space="preserve"> and include assumptions about who should share a single dwelling, whether market and economic factors impact on housing requirement</w:t>
      </w:r>
      <w:r w:rsidR="0048297F" w:rsidRPr="003D5C0C">
        <w:rPr>
          <w:rFonts w:ascii="Arial" w:hAnsi="Arial" w:cs="Arial"/>
          <w:color w:val="000000" w:themeColor="text1"/>
        </w:rPr>
        <w:t>s</w:t>
      </w:r>
      <w:r w:rsidRPr="003D5C0C">
        <w:rPr>
          <w:rFonts w:ascii="Arial" w:hAnsi="Arial" w:cs="Arial"/>
          <w:color w:val="000000" w:themeColor="text1"/>
        </w:rPr>
        <w:t xml:space="preserve"> and whether other </w:t>
      </w:r>
      <w:r w:rsidRPr="003D5C0C">
        <w:rPr>
          <w:rFonts w:ascii="Arial" w:hAnsi="Arial" w:cs="Arial"/>
          <w:color w:val="000000" w:themeColor="text1"/>
        </w:rPr>
        <w:lastRenderedPageBreak/>
        <w:t xml:space="preserve">policy considerations should be included.  </w:t>
      </w:r>
      <w:r w:rsidR="005F3ADA" w:rsidRPr="003D5C0C">
        <w:rPr>
          <w:rFonts w:ascii="Arial" w:hAnsi="Arial" w:cs="Arial"/>
          <w:color w:val="000000" w:themeColor="text1"/>
        </w:rPr>
        <w:t>T</w:t>
      </w:r>
      <w:r w:rsidRPr="003D5C0C">
        <w:rPr>
          <w:rFonts w:ascii="Arial" w:hAnsi="Arial" w:cs="Arial"/>
          <w:color w:val="000000" w:themeColor="text1"/>
        </w:rPr>
        <w:t xml:space="preserve">he </w:t>
      </w:r>
      <w:r w:rsidR="00930610" w:rsidRPr="003D5C0C">
        <w:rPr>
          <w:rFonts w:ascii="Arial" w:hAnsi="Arial" w:cs="Arial"/>
          <w:color w:val="000000" w:themeColor="text1"/>
        </w:rPr>
        <w:t>Standard Method</w:t>
      </w:r>
      <w:r w:rsidR="005F3ADA" w:rsidRPr="003D5C0C">
        <w:rPr>
          <w:rFonts w:ascii="Arial" w:hAnsi="Arial" w:cs="Arial"/>
          <w:color w:val="000000" w:themeColor="text1"/>
        </w:rPr>
        <w:t>, therefore,</w:t>
      </w:r>
      <w:r w:rsidRPr="003D5C0C">
        <w:rPr>
          <w:rFonts w:ascii="Arial" w:hAnsi="Arial" w:cs="Arial"/>
          <w:color w:val="000000" w:themeColor="text1"/>
        </w:rPr>
        <w:t xml:space="preserve"> defines what is ‘normal’ housing requirement</w:t>
      </w:r>
      <w:r w:rsidR="005F3ADA" w:rsidRPr="003D5C0C">
        <w:rPr>
          <w:rFonts w:ascii="Arial" w:hAnsi="Arial" w:cs="Arial"/>
          <w:color w:val="000000" w:themeColor="text1"/>
        </w:rPr>
        <w:t>.  A</w:t>
      </w:r>
      <w:r w:rsidRPr="003D5C0C">
        <w:rPr>
          <w:rFonts w:ascii="Arial" w:hAnsi="Arial" w:cs="Arial"/>
          <w:color w:val="000000" w:themeColor="text1"/>
        </w:rPr>
        <w:t>s the guidance from MHCLG puts it</w:t>
      </w:r>
      <w:r w:rsidR="005F3ADA" w:rsidRPr="003D5C0C">
        <w:rPr>
          <w:rFonts w:ascii="Arial" w:hAnsi="Arial" w:cs="Arial"/>
          <w:color w:val="000000" w:themeColor="text1"/>
        </w:rPr>
        <w:t>:</w:t>
      </w:r>
      <w:r w:rsidRPr="003D5C0C">
        <w:rPr>
          <w:rFonts w:ascii="Arial" w:hAnsi="Arial" w:cs="Arial"/>
          <w:color w:val="000000" w:themeColor="text1"/>
        </w:rPr>
        <w:t xml:space="preserve"> “</w:t>
      </w:r>
      <w:r w:rsidRPr="003D5C0C">
        <w:rPr>
          <w:rFonts w:ascii="Arial" w:hAnsi="Arial" w:cs="Arial"/>
          <w:color w:val="000000" w:themeColor="text1"/>
          <w:shd w:val="clear" w:color="auto" w:fill="FFFFFF"/>
        </w:rPr>
        <w:t>The standard method uses a formula to identify the minimum number of homes expected to be planned for, in a way which addresses projected household growth and historic under-supply.” (MHCLG, 2019</w:t>
      </w:r>
      <w:r w:rsidR="00FD653A" w:rsidRPr="003D5C0C">
        <w:rPr>
          <w:rFonts w:ascii="Arial" w:hAnsi="Arial" w:cs="Arial"/>
          <w:color w:val="000000" w:themeColor="text1"/>
          <w:shd w:val="clear" w:color="auto" w:fill="FFFFFF"/>
        </w:rPr>
        <w:t>: 1).</w:t>
      </w:r>
      <w:r w:rsidRPr="003D5C0C">
        <w:rPr>
          <w:rFonts w:ascii="Arial" w:hAnsi="Arial" w:cs="Arial"/>
          <w:color w:val="000000" w:themeColor="text1"/>
          <w:shd w:val="clear" w:color="auto" w:fill="FFFFFF"/>
        </w:rPr>
        <w:t xml:space="preserve"> </w:t>
      </w:r>
    </w:p>
    <w:p w14:paraId="2076A053" w14:textId="77777777" w:rsidR="004B475D" w:rsidRPr="003D5C0C" w:rsidRDefault="004B475D" w:rsidP="006633FA">
      <w:pPr>
        <w:spacing w:line="480" w:lineRule="auto"/>
        <w:jc w:val="both"/>
        <w:rPr>
          <w:rFonts w:ascii="Arial" w:hAnsi="Arial" w:cs="Arial"/>
          <w:color w:val="000000" w:themeColor="text1"/>
          <w:shd w:val="clear" w:color="auto" w:fill="FFFFFF"/>
        </w:rPr>
      </w:pPr>
    </w:p>
    <w:p w14:paraId="2F01D857" w14:textId="7425CCA9" w:rsidR="00CB3E39" w:rsidRPr="003D5C0C" w:rsidRDefault="00CB3E39"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National Planning Policy Guidance </w:t>
      </w:r>
      <w:r w:rsidR="0048297F" w:rsidRPr="003D5C0C">
        <w:rPr>
          <w:rFonts w:ascii="Arial" w:hAnsi="Arial" w:cs="Arial"/>
          <w:color w:val="000000" w:themeColor="text1"/>
        </w:rPr>
        <w:t>places a</w:t>
      </w:r>
      <w:r w:rsidRPr="003D5C0C">
        <w:rPr>
          <w:rFonts w:ascii="Arial" w:hAnsi="Arial" w:cs="Arial"/>
          <w:color w:val="000000" w:themeColor="text1"/>
        </w:rPr>
        <w:t xml:space="preserve"> requirement </w:t>
      </w:r>
      <w:r w:rsidR="0048297F" w:rsidRPr="003D5C0C">
        <w:rPr>
          <w:rFonts w:ascii="Arial" w:hAnsi="Arial" w:cs="Arial"/>
          <w:color w:val="000000" w:themeColor="text1"/>
        </w:rPr>
        <w:t>on</w:t>
      </w:r>
      <w:r w:rsidRPr="003D5C0C">
        <w:rPr>
          <w:rFonts w:ascii="Arial" w:hAnsi="Arial" w:cs="Arial"/>
          <w:color w:val="000000" w:themeColor="text1"/>
        </w:rPr>
        <w:t xml:space="preserve"> LPAs to adopt the housing number implied by the </w:t>
      </w:r>
      <w:r w:rsidR="00930610" w:rsidRPr="003D5C0C">
        <w:rPr>
          <w:rFonts w:ascii="Arial" w:hAnsi="Arial" w:cs="Arial"/>
          <w:color w:val="000000" w:themeColor="text1"/>
        </w:rPr>
        <w:t>Standard Method</w:t>
      </w:r>
      <w:r w:rsidRPr="003D5C0C">
        <w:rPr>
          <w:rFonts w:ascii="Arial" w:hAnsi="Arial" w:cs="Arial"/>
          <w:color w:val="000000" w:themeColor="text1"/>
        </w:rPr>
        <w:t>.</w:t>
      </w:r>
      <w:r w:rsidR="00FF4071" w:rsidRPr="003D5C0C">
        <w:rPr>
          <w:rFonts w:ascii="Arial" w:hAnsi="Arial" w:cs="Arial"/>
          <w:color w:val="000000" w:themeColor="text1"/>
        </w:rPr>
        <w:t xml:space="preserve">  Whilst e</w:t>
      </w:r>
      <w:r w:rsidRPr="003D5C0C">
        <w:rPr>
          <w:rFonts w:ascii="Arial" w:hAnsi="Arial" w:cs="Arial"/>
          <w:color w:val="000000" w:themeColor="text1"/>
        </w:rPr>
        <w:t>xceeding th</w:t>
      </w:r>
      <w:r w:rsidR="00FF4071" w:rsidRPr="003D5C0C">
        <w:rPr>
          <w:rFonts w:ascii="Arial" w:hAnsi="Arial" w:cs="Arial"/>
          <w:color w:val="000000" w:themeColor="text1"/>
        </w:rPr>
        <w:t>e</w:t>
      </w:r>
      <w:r w:rsidRPr="003D5C0C">
        <w:rPr>
          <w:rFonts w:ascii="Arial" w:hAnsi="Arial" w:cs="Arial"/>
          <w:color w:val="000000" w:themeColor="text1"/>
        </w:rPr>
        <w:t xml:space="preserve"> target </w:t>
      </w:r>
      <w:r w:rsidR="00FF4071" w:rsidRPr="003D5C0C">
        <w:rPr>
          <w:rFonts w:ascii="Arial" w:hAnsi="Arial" w:cs="Arial"/>
          <w:color w:val="000000" w:themeColor="text1"/>
        </w:rPr>
        <w:t xml:space="preserve">that results from the </w:t>
      </w:r>
      <w:r w:rsidR="00AD2277" w:rsidRPr="003D5C0C">
        <w:rPr>
          <w:rFonts w:ascii="Arial" w:hAnsi="Arial" w:cs="Arial"/>
          <w:color w:val="000000" w:themeColor="text1"/>
        </w:rPr>
        <w:t>S</w:t>
      </w:r>
      <w:r w:rsidR="00FF4071" w:rsidRPr="003D5C0C">
        <w:rPr>
          <w:rFonts w:ascii="Arial" w:hAnsi="Arial" w:cs="Arial"/>
          <w:color w:val="000000" w:themeColor="text1"/>
        </w:rPr>
        <w:t xml:space="preserve">tandard </w:t>
      </w:r>
      <w:r w:rsidR="00AD2277" w:rsidRPr="003D5C0C">
        <w:rPr>
          <w:rFonts w:ascii="Arial" w:hAnsi="Arial" w:cs="Arial"/>
          <w:color w:val="000000" w:themeColor="text1"/>
        </w:rPr>
        <w:t>M</w:t>
      </w:r>
      <w:r w:rsidR="00FF4071" w:rsidRPr="003D5C0C">
        <w:rPr>
          <w:rFonts w:ascii="Arial" w:hAnsi="Arial" w:cs="Arial"/>
          <w:color w:val="000000" w:themeColor="text1"/>
        </w:rPr>
        <w:t xml:space="preserve">ethod </w:t>
      </w:r>
      <w:r w:rsidRPr="003D5C0C">
        <w:rPr>
          <w:rFonts w:ascii="Arial" w:hAnsi="Arial" w:cs="Arial"/>
          <w:color w:val="000000" w:themeColor="text1"/>
        </w:rPr>
        <w:t>is permitted</w:t>
      </w:r>
      <w:r w:rsidR="00AE6FF6" w:rsidRPr="003D5C0C">
        <w:rPr>
          <w:rFonts w:ascii="Arial" w:hAnsi="Arial" w:cs="Arial"/>
          <w:color w:val="000000" w:themeColor="text1"/>
        </w:rPr>
        <w:t>,</w:t>
      </w:r>
      <w:r w:rsidRPr="003D5C0C">
        <w:rPr>
          <w:rFonts w:ascii="Arial" w:hAnsi="Arial" w:cs="Arial"/>
          <w:color w:val="000000" w:themeColor="text1"/>
        </w:rPr>
        <w:t xml:space="preserve"> an LPAs capacity to argue for a lower target is proscribed unless it can be demonstrated that there is clear evidence of ‘exceptional local circumstances’:</w:t>
      </w:r>
    </w:p>
    <w:p w14:paraId="74D56063" w14:textId="77777777" w:rsidR="00CB3E39" w:rsidRPr="003D5C0C" w:rsidRDefault="00CB3E39" w:rsidP="006633FA">
      <w:pPr>
        <w:spacing w:line="480" w:lineRule="auto"/>
        <w:jc w:val="both"/>
        <w:rPr>
          <w:rFonts w:ascii="Arial" w:hAnsi="Arial" w:cs="Arial"/>
          <w:color w:val="000000" w:themeColor="text1"/>
        </w:rPr>
      </w:pPr>
    </w:p>
    <w:p w14:paraId="38DFAD8D" w14:textId="77777777" w:rsidR="00CB3E39" w:rsidRPr="003D5C0C" w:rsidRDefault="00CB3E39" w:rsidP="006633FA">
      <w:pPr>
        <w:spacing w:line="480" w:lineRule="auto"/>
        <w:ind w:left="567" w:right="567"/>
        <w:jc w:val="both"/>
        <w:rPr>
          <w:rFonts w:ascii="Arial" w:hAnsi="Arial" w:cs="Arial"/>
          <w:color w:val="000000" w:themeColor="text1"/>
        </w:rPr>
      </w:pPr>
      <w:r w:rsidRPr="003D5C0C">
        <w:rPr>
          <w:rFonts w:ascii="Arial" w:hAnsi="Arial" w:cs="Arial"/>
          <w:color w:val="000000" w:themeColor="text1"/>
        </w:rPr>
        <w:t>‘Where a strategic policy-making authority can show that an alternative approach identifies a need higher than using the standard method, and that it adequately reflects current and future demographic trends and market signals, the approach can be considered sound as it will have exceeded the minimum starting point.</w:t>
      </w:r>
    </w:p>
    <w:p w14:paraId="7811D02A" w14:textId="77777777" w:rsidR="00CB3E39" w:rsidRPr="003D5C0C" w:rsidRDefault="00CB3E39" w:rsidP="006633FA">
      <w:pPr>
        <w:spacing w:line="480" w:lineRule="auto"/>
        <w:ind w:left="567" w:right="567"/>
        <w:jc w:val="both"/>
        <w:rPr>
          <w:rFonts w:ascii="Arial" w:hAnsi="Arial" w:cs="Arial"/>
          <w:color w:val="000000" w:themeColor="text1"/>
        </w:rPr>
      </w:pPr>
    </w:p>
    <w:p w14:paraId="5E6BC235" w14:textId="77777777" w:rsidR="00CB3E39" w:rsidRPr="003D5C0C" w:rsidRDefault="00CB3E39" w:rsidP="006633FA">
      <w:pPr>
        <w:spacing w:line="480" w:lineRule="auto"/>
        <w:ind w:left="567" w:right="567"/>
        <w:jc w:val="both"/>
        <w:rPr>
          <w:rFonts w:ascii="Arial" w:hAnsi="Arial" w:cs="Arial"/>
          <w:color w:val="000000" w:themeColor="text1"/>
        </w:rPr>
      </w:pPr>
      <w:r w:rsidRPr="003D5C0C">
        <w:rPr>
          <w:rFonts w:ascii="Arial" w:hAnsi="Arial" w:cs="Arial"/>
          <w:color w:val="000000" w:themeColor="text1"/>
        </w:rPr>
        <w:t xml:space="preserve">Where an alternative approach results in a lower housing need figure than that identified using the standard method, the strategic policy-making authority will need to demonstrate, using robust evidence, that the figure is based on realistic assumptions of demographic growth and that there are </w:t>
      </w:r>
      <w:r w:rsidRPr="003D5C0C">
        <w:rPr>
          <w:rFonts w:ascii="Arial" w:hAnsi="Arial" w:cs="Arial"/>
          <w:i/>
          <w:color w:val="000000" w:themeColor="text1"/>
        </w:rPr>
        <w:t>exceptional local circumstances</w:t>
      </w:r>
      <w:r w:rsidRPr="003D5C0C">
        <w:rPr>
          <w:rFonts w:ascii="Arial" w:hAnsi="Arial" w:cs="Arial"/>
          <w:color w:val="000000" w:themeColor="text1"/>
        </w:rPr>
        <w:t xml:space="preserve"> that justify deviating from the standard method. This will be tested at examination’. (MHCLG, 2019; emphasis added).</w:t>
      </w:r>
    </w:p>
    <w:p w14:paraId="67065B45" w14:textId="77777777" w:rsidR="00CB3E39" w:rsidRPr="003D5C0C" w:rsidRDefault="00CB3E39" w:rsidP="006633FA">
      <w:pPr>
        <w:spacing w:line="480" w:lineRule="auto"/>
        <w:ind w:left="567" w:right="567"/>
        <w:jc w:val="both"/>
        <w:rPr>
          <w:rFonts w:ascii="Arial" w:hAnsi="Arial" w:cs="Arial"/>
          <w:color w:val="000000" w:themeColor="text1"/>
        </w:rPr>
      </w:pPr>
    </w:p>
    <w:p w14:paraId="4C2D5D0B" w14:textId="7A65FBDD" w:rsidR="004B475D" w:rsidRPr="003D5C0C" w:rsidRDefault="00CB3E39" w:rsidP="006633FA">
      <w:pPr>
        <w:spacing w:line="480" w:lineRule="auto"/>
        <w:jc w:val="both"/>
        <w:rPr>
          <w:rFonts w:ascii="Arial" w:hAnsi="Arial" w:cs="Arial"/>
          <w:color w:val="000000" w:themeColor="text1"/>
          <w:shd w:val="clear" w:color="auto" w:fill="FFFFFF"/>
        </w:rPr>
      </w:pPr>
      <w:r w:rsidRPr="003D5C0C">
        <w:rPr>
          <w:rFonts w:ascii="Arial" w:hAnsi="Arial" w:cs="Arial"/>
          <w:color w:val="000000" w:themeColor="text1"/>
        </w:rPr>
        <w:t xml:space="preserve">In </w:t>
      </w:r>
      <w:r w:rsidR="00FF4071" w:rsidRPr="003D5C0C">
        <w:rPr>
          <w:rFonts w:ascii="Arial" w:hAnsi="Arial" w:cs="Arial"/>
          <w:color w:val="000000" w:themeColor="text1"/>
        </w:rPr>
        <w:t xml:space="preserve">what follows we seek to set out the mechanics of the </w:t>
      </w:r>
      <w:r w:rsidR="00AE6FF6" w:rsidRPr="003D5C0C">
        <w:rPr>
          <w:rFonts w:ascii="Arial" w:hAnsi="Arial" w:cs="Arial"/>
          <w:color w:val="000000" w:themeColor="text1"/>
        </w:rPr>
        <w:t>S</w:t>
      </w:r>
      <w:r w:rsidR="00FF4071" w:rsidRPr="003D5C0C">
        <w:rPr>
          <w:rFonts w:ascii="Arial" w:hAnsi="Arial" w:cs="Arial"/>
          <w:color w:val="000000" w:themeColor="text1"/>
        </w:rPr>
        <w:t xml:space="preserve">tandard </w:t>
      </w:r>
      <w:r w:rsidR="00AE6FF6" w:rsidRPr="003D5C0C">
        <w:rPr>
          <w:rFonts w:ascii="Arial" w:hAnsi="Arial" w:cs="Arial"/>
          <w:color w:val="000000" w:themeColor="text1"/>
        </w:rPr>
        <w:t>M</w:t>
      </w:r>
      <w:r w:rsidR="00FF4071" w:rsidRPr="003D5C0C">
        <w:rPr>
          <w:rFonts w:ascii="Arial" w:hAnsi="Arial" w:cs="Arial"/>
          <w:color w:val="000000" w:themeColor="text1"/>
        </w:rPr>
        <w:t xml:space="preserve">ethod before exploring </w:t>
      </w:r>
      <w:r w:rsidRPr="003D5C0C">
        <w:rPr>
          <w:rFonts w:ascii="Arial" w:hAnsi="Arial" w:cs="Arial"/>
          <w:color w:val="000000" w:themeColor="text1"/>
        </w:rPr>
        <w:t xml:space="preserve">this concept of exceptionalism and the degree to which it could be a meaningful claim for a number of LPAs.  </w:t>
      </w:r>
    </w:p>
    <w:p w14:paraId="03575BDF" w14:textId="77777777" w:rsidR="004B475D" w:rsidRPr="003D5C0C" w:rsidRDefault="004B475D" w:rsidP="006633FA">
      <w:pPr>
        <w:spacing w:line="480" w:lineRule="auto"/>
        <w:jc w:val="both"/>
        <w:rPr>
          <w:rFonts w:ascii="Arial" w:hAnsi="Arial" w:cs="Arial"/>
          <w:color w:val="000000" w:themeColor="text1"/>
          <w:shd w:val="clear" w:color="auto" w:fill="FFFFFF"/>
        </w:rPr>
      </w:pPr>
    </w:p>
    <w:p w14:paraId="496C2A91" w14:textId="77777777" w:rsidR="004B475D" w:rsidRPr="003D5C0C" w:rsidRDefault="004B475D" w:rsidP="006633FA">
      <w:pPr>
        <w:pStyle w:val="ListParagraph"/>
        <w:numPr>
          <w:ilvl w:val="0"/>
          <w:numId w:val="3"/>
        </w:numPr>
        <w:spacing w:after="0" w:line="480" w:lineRule="auto"/>
        <w:jc w:val="both"/>
        <w:rPr>
          <w:rFonts w:ascii="Arial" w:hAnsi="Arial" w:cs="Arial"/>
          <w:color w:val="000000" w:themeColor="text1"/>
          <w:sz w:val="24"/>
          <w:szCs w:val="24"/>
          <w:shd w:val="clear" w:color="auto" w:fill="FFFFFF"/>
        </w:rPr>
      </w:pPr>
      <w:r w:rsidRPr="003D5C0C">
        <w:rPr>
          <w:rFonts w:ascii="Arial" w:hAnsi="Arial" w:cs="Arial"/>
          <w:color w:val="000000" w:themeColor="text1"/>
          <w:sz w:val="24"/>
          <w:szCs w:val="24"/>
          <w:shd w:val="clear" w:color="auto" w:fill="FFFFFF"/>
        </w:rPr>
        <w:t>Setting the baseline</w:t>
      </w:r>
    </w:p>
    <w:p w14:paraId="55A9CB20" w14:textId="11D79855" w:rsidR="004B475D" w:rsidRPr="003D5C0C" w:rsidRDefault="004B475D" w:rsidP="006633FA">
      <w:pPr>
        <w:spacing w:line="480" w:lineRule="auto"/>
        <w:jc w:val="both"/>
        <w:rPr>
          <w:rFonts w:ascii="Arial" w:hAnsi="Arial" w:cs="Arial"/>
          <w:color w:val="000000" w:themeColor="text1"/>
          <w:shd w:val="clear" w:color="auto" w:fill="FFFFFF"/>
        </w:rPr>
      </w:pPr>
      <w:bookmarkStart w:id="2" w:name="_Hlk42086722"/>
      <w:r w:rsidRPr="003D5C0C">
        <w:rPr>
          <w:rFonts w:ascii="Arial" w:hAnsi="Arial" w:cs="Arial"/>
          <w:color w:val="000000" w:themeColor="text1"/>
          <w:shd w:val="clear" w:color="auto" w:fill="FFFFFF"/>
        </w:rPr>
        <w:t xml:space="preserve">The projected increase in the number of households over the next </w:t>
      </w:r>
      <w:r w:rsidR="009B6ADB" w:rsidRPr="003D5C0C">
        <w:rPr>
          <w:rFonts w:ascii="Arial" w:hAnsi="Arial" w:cs="Arial"/>
          <w:color w:val="000000" w:themeColor="text1"/>
          <w:shd w:val="clear" w:color="auto" w:fill="FFFFFF"/>
        </w:rPr>
        <w:t>ten</w:t>
      </w:r>
      <w:r w:rsidR="00182A71" w:rsidRPr="003D5C0C">
        <w:rPr>
          <w:rFonts w:ascii="Arial" w:hAnsi="Arial" w:cs="Arial"/>
          <w:color w:val="000000" w:themeColor="text1"/>
          <w:shd w:val="clear" w:color="auto" w:fill="FFFFFF"/>
        </w:rPr>
        <w:t xml:space="preserve"> </w:t>
      </w:r>
      <w:r w:rsidRPr="003D5C0C">
        <w:rPr>
          <w:rFonts w:ascii="Arial" w:hAnsi="Arial" w:cs="Arial"/>
          <w:color w:val="000000" w:themeColor="text1"/>
          <w:shd w:val="clear" w:color="auto" w:fill="FFFFFF"/>
        </w:rPr>
        <w:t xml:space="preserve">years sets the baseline (e.g. projected number of households in the local authority in 2030 minus the projected number of households in the local authority in 2020).  </w:t>
      </w:r>
      <w:bookmarkEnd w:id="2"/>
      <w:r w:rsidRPr="003D5C0C">
        <w:rPr>
          <w:rFonts w:ascii="Arial" w:hAnsi="Arial" w:cs="Arial"/>
          <w:color w:val="000000" w:themeColor="text1"/>
          <w:shd w:val="clear" w:color="auto" w:fill="FFFFFF"/>
        </w:rPr>
        <w:t xml:space="preserve">Whilst it was originally planned that the projections would be updated every two years, using the </w:t>
      </w:r>
      <w:r w:rsidR="00936F21" w:rsidRPr="003D5C0C">
        <w:rPr>
          <w:rFonts w:ascii="Arial" w:hAnsi="Arial" w:cs="Arial"/>
          <w:color w:val="000000" w:themeColor="text1"/>
          <w:shd w:val="clear" w:color="auto" w:fill="FFFFFF"/>
        </w:rPr>
        <w:t>most recently available data</w:t>
      </w:r>
      <w:r w:rsidRPr="003D5C0C">
        <w:rPr>
          <w:rFonts w:ascii="Arial" w:hAnsi="Arial" w:cs="Arial"/>
          <w:color w:val="000000" w:themeColor="text1"/>
          <w:shd w:val="clear" w:color="auto" w:fill="FFFFFF"/>
        </w:rPr>
        <w:t xml:space="preserve">, this </w:t>
      </w:r>
      <w:r w:rsidR="000F2302" w:rsidRPr="003D5C0C">
        <w:rPr>
          <w:rFonts w:ascii="Arial" w:hAnsi="Arial" w:cs="Arial"/>
          <w:color w:val="000000" w:themeColor="text1"/>
          <w:shd w:val="clear" w:color="auto" w:fill="FFFFFF"/>
        </w:rPr>
        <w:t xml:space="preserve">decision was </w:t>
      </w:r>
      <w:r w:rsidRPr="003D5C0C">
        <w:rPr>
          <w:rFonts w:ascii="Arial" w:hAnsi="Arial" w:cs="Arial"/>
          <w:color w:val="000000" w:themeColor="text1"/>
          <w:shd w:val="clear" w:color="auto" w:fill="FFFFFF"/>
        </w:rPr>
        <w:t xml:space="preserve">rescinded </w:t>
      </w:r>
      <w:r w:rsidR="00DC4665" w:rsidRPr="003D5C0C">
        <w:rPr>
          <w:rFonts w:ascii="Arial" w:hAnsi="Arial" w:cs="Arial"/>
          <w:color w:val="000000" w:themeColor="text1"/>
          <w:shd w:val="clear" w:color="auto" w:fill="FFFFFF"/>
        </w:rPr>
        <w:t xml:space="preserve">as the use of the 2016 data resulted in a </w:t>
      </w:r>
      <w:r w:rsidR="00DC4665" w:rsidRPr="003D5C0C">
        <w:rPr>
          <w:rFonts w:ascii="Arial" w:hAnsi="Arial" w:cs="Arial"/>
          <w:color w:val="000000" w:themeColor="text1"/>
        </w:rPr>
        <w:t xml:space="preserve">much lower national housing </w:t>
      </w:r>
      <w:r w:rsidR="006E335E" w:rsidRPr="003D5C0C">
        <w:rPr>
          <w:rFonts w:ascii="Arial" w:eastAsiaTheme="minorHAnsi" w:hAnsi="Arial" w:cs="Arial"/>
          <w:color w:val="000000" w:themeColor="text1"/>
          <w:lang w:eastAsia="en-US"/>
        </w:rPr>
        <w:t xml:space="preserve">requirement </w:t>
      </w:r>
      <w:r w:rsidR="00DC4665" w:rsidRPr="003D5C0C">
        <w:rPr>
          <w:rFonts w:ascii="Arial" w:hAnsi="Arial" w:cs="Arial"/>
          <w:color w:val="000000" w:themeColor="text1"/>
        </w:rPr>
        <w:t>assessment than the government’s national house building target.</w:t>
      </w:r>
      <w:r w:rsidRPr="003D5C0C">
        <w:rPr>
          <w:rFonts w:ascii="Arial" w:hAnsi="Arial" w:cs="Arial"/>
          <w:color w:val="000000" w:themeColor="text1"/>
          <w:shd w:val="clear" w:color="auto" w:fill="FFFFFF"/>
        </w:rPr>
        <w:t xml:space="preserve"> </w:t>
      </w:r>
      <w:r w:rsidR="003A0A7C" w:rsidRPr="003D5C0C">
        <w:rPr>
          <w:rFonts w:ascii="Arial" w:hAnsi="Arial" w:cs="Arial"/>
          <w:color w:val="000000" w:themeColor="text1"/>
          <w:shd w:val="clear" w:color="auto" w:fill="FFFFFF"/>
        </w:rPr>
        <w:t xml:space="preserve"> </w:t>
      </w:r>
      <w:r w:rsidR="00DC4665" w:rsidRPr="003D5C0C">
        <w:rPr>
          <w:rFonts w:ascii="Arial" w:hAnsi="Arial" w:cs="Arial"/>
          <w:color w:val="000000" w:themeColor="text1"/>
          <w:shd w:val="clear" w:color="auto" w:fill="FFFFFF"/>
        </w:rPr>
        <w:t>This points to two important features of the Standard Method’s development.  Firstly, it is clear that the computation of the Standard Method represents normative prescriptions</w:t>
      </w:r>
      <w:r w:rsidR="00756DB0" w:rsidRPr="003D5C0C">
        <w:rPr>
          <w:rFonts w:ascii="Arial" w:hAnsi="Arial" w:cs="Arial"/>
          <w:color w:val="000000" w:themeColor="text1"/>
          <w:shd w:val="clear" w:color="auto" w:fill="FFFFFF"/>
        </w:rPr>
        <w:t xml:space="preserve"> - the</w:t>
      </w:r>
      <w:r w:rsidR="00DC4665" w:rsidRPr="003D5C0C">
        <w:rPr>
          <w:rFonts w:ascii="Arial" w:hAnsi="Arial" w:cs="Arial"/>
          <w:color w:val="000000" w:themeColor="text1"/>
          <w:shd w:val="clear" w:color="auto" w:fill="FFFFFF"/>
        </w:rPr>
        <w:t xml:space="preserve"> calculative method is adjusted to fit the target rather than </w:t>
      </w:r>
      <w:r w:rsidR="00756DB0" w:rsidRPr="003D5C0C">
        <w:rPr>
          <w:rFonts w:ascii="Arial" w:hAnsi="Arial" w:cs="Arial"/>
          <w:color w:val="000000" w:themeColor="text1"/>
          <w:shd w:val="clear" w:color="auto" w:fill="FFFFFF"/>
        </w:rPr>
        <w:t xml:space="preserve">a purely objective process that allows the assessment of housing </w:t>
      </w:r>
      <w:r w:rsidR="006E335E" w:rsidRPr="003D5C0C">
        <w:rPr>
          <w:rFonts w:ascii="Arial" w:eastAsiaTheme="minorHAnsi" w:hAnsi="Arial" w:cs="Arial"/>
          <w:color w:val="000000" w:themeColor="text1"/>
          <w:lang w:eastAsia="en-US"/>
        </w:rPr>
        <w:t xml:space="preserve">requirement </w:t>
      </w:r>
      <w:r w:rsidR="00756DB0" w:rsidRPr="003D5C0C">
        <w:rPr>
          <w:rFonts w:ascii="Arial" w:hAnsi="Arial" w:cs="Arial"/>
          <w:color w:val="000000" w:themeColor="text1"/>
          <w:shd w:val="clear" w:color="auto" w:fill="FFFFFF"/>
        </w:rPr>
        <w:t xml:space="preserve">to fluctuate with the choice of inputs.  Secondly, it points to the significance and vagaries of a demography-based model.  Extrapolations based on data sets released just two years apart can have a significant effect on the assessment of housing </w:t>
      </w:r>
      <w:r w:rsidR="006E335E" w:rsidRPr="003D5C0C">
        <w:rPr>
          <w:rFonts w:ascii="Arial" w:eastAsiaTheme="minorHAnsi" w:hAnsi="Arial" w:cs="Arial"/>
          <w:color w:val="000000" w:themeColor="text1"/>
          <w:lang w:eastAsia="en-US"/>
        </w:rPr>
        <w:t xml:space="preserve">requirement </w:t>
      </w:r>
      <w:r w:rsidR="00756DB0" w:rsidRPr="003D5C0C">
        <w:rPr>
          <w:rFonts w:ascii="Arial" w:hAnsi="Arial" w:cs="Arial"/>
          <w:color w:val="000000" w:themeColor="text1"/>
          <w:shd w:val="clear" w:color="auto" w:fill="FFFFFF"/>
        </w:rPr>
        <w:t>if demography is strongly weighted.</w:t>
      </w:r>
    </w:p>
    <w:p w14:paraId="6DE26B48" w14:textId="77777777" w:rsidR="004B475D" w:rsidRPr="003D5C0C" w:rsidRDefault="004B475D" w:rsidP="006633FA">
      <w:pPr>
        <w:spacing w:line="480" w:lineRule="auto"/>
        <w:jc w:val="both"/>
        <w:rPr>
          <w:rFonts w:ascii="Arial" w:hAnsi="Arial" w:cs="Arial"/>
          <w:color w:val="000000" w:themeColor="text1"/>
          <w:shd w:val="clear" w:color="auto" w:fill="FFFFFF"/>
        </w:rPr>
      </w:pPr>
    </w:p>
    <w:p w14:paraId="684E8C3F" w14:textId="5D2102B5" w:rsidR="004B475D" w:rsidRPr="003D5C0C" w:rsidRDefault="004B475D" w:rsidP="006633FA">
      <w:pPr>
        <w:spacing w:line="480" w:lineRule="auto"/>
        <w:jc w:val="both"/>
        <w:rPr>
          <w:rFonts w:ascii="Arial" w:hAnsi="Arial" w:cs="Arial"/>
          <w:color w:val="000000" w:themeColor="text1"/>
          <w:shd w:val="clear" w:color="auto" w:fill="FFFFFF"/>
        </w:rPr>
      </w:pPr>
      <w:r w:rsidRPr="003D5C0C">
        <w:rPr>
          <w:rFonts w:ascii="Arial" w:hAnsi="Arial" w:cs="Arial"/>
          <w:color w:val="000000" w:themeColor="text1"/>
          <w:shd w:val="clear" w:color="auto" w:fill="FFFFFF"/>
        </w:rPr>
        <w:t xml:space="preserve">The ONS’ household projections are based on a cohort component method that requires an estimate (and then projection) of </w:t>
      </w:r>
      <w:r w:rsidR="00766F05" w:rsidRPr="003D5C0C">
        <w:rPr>
          <w:rFonts w:ascii="Arial" w:hAnsi="Arial" w:cs="Arial"/>
          <w:color w:val="000000" w:themeColor="text1"/>
          <w:shd w:val="clear" w:color="auto" w:fill="FFFFFF"/>
        </w:rPr>
        <w:t xml:space="preserve">a local authority’s </w:t>
      </w:r>
      <w:r w:rsidRPr="003D5C0C">
        <w:rPr>
          <w:rFonts w:ascii="Arial" w:hAnsi="Arial" w:cs="Arial"/>
          <w:color w:val="000000" w:themeColor="text1"/>
          <w:shd w:val="clear" w:color="auto" w:fill="FFFFFF"/>
        </w:rPr>
        <w:t xml:space="preserve">population.  This approach essentially takes a snapshot of the population and then rolls forward recent trends for each age-sex group within that population to </w:t>
      </w:r>
      <w:r w:rsidR="00766F05" w:rsidRPr="003D5C0C">
        <w:rPr>
          <w:rFonts w:ascii="Arial" w:hAnsi="Arial" w:cs="Arial"/>
          <w:color w:val="000000" w:themeColor="text1"/>
          <w:shd w:val="clear" w:color="auto" w:fill="FFFFFF"/>
        </w:rPr>
        <w:t xml:space="preserve">arrive at a </w:t>
      </w:r>
      <w:r w:rsidRPr="003D5C0C">
        <w:rPr>
          <w:rFonts w:ascii="Arial" w:hAnsi="Arial" w:cs="Arial"/>
          <w:color w:val="000000" w:themeColor="text1"/>
          <w:shd w:val="clear" w:color="auto" w:fill="FFFFFF"/>
        </w:rPr>
        <w:t>project</w:t>
      </w:r>
      <w:r w:rsidR="00766F05" w:rsidRPr="003D5C0C">
        <w:rPr>
          <w:rFonts w:ascii="Arial" w:hAnsi="Arial" w:cs="Arial"/>
          <w:color w:val="000000" w:themeColor="text1"/>
          <w:shd w:val="clear" w:color="auto" w:fill="FFFFFF"/>
        </w:rPr>
        <w:t xml:space="preserve">ion of the </w:t>
      </w:r>
      <w:r w:rsidRPr="003D5C0C">
        <w:rPr>
          <w:rFonts w:ascii="Arial" w:hAnsi="Arial" w:cs="Arial"/>
          <w:color w:val="000000" w:themeColor="text1"/>
          <w:shd w:val="clear" w:color="auto" w:fill="FFFFFF"/>
        </w:rPr>
        <w:lastRenderedPageBreak/>
        <w:t>population.  In order to get to the snapshot/first point in time, the ONS use data from the latest Census (i.e. 2011) and the recorded live births, recorded deaths, fertility rate, crude death rate, recorded absolute in- and out-migration from within the local authority area and estimates of international in- and out-migration in the intervening period (e.g. nine years between 2011 and 2020).  This step allows an estimate of the population predicated on the accuracy of each of the inputs.  To convert the population estimate into a household estimate a household representative rate (based on the trend in recent population counts, i.e. 2001 and 2011 censuses)</w:t>
      </w:r>
      <w:r w:rsidR="00766F05" w:rsidRPr="003D5C0C">
        <w:rPr>
          <w:rFonts w:ascii="Arial" w:hAnsi="Arial" w:cs="Arial"/>
          <w:color w:val="000000" w:themeColor="text1"/>
          <w:shd w:val="clear" w:color="auto" w:fill="FFFFFF"/>
        </w:rPr>
        <w:t xml:space="preserve"> is applied to each population cohort</w:t>
      </w:r>
      <w:r w:rsidRPr="003D5C0C">
        <w:rPr>
          <w:rFonts w:ascii="Arial" w:hAnsi="Arial" w:cs="Arial"/>
          <w:color w:val="000000" w:themeColor="text1"/>
          <w:shd w:val="clear" w:color="auto" w:fill="FFFFFF"/>
        </w:rPr>
        <w:t xml:space="preserve">. This gives an estimate of households for each cohort. </w:t>
      </w:r>
    </w:p>
    <w:p w14:paraId="28672D52" w14:textId="77777777" w:rsidR="004B475D" w:rsidRPr="003D5C0C" w:rsidRDefault="004B475D" w:rsidP="006633FA">
      <w:pPr>
        <w:spacing w:line="480" w:lineRule="auto"/>
        <w:jc w:val="both"/>
        <w:rPr>
          <w:rFonts w:ascii="Arial" w:hAnsi="Arial" w:cs="Arial"/>
          <w:color w:val="000000" w:themeColor="text1"/>
          <w:shd w:val="clear" w:color="auto" w:fill="FFFFFF"/>
        </w:rPr>
      </w:pPr>
    </w:p>
    <w:p w14:paraId="194273DD" w14:textId="5A513281" w:rsidR="004B475D" w:rsidRPr="003D5C0C" w:rsidRDefault="004B475D" w:rsidP="006633FA">
      <w:pPr>
        <w:spacing w:line="480" w:lineRule="auto"/>
        <w:jc w:val="both"/>
        <w:rPr>
          <w:rFonts w:ascii="Arial" w:hAnsi="Arial" w:cs="Arial"/>
          <w:color w:val="000000" w:themeColor="text1"/>
          <w:shd w:val="clear" w:color="auto" w:fill="FFFFFF"/>
        </w:rPr>
      </w:pPr>
      <w:r w:rsidRPr="003D5C0C">
        <w:rPr>
          <w:rFonts w:ascii="Arial" w:hAnsi="Arial" w:cs="Arial"/>
          <w:color w:val="000000" w:themeColor="text1"/>
          <w:shd w:val="clear" w:color="auto" w:fill="FFFFFF"/>
        </w:rPr>
        <w:t>From the estimate of the population</w:t>
      </w:r>
      <w:r w:rsidR="00766F05" w:rsidRPr="003D5C0C">
        <w:rPr>
          <w:rFonts w:ascii="Arial" w:hAnsi="Arial" w:cs="Arial"/>
          <w:color w:val="000000" w:themeColor="text1"/>
          <w:shd w:val="clear" w:color="auto" w:fill="FFFFFF"/>
        </w:rPr>
        <w:t xml:space="preserve"> </w:t>
      </w:r>
      <w:r w:rsidRPr="003D5C0C">
        <w:rPr>
          <w:rFonts w:ascii="Arial" w:hAnsi="Arial" w:cs="Arial"/>
          <w:color w:val="000000" w:themeColor="text1"/>
          <w:shd w:val="clear" w:color="auto" w:fill="FFFFFF"/>
        </w:rPr>
        <w:t xml:space="preserve">the projection adds in the number of people that have been added to each cohort according to recent trends (normally </w:t>
      </w:r>
      <w:r w:rsidR="00766F05" w:rsidRPr="003D5C0C">
        <w:rPr>
          <w:rFonts w:ascii="Arial" w:hAnsi="Arial" w:cs="Arial"/>
          <w:color w:val="000000" w:themeColor="text1"/>
          <w:shd w:val="clear" w:color="auto" w:fill="FFFFFF"/>
        </w:rPr>
        <w:t xml:space="preserve">the </w:t>
      </w:r>
      <w:r w:rsidRPr="003D5C0C">
        <w:rPr>
          <w:rFonts w:ascii="Arial" w:hAnsi="Arial" w:cs="Arial"/>
          <w:color w:val="000000" w:themeColor="text1"/>
          <w:shd w:val="clear" w:color="auto" w:fill="FFFFFF"/>
        </w:rPr>
        <w:t xml:space="preserve">last five years of recorded data).  This approach </w:t>
      </w:r>
      <w:r w:rsidR="00766F05" w:rsidRPr="003D5C0C">
        <w:rPr>
          <w:rFonts w:ascii="Arial" w:hAnsi="Arial" w:cs="Arial"/>
          <w:color w:val="000000" w:themeColor="text1"/>
          <w:shd w:val="clear" w:color="auto" w:fill="FFFFFF"/>
        </w:rPr>
        <w:t xml:space="preserve">is, </w:t>
      </w:r>
      <w:r w:rsidRPr="003D5C0C">
        <w:rPr>
          <w:rFonts w:ascii="Arial" w:hAnsi="Arial" w:cs="Arial"/>
          <w:color w:val="000000" w:themeColor="text1"/>
          <w:shd w:val="clear" w:color="auto" w:fill="FFFFFF"/>
        </w:rPr>
        <w:t>therefore</w:t>
      </w:r>
      <w:r w:rsidR="00766F05" w:rsidRPr="003D5C0C">
        <w:rPr>
          <w:rFonts w:ascii="Arial" w:hAnsi="Arial" w:cs="Arial"/>
          <w:color w:val="000000" w:themeColor="text1"/>
          <w:shd w:val="clear" w:color="auto" w:fill="FFFFFF"/>
        </w:rPr>
        <w:t>,</w:t>
      </w:r>
      <w:r w:rsidRPr="003D5C0C">
        <w:rPr>
          <w:rFonts w:ascii="Arial" w:hAnsi="Arial" w:cs="Arial"/>
          <w:color w:val="000000" w:themeColor="text1"/>
          <w:shd w:val="clear" w:color="auto" w:fill="FFFFFF"/>
        </w:rPr>
        <w:t xml:space="preserve"> contingent upon the accuracy of the records of births, deaths, in- and out-migration in the last five years for each cohort in the age-sex structure of the local authority.  The same household representative rate can then be applied (or trend) to convert this population change to a household change. </w:t>
      </w:r>
    </w:p>
    <w:p w14:paraId="2563AD4B" w14:textId="77777777" w:rsidR="004B475D" w:rsidRPr="003D5C0C" w:rsidRDefault="004B475D" w:rsidP="006633FA">
      <w:pPr>
        <w:spacing w:line="480" w:lineRule="auto"/>
        <w:jc w:val="both"/>
        <w:rPr>
          <w:rFonts w:ascii="Arial" w:hAnsi="Arial" w:cs="Arial"/>
          <w:color w:val="000000" w:themeColor="text1"/>
          <w:shd w:val="clear" w:color="auto" w:fill="FFFFFF"/>
        </w:rPr>
      </w:pPr>
    </w:p>
    <w:p w14:paraId="7BFBDF13" w14:textId="64B420E1" w:rsidR="004B475D" w:rsidRPr="003D5C0C" w:rsidRDefault="004B475D" w:rsidP="006633FA">
      <w:pPr>
        <w:spacing w:line="480" w:lineRule="auto"/>
        <w:jc w:val="both"/>
        <w:rPr>
          <w:rFonts w:ascii="Arial" w:hAnsi="Arial" w:cs="Arial"/>
          <w:color w:val="000000" w:themeColor="text1"/>
          <w:shd w:val="clear" w:color="auto" w:fill="FFFFFF"/>
        </w:rPr>
      </w:pPr>
      <w:r w:rsidRPr="003D5C0C">
        <w:rPr>
          <w:rFonts w:ascii="Arial" w:hAnsi="Arial" w:cs="Arial"/>
          <w:color w:val="000000" w:themeColor="text1"/>
          <w:shd w:val="clear" w:color="auto" w:fill="FFFFFF"/>
        </w:rPr>
        <w:t xml:space="preserve">The difficulty of using trend-based projections in predicting housing requirements has been highlighted regularly throughout the history of assessing housing </w:t>
      </w:r>
      <w:r w:rsidR="006E335E" w:rsidRPr="003D5C0C">
        <w:rPr>
          <w:rFonts w:ascii="Arial" w:eastAsiaTheme="minorHAnsi" w:hAnsi="Arial" w:cs="Arial"/>
          <w:color w:val="000000" w:themeColor="text1"/>
          <w:lang w:eastAsia="en-US"/>
        </w:rPr>
        <w:t>requirement</w:t>
      </w:r>
      <w:r w:rsidR="00766F05" w:rsidRPr="003D5C0C">
        <w:rPr>
          <w:rFonts w:ascii="Arial" w:hAnsi="Arial" w:cs="Arial"/>
          <w:color w:val="000000" w:themeColor="text1"/>
          <w:shd w:val="clear" w:color="auto" w:fill="FFFFFF"/>
        </w:rPr>
        <w:t>.  For example, Baker and Wong (1997: 76) note that:</w:t>
      </w:r>
      <w:r w:rsidRPr="003D5C0C">
        <w:rPr>
          <w:rFonts w:ascii="Arial" w:hAnsi="Arial" w:cs="Arial"/>
          <w:color w:val="000000" w:themeColor="text1"/>
          <w:shd w:val="clear" w:color="auto" w:fill="FFFFFF"/>
        </w:rPr>
        <w:t xml:space="preserve"> </w:t>
      </w:r>
    </w:p>
    <w:p w14:paraId="6813F801" w14:textId="652B72E6" w:rsidR="00766F05" w:rsidRPr="003D5C0C" w:rsidRDefault="004B475D" w:rsidP="006633FA">
      <w:pPr>
        <w:spacing w:before="100" w:beforeAutospacing="1" w:after="100" w:afterAutospacing="1" w:line="480" w:lineRule="auto"/>
        <w:ind w:left="720"/>
        <w:jc w:val="both"/>
        <w:rPr>
          <w:rFonts w:ascii="Arial" w:hAnsi="Arial" w:cs="Arial"/>
          <w:color w:val="000000" w:themeColor="text1"/>
        </w:rPr>
      </w:pPr>
      <w:r w:rsidRPr="003D5C0C">
        <w:rPr>
          <w:rFonts w:ascii="Arial" w:hAnsi="Arial" w:cs="Arial"/>
          <w:color w:val="000000" w:themeColor="text1"/>
        </w:rPr>
        <w:t xml:space="preserve">“As the household projections are trend-based forecasts, any new changing socio- economic circumstances that affect the components in the model may not be reflected in the current projections. </w:t>
      </w:r>
      <w:r w:rsidR="003A0A7C" w:rsidRPr="003D5C0C">
        <w:rPr>
          <w:rFonts w:ascii="Arial" w:hAnsi="Arial" w:cs="Arial"/>
          <w:color w:val="000000" w:themeColor="text1"/>
        </w:rPr>
        <w:t xml:space="preserve"> </w:t>
      </w:r>
      <w:r w:rsidRPr="003D5C0C">
        <w:rPr>
          <w:rFonts w:ascii="Arial" w:hAnsi="Arial" w:cs="Arial"/>
          <w:color w:val="000000" w:themeColor="text1"/>
        </w:rPr>
        <w:t xml:space="preserve">On the one hand, this retrospective approach means the assumptions sometimes lag behind events (Shaw, 1994). </w:t>
      </w:r>
      <w:r w:rsidRPr="003D5C0C">
        <w:rPr>
          <w:rFonts w:ascii="Arial" w:hAnsi="Arial" w:cs="Arial"/>
          <w:color w:val="000000" w:themeColor="text1"/>
        </w:rPr>
        <w:lastRenderedPageBreak/>
        <w:t xml:space="preserve">On the other hand, if unusual changes in the very recent socioeconomic trends such as the 1989 recession are picked up, they can exaggerate the effect of changes because the projections are carried out by applying decreasing weightings to the more historical data points in the time series.” </w:t>
      </w:r>
    </w:p>
    <w:p w14:paraId="74DE670A" w14:textId="797FB030" w:rsidR="004B475D" w:rsidRPr="003D5C0C" w:rsidRDefault="004B475D" w:rsidP="006633FA">
      <w:pPr>
        <w:spacing w:before="100" w:beforeAutospacing="1" w:after="100" w:afterAutospacing="1" w:line="480" w:lineRule="auto"/>
        <w:jc w:val="both"/>
        <w:rPr>
          <w:rFonts w:ascii="Arial" w:hAnsi="Arial" w:cs="Arial"/>
          <w:color w:val="000000" w:themeColor="text1"/>
        </w:rPr>
      </w:pPr>
      <w:r w:rsidRPr="003D5C0C">
        <w:rPr>
          <w:rFonts w:ascii="Arial" w:hAnsi="Arial" w:cs="Arial"/>
          <w:color w:val="000000" w:themeColor="text1"/>
        </w:rPr>
        <w:t>Over time, the accuracy of household projections has been predicated upon stability in the type and formation of households (Holmans, 2012).  As household types changed over the 20</w:t>
      </w:r>
      <w:r w:rsidRPr="003D5C0C">
        <w:rPr>
          <w:rFonts w:ascii="Arial" w:hAnsi="Arial" w:cs="Arial"/>
          <w:color w:val="000000" w:themeColor="text1"/>
          <w:vertAlign w:val="superscript"/>
        </w:rPr>
        <w:t>th</w:t>
      </w:r>
      <w:r w:rsidRPr="003D5C0C">
        <w:rPr>
          <w:rFonts w:ascii="Arial" w:hAnsi="Arial" w:cs="Arial"/>
          <w:color w:val="000000" w:themeColor="text1"/>
        </w:rPr>
        <w:t xml:space="preserve"> century</w:t>
      </w:r>
      <w:r w:rsidR="00AE6FF6" w:rsidRPr="003D5C0C">
        <w:rPr>
          <w:rFonts w:ascii="Arial" w:hAnsi="Arial" w:cs="Arial"/>
          <w:color w:val="000000" w:themeColor="text1"/>
        </w:rPr>
        <w:t xml:space="preserve"> as a result of </w:t>
      </w:r>
      <w:r w:rsidRPr="003D5C0C">
        <w:rPr>
          <w:rFonts w:ascii="Arial" w:hAnsi="Arial" w:cs="Arial"/>
          <w:color w:val="000000" w:themeColor="text1"/>
        </w:rPr>
        <w:t>increases in trends such as divorce, co-habit</w:t>
      </w:r>
      <w:r w:rsidR="00185586" w:rsidRPr="003D5C0C">
        <w:rPr>
          <w:rFonts w:ascii="Arial" w:hAnsi="Arial" w:cs="Arial"/>
          <w:color w:val="000000" w:themeColor="text1"/>
        </w:rPr>
        <w:t xml:space="preserve">ation </w:t>
      </w:r>
      <w:r w:rsidRPr="003D5C0C">
        <w:rPr>
          <w:rFonts w:ascii="Arial" w:hAnsi="Arial" w:cs="Arial"/>
          <w:color w:val="000000" w:themeColor="text1"/>
        </w:rPr>
        <w:t>and multi-generational households</w:t>
      </w:r>
      <w:r w:rsidR="00766F05" w:rsidRPr="003D5C0C">
        <w:rPr>
          <w:rFonts w:ascii="Arial" w:hAnsi="Arial" w:cs="Arial"/>
          <w:color w:val="000000" w:themeColor="text1"/>
        </w:rPr>
        <w:t>,</w:t>
      </w:r>
      <w:r w:rsidRPr="003D5C0C">
        <w:rPr>
          <w:rFonts w:ascii="Arial" w:hAnsi="Arial" w:cs="Arial"/>
          <w:color w:val="000000" w:themeColor="text1"/>
        </w:rPr>
        <w:t xml:space="preserve"> the historic household projections became less accurate.  As such, the 2014-based ONS household projections will be more accurate if household types look similar in 2030 to the backward trends prior to 2014. </w:t>
      </w:r>
      <w:r w:rsidR="003A0A7C" w:rsidRPr="003D5C0C">
        <w:rPr>
          <w:rFonts w:ascii="Arial" w:hAnsi="Arial" w:cs="Arial"/>
          <w:color w:val="000000" w:themeColor="text1"/>
        </w:rPr>
        <w:t xml:space="preserve"> </w:t>
      </w:r>
      <w:r w:rsidRPr="003D5C0C">
        <w:rPr>
          <w:rFonts w:ascii="Arial" w:hAnsi="Arial" w:cs="Arial"/>
          <w:color w:val="000000" w:themeColor="text1"/>
        </w:rPr>
        <w:t xml:space="preserve">Any changes in birth rates, death rates and household types in the intervening period will lead to inaccuracy. </w:t>
      </w:r>
    </w:p>
    <w:p w14:paraId="1323DDE0" w14:textId="6D5E4727" w:rsidR="004B475D" w:rsidRPr="003D5C0C" w:rsidRDefault="004B475D" w:rsidP="006633FA">
      <w:pPr>
        <w:spacing w:before="100" w:beforeAutospacing="1" w:after="100" w:afterAutospacing="1" w:line="480" w:lineRule="auto"/>
        <w:jc w:val="both"/>
        <w:rPr>
          <w:rFonts w:ascii="Arial" w:hAnsi="Arial" w:cs="Arial"/>
          <w:color w:val="000000" w:themeColor="text1"/>
        </w:rPr>
      </w:pPr>
      <w:r w:rsidRPr="003D5C0C">
        <w:rPr>
          <w:rFonts w:ascii="Arial" w:hAnsi="Arial" w:cs="Arial"/>
          <w:color w:val="000000" w:themeColor="text1"/>
        </w:rPr>
        <w:t xml:space="preserve">Household projection-based estimates of 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rPr>
        <w:t xml:space="preserve">have also been criticised for an over simplistic account of the role of finance and the economy in determining the housing market and issues of equity in housing provision (Bramley, 2018; Barker, 2019). </w:t>
      </w:r>
    </w:p>
    <w:p w14:paraId="3F821D8E" w14:textId="60511299" w:rsidR="004B475D" w:rsidRPr="003D5C0C" w:rsidRDefault="004B475D" w:rsidP="006633FA">
      <w:pPr>
        <w:spacing w:before="100" w:beforeAutospacing="1" w:after="100" w:afterAutospacing="1" w:line="480" w:lineRule="auto"/>
        <w:jc w:val="both"/>
        <w:rPr>
          <w:rFonts w:ascii="Arial" w:hAnsi="Arial" w:cs="Arial"/>
          <w:color w:val="000000" w:themeColor="text1"/>
          <w:shd w:val="clear" w:color="auto" w:fill="FFFFFF"/>
        </w:rPr>
      </w:pPr>
      <w:r w:rsidRPr="003D5C0C">
        <w:rPr>
          <w:rFonts w:ascii="Arial" w:hAnsi="Arial" w:cs="Arial"/>
          <w:color w:val="000000" w:themeColor="text1"/>
        </w:rPr>
        <w:t xml:space="preserve">Three normative positions within this step can be identified.  First, future household types should conform to previous household types as projected in the ONS statistics.  Second, </w:t>
      </w:r>
      <w:r w:rsidR="00185586" w:rsidRPr="003D5C0C">
        <w:rPr>
          <w:rFonts w:ascii="Arial" w:hAnsi="Arial" w:cs="Arial"/>
          <w:color w:val="000000" w:themeColor="text1"/>
        </w:rPr>
        <w:t xml:space="preserve">it is assumed that </w:t>
      </w:r>
      <w:r w:rsidRPr="003D5C0C">
        <w:rPr>
          <w:rFonts w:ascii="Arial" w:hAnsi="Arial" w:cs="Arial"/>
          <w:color w:val="000000" w:themeColor="text1"/>
        </w:rPr>
        <w:t>there are the same number of adequate dwellings as the number of households at the beginning of the projection period (i.e. all housing is adequate, regardless of either housing quality or household size</w:t>
      </w:r>
      <w:r w:rsidR="00D3545E" w:rsidRPr="003D5C0C">
        <w:rPr>
          <w:rFonts w:ascii="Arial" w:hAnsi="Arial" w:cs="Arial"/>
          <w:color w:val="000000" w:themeColor="text1"/>
        </w:rPr>
        <w:t>)</w:t>
      </w:r>
      <w:r w:rsidRPr="003D5C0C">
        <w:rPr>
          <w:rFonts w:ascii="Arial" w:hAnsi="Arial" w:cs="Arial"/>
          <w:color w:val="000000" w:themeColor="text1"/>
        </w:rPr>
        <w:t xml:space="preserve">.  Third, the 2014 household projections are </w:t>
      </w:r>
      <w:r w:rsidR="00D3545E" w:rsidRPr="003D5C0C">
        <w:rPr>
          <w:rFonts w:ascii="Arial" w:hAnsi="Arial" w:cs="Arial"/>
          <w:color w:val="000000" w:themeColor="text1"/>
        </w:rPr>
        <w:t xml:space="preserve">assumed to be </w:t>
      </w:r>
      <w:r w:rsidRPr="003D5C0C">
        <w:rPr>
          <w:rFonts w:ascii="Arial" w:hAnsi="Arial" w:cs="Arial"/>
          <w:color w:val="000000" w:themeColor="text1"/>
        </w:rPr>
        <w:t xml:space="preserve">a better reflection of the government’s desire to minimise the impact of constraints in household formation than later projections, even when affordability has been taken into account. </w:t>
      </w:r>
    </w:p>
    <w:p w14:paraId="7DB4A27B" w14:textId="77777777" w:rsidR="004B475D" w:rsidRPr="003D5C0C" w:rsidRDefault="004B475D" w:rsidP="006633FA">
      <w:pPr>
        <w:pStyle w:val="ListParagraph"/>
        <w:numPr>
          <w:ilvl w:val="0"/>
          <w:numId w:val="3"/>
        </w:numPr>
        <w:spacing w:after="0" w:line="480" w:lineRule="auto"/>
        <w:jc w:val="both"/>
        <w:rPr>
          <w:rFonts w:ascii="Arial" w:hAnsi="Arial" w:cs="Arial"/>
          <w:color w:val="000000" w:themeColor="text1"/>
          <w:sz w:val="24"/>
          <w:szCs w:val="24"/>
          <w:shd w:val="clear" w:color="auto" w:fill="FFFFFF"/>
        </w:rPr>
      </w:pPr>
      <w:r w:rsidRPr="003D5C0C">
        <w:rPr>
          <w:rFonts w:ascii="Arial" w:hAnsi="Arial" w:cs="Arial"/>
          <w:color w:val="000000" w:themeColor="text1"/>
          <w:sz w:val="24"/>
          <w:szCs w:val="24"/>
          <w:shd w:val="clear" w:color="auto" w:fill="FFFFFF"/>
        </w:rPr>
        <w:lastRenderedPageBreak/>
        <w:t>An adjustment to take account of affordability</w:t>
      </w:r>
    </w:p>
    <w:p w14:paraId="57A9B162" w14:textId="7E04A524" w:rsidR="00766F05" w:rsidRPr="003D5C0C" w:rsidRDefault="004B475D" w:rsidP="006633FA">
      <w:pPr>
        <w:pStyle w:val="NoSpacing"/>
        <w:spacing w:line="480" w:lineRule="auto"/>
        <w:jc w:val="both"/>
        <w:rPr>
          <w:rFonts w:ascii="Arial" w:hAnsi="Arial" w:cs="Arial"/>
          <w:color w:val="000000" w:themeColor="text1"/>
        </w:rPr>
      </w:pPr>
      <w:r w:rsidRPr="003D5C0C">
        <w:rPr>
          <w:rFonts w:ascii="Arial" w:hAnsi="Arial" w:cs="Arial"/>
          <w:color w:val="000000" w:themeColor="text1"/>
          <w:shd w:val="clear" w:color="auto" w:fill="FFFFFF"/>
        </w:rPr>
        <w:t xml:space="preserve">The second stage in the Standard Method is to inflate the household projection to account for existing 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shd w:val="clear" w:color="auto" w:fill="FFFFFF"/>
        </w:rPr>
        <w:t xml:space="preserve">that is </w:t>
      </w:r>
      <w:r w:rsidR="00766F05" w:rsidRPr="003D5C0C">
        <w:rPr>
          <w:rFonts w:ascii="Arial" w:hAnsi="Arial" w:cs="Arial"/>
          <w:color w:val="000000" w:themeColor="text1"/>
          <w:shd w:val="clear" w:color="auto" w:fill="FFFFFF"/>
        </w:rPr>
        <w:t xml:space="preserve">the result of housing unaffordability, as measured through the ratio of local median </w:t>
      </w:r>
      <w:r w:rsidRPr="003D5C0C">
        <w:rPr>
          <w:rFonts w:ascii="Arial" w:hAnsi="Arial" w:cs="Arial"/>
          <w:color w:val="000000" w:themeColor="text1"/>
          <w:shd w:val="clear" w:color="auto" w:fill="FFFFFF"/>
        </w:rPr>
        <w:t xml:space="preserve">house prices </w:t>
      </w:r>
      <w:r w:rsidR="00766F05" w:rsidRPr="003D5C0C">
        <w:rPr>
          <w:rFonts w:ascii="Arial" w:hAnsi="Arial" w:cs="Arial"/>
          <w:color w:val="000000" w:themeColor="text1"/>
          <w:shd w:val="clear" w:color="auto" w:fill="FFFFFF"/>
        </w:rPr>
        <w:t>relative to</w:t>
      </w:r>
      <w:r w:rsidRPr="003D5C0C">
        <w:rPr>
          <w:rFonts w:ascii="Arial" w:hAnsi="Arial" w:cs="Arial"/>
          <w:color w:val="000000" w:themeColor="text1"/>
          <w:shd w:val="clear" w:color="auto" w:fill="FFFFFF"/>
        </w:rPr>
        <w:t xml:space="preserve"> </w:t>
      </w:r>
      <w:r w:rsidR="00766F05" w:rsidRPr="003D5C0C">
        <w:rPr>
          <w:rFonts w:ascii="Arial" w:hAnsi="Arial" w:cs="Arial"/>
          <w:color w:val="000000" w:themeColor="text1"/>
          <w:shd w:val="clear" w:color="auto" w:fill="FFFFFF"/>
        </w:rPr>
        <w:t xml:space="preserve">local median </w:t>
      </w:r>
      <w:r w:rsidRPr="003D5C0C">
        <w:rPr>
          <w:rFonts w:ascii="Arial" w:hAnsi="Arial" w:cs="Arial"/>
          <w:color w:val="000000" w:themeColor="text1"/>
          <w:shd w:val="clear" w:color="auto" w:fill="FFFFFF"/>
        </w:rPr>
        <w:t>income.  To reflect the argument that housing supply needs to be greater in areas that are le</w:t>
      </w:r>
      <w:r w:rsidR="00766F05" w:rsidRPr="003D5C0C">
        <w:rPr>
          <w:rFonts w:ascii="Arial" w:hAnsi="Arial" w:cs="Arial"/>
          <w:color w:val="000000" w:themeColor="text1"/>
          <w:shd w:val="clear" w:color="auto" w:fill="FFFFFF"/>
        </w:rPr>
        <w:t>ss</w:t>
      </w:r>
      <w:r w:rsidRPr="003D5C0C">
        <w:rPr>
          <w:rFonts w:ascii="Arial" w:hAnsi="Arial" w:cs="Arial"/>
          <w:color w:val="000000" w:themeColor="text1"/>
          <w:shd w:val="clear" w:color="auto" w:fill="FFFFFF"/>
        </w:rPr>
        <w:t xml:space="preserve"> affordable</w:t>
      </w:r>
      <w:r w:rsidR="00766F05" w:rsidRPr="003D5C0C">
        <w:rPr>
          <w:rFonts w:ascii="Arial" w:hAnsi="Arial" w:cs="Arial"/>
          <w:color w:val="000000" w:themeColor="text1"/>
          <w:shd w:val="clear" w:color="auto" w:fill="FFFFFF"/>
        </w:rPr>
        <w:t>,</w:t>
      </w:r>
      <w:r w:rsidRPr="003D5C0C">
        <w:rPr>
          <w:rFonts w:ascii="Arial" w:hAnsi="Arial" w:cs="Arial"/>
          <w:color w:val="000000" w:themeColor="text1"/>
          <w:shd w:val="clear" w:color="auto" w:fill="FFFFFF"/>
        </w:rPr>
        <w:t xml:space="preserve"> the </w:t>
      </w:r>
      <w:r w:rsidR="00D3545E" w:rsidRPr="003D5C0C">
        <w:rPr>
          <w:rFonts w:ascii="Arial" w:hAnsi="Arial" w:cs="Arial"/>
          <w:color w:val="000000" w:themeColor="text1"/>
          <w:shd w:val="clear" w:color="auto" w:fill="FFFFFF"/>
        </w:rPr>
        <w:t>Standard method employs a</w:t>
      </w:r>
      <w:r w:rsidRPr="003D5C0C">
        <w:rPr>
          <w:rFonts w:ascii="Arial" w:hAnsi="Arial" w:cs="Arial"/>
          <w:color w:val="000000" w:themeColor="text1"/>
          <w:shd w:val="clear" w:color="auto" w:fill="FFFFFF"/>
        </w:rPr>
        <w:t xml:space="preserve">n indicator of affordability to increase the 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shd w:val="clear" w:color="auto" w:fill="FFFFFF"/>
        </w:rPr>
        <w:t xml:space="preserve">number in the least affordable local authorities. </w:t>
      </w:r>
      <w:r w:rsidR="003A0A7C" w:rsidRPr="003D5C0C">
        <w:rPr>
          <w:rFonts w:ascii="Arial" w:hAnsi="Arial" w:cs="Arial"/>
          <w:color w:val="000000" w:themeColor="text1"/>
          <w:shd w:val="clear" w:color="auto" w:fill="FFFFFF"/>
        </w:rPr>
        <w:t xml:space="preserve"> </w:t>
      </w:r>
      <w:r w:rsidRPr="003D5C0C">
        <w:rPr>
          <w:rFonts w:ascii="Arial" w:hAnsi="Arial" w:cs="Arial"/>
          <w:color w:val="000000" w:themeColor="text1"/>
        </w:rPr>
        <w:t xml:space="preserve">The MHCLG guidance </w:t>
      </w:r>
      <w:r w:rsidR="00766F05" w:rsidRPr="003D5C0C">
        <w:rPr>
          <w:rFonts w:ascii="Arial" w:hAnsi="Arial" w:cs="Arial"/>
          <w:color w:val="000000" w:themeColor="text1"/>
        </w:rPr>
        <w:t xml:space="preserve">justifies this </w:t>
      </w:r>
      <w:r w:rsidRPr="003D5C0C">
        <w:rPr>
          <w:rFonts w:ascii="Arial" w:hAnsi="Arial" w:cs="Arial"/>
          <w:color w:val="000000" w:themeColor="text1"/>
        </w:rPr>
        <w:t xml:space="preserve">adjustment </w:t>
      </w:r>
      <w:r w:rsidR="00766F05" w:rsidRPr="003D5C0C">
        <w:rPr>
          <w:rFonts w:ascii="Arial" w:hAnsi="Arial" w:cs="Arial"/>
          <w:color w:val="000000" w:themeColor="text1"/>
        </w:rPr>
        <w:t>on the grounds that</w:t>
      </w:r>
      <w:r w:rsidRPr="003D5C0C">
        <w:rPr>
          <w:rFonts w:ascii="Arial" w:hAnsi="Arial" w:cs="Arial"/>
          <w:color w:val="000000" w:themeColor="text1"/>
        </w:rPr>
        <w:t>:</w:t>
      </w:r>
    </w:p>
    <w:p w14:paraId="38DE5660" w14:textId="77777777" w:rsidR="00766F05" w:rsidRPr="003D5C0C" w:rsidRDefault="00766F05" w:rsidP="006633FA">
      <w:pPr>
        <w:pStyle w:val="NoSpacing"/>
        <w:spacing w:line="480" w:lineRule="auto"/>
        <w:jc w:val="both"/>
        <w:rPr>
          <w:rFonts w:ascii="Arial" w:hAnsi="Arial" w:cs="Arial"/>
          <w:color w:val="000000" w:themeColor="text1"/>
        </w:rPr>
      </w:pPr>
    </w:p>
    <w:p w14:paraId="2617823D" w14:textId="3D5355FE" w:rsidR="004B475D" w:rsidRPr="003D5C0C" w:rsidRDefault="004B475D" w:rsidP="006633FA">
      <w:pPr>
        <w:pStyle w:val="NoSpacing"/>
        <w:spacing w:line="480" w:lineRule="auto"/>
        <w:ind w:left="851" w:right="851"/>
        <w:jc w:val="both"/>
        <w:rPr>
          <w:rFonts w:ascii="Arial" w:hAnsi="Arial" w:cs="Arial"/>
          <w:color w:val="000000" w:themeColor="text1"/>
        </w:rPr>
      </w:pPr>
      <w:r w:rsidRPr="003D5C0C">
        <w:rPr>
          <w:rFonts w:ascii="Arial" w:hAnsi="Arial" w:cs="Arial"/>
          <w:color w:val="000000" w:themeColor="text1"/>
        </w:rPr>
        <w:t xml:space="preserve">“household formation is constrained to the supply of available properties </w:t>
      </w:r>
      <w:r w:rsidR="00766F05" w:rsidRPr="003D5C0C">
        <w:rPr>
          <w:rFonts w:ascii="Arial" w:hAnsi="Arial" w:cs="Arial"/>
          <w:color w:val="000000" w:themeColor="text1"/>
        </w:rPr>
        <w:t>-</w:t>
      </w:r>
      <w:r w:rsidRPr="003D5C0C">
        <w:rPr>
          <w:rFonts w:ascii="Arial" w:hAnsi="Arial" w:cs="Arial"/>
          <w:color w:val="000000" w:themeColor="text1"/>
        </w:rPr>
        <w:t xml:space="preserve"> new households cannot form if there is nowhere for them to live; and people may want to live in an area in which they do not reside currently, for example to be near to work, but be unable to find appropriate accommodation that they can afford.  </w:t>
      </w:r>
      <w:r w:rsidRPr="003D5C0C">
        <w:rPr>
          <w:rFonts w:ascii="Arial" w:hAnsi="Arial" w:cs="Arial"/>
          <w:color w:val="000000" w:themeColor="text1"/>
          <w:shd w:val="clear" w:color="auto" w:fill="FFFFFF"/>
        </w:rPr>
        <w:t>The affordability adjustment is applied in order to ensure that the standard method for assessing local housing need responds to price signals and is consistent with the policy objective of significantly boosting the supply of homes.  The specific adjustment in this guidance is set at a level to ensure that minimum annual housing need starts to address the affordability of homes” (MHCLG, 2019</w:t>
      </w:r>
      <w:r w:rsidR="00756DB0" w:rsidRPr="003D5C0C">
        <w:rPr>
          <w:rFonts w:ascii="Arial" w:hAnsi="Arial" w:cs="Arial"/>
          <w:color w:val="000000" w:themeColor="text1"/>
          <w:shd w:val="clear" w:color="auto" w:fill="FFFFFF"/>
        </w:rPr>
        <w:t>).</w:t>
      </w:r>
      <w:r w:rsidRPr="003D5C0C">
        <w:rPr>
          <w:rFonts w:ascii="Arial" w:hAnsi="Arial" w:cs="Arial"/>
          <w:color w:val="000000" w:themeColor="text1"/>
          <w:shd w:val="clear" w:color="auto" w:fill="FFFFFF"/>
        </w:rPr>
        <w:t xml:space="preserve"> </w:t>
      </w:r>
    </w:p>
    <w:p w14:paraId="6EEC1F92" w14:textId="77777777" w:rsidR="004B475D" w:rsidRPr="003D5C0C" w:rsidRDefault="004B475D" w:rsidP="006633FA">
      <w:pPr>
        <w:spacing w:line="480" w:lineRule="auto"/>
        <w:jc w:val="both"/>
        <w:rPr>
          <w:rFonts w:ascii="Arial" w:hAnsi="Arial" w:cs="Arial"/>
          <w:color w:val="000000" w:themeColor="text1"/>
          <w:shd w:val="clear" w:color="auto" w:fill="FFFFFF"/>
        </w:rPr>
      </w:pPr>
    </w:p>
    <w:p w14:paraId="015C3194" w14:textId="5360AEAC" w:rsidR="004B475D" w:rsidRDefault="00D3545E" w:rsidP="006633FA">
      <w:pPr>
        <w:spacing w:line="480" w:lineRule="auto"/>
        <w:jc w:val="both"/>
        <w:rPr>
          <w:rFonts w:ascii="Arial" w:hAnsi="Arial" w:cs="Arial"/>
          <w:color w:val="000000" w:themeColor="text1"/>
          <w:shd w:val="clear" w:color="auto" w:fill="FFFFFF"/>
        </w:rPr>
      </w:pPr>
      <w:r w:rsidRPr="003D5C0C">
        <w:rPr>
          <w:rFonts w:ascii="Arial" w:hAnsi="Arial" w:cs="Arial"/>
          <w:color w:val="000000" w:themeColor="text1"/>
          <w:shd w:val="clear" w:color="auto" w:fill="FFFFFF"/>
        </w:rPr>
        <w:t xml:space="preserve">This </w:t>
      </w:r>
      <w:r w:rsidR="004B475D" w:rsidRPr="003D5C0C">
        <w:rPr>
          <w:rFonts w:ascii="Arial" w:hAnsi="Arial" w:cs="Arial"/>
          <w:color w:val="000000" w:themeColor="text1"/>
          <w:shd w:val="clear" w:color="auto" w:fill="FFFFFF"/>
        </w:rPr>
        <w:t>adjustment accounts for the ratio between average house prices and median work placed incomes</w:t>
      </w:r>
      <w:r w:rsidRPr="003D5C0C">
        <w:rPr>
          <w:rFonts w:ascii="Arial" w:hAnsi="Arial" w:cs="Arial"/>
          <w:color w:val="000000" w:themeColor="text1"/>
          <w:shd w:val="clear" w:color="auto" w:fill="FFFFFF"/>
        </w:rPr>
        <w:t xml:space="preserve"> and is </w:t>
      </w:r>
      <w:r w:rsidR="00FD653A" w:rsidRPr="003D5C0C">
        <w:rPr>
          <w:rFonts w:ascii="Arial" w:hAnsi="Arial" w:cs="Arial"/>
          <w:color w:val="000000" w:themeColor="text1"/>
          <w:shd w:val="clear" w:color="auto" w:fill="FFFFFF"/>
        </w:rPr>
        <w:t>defined by</w:t>
      </w:r>
      <w:r w:rsidR="004B475D" w:rsidRPr="003D5C0C">
        <w:rPr>
          <w:rFonts w:ascii="Arial" w:hAnsi="Arial" w:cs="Arial"/>
          <w:color w:val="000000" w:themeColor="text1"/>
          <w:shd w:val="clear" w:color="auto" w:fill="FFFFFF"/>
        </w:rPr>
        <w:t xml:space="preserve">: </w:t>
      </w:r>
    </w:p>
    <w:p w14:paraId="3F19D101" w14:textId="77777777" w:rsidR="00C61D65" w:rsidRPr="003D5C0C" w:rsidRDefault="00C61D65" w:rsidP="006633FA">
      <w:pPr>
        <w:spacing w:line="480" w:lineRule="auto"/>
        <w:jc w:val="both"/>
        <w:rPr>
          <w:rFonts w:ascii="Arial" w:hAnsi="Arial" w:cs="Arial"/>
          <w:color w:val="000000" w:themeColor="text1"/>
          <w:shd w:val="clear" w:color="auto" w:fill="FFFFFF"/>
        </w:rPr>
      </w:pPr>
    </w:p>
    <w:p w14:paraId="48E6A447" w14:textId="5C87C4DD" w:rsidR="004B475D" w:rsidRPr="003D5C0C" w:rsidRDefault="004B475D" w:rsidP="006633FA">
      <w:pPr>
        <w:spacing w:line="480" w:lineRule="auto"/>
        <w:jc w:val="both"/>
        <w:rPr>
          <w:rFonts w:ascii="Arial" w:hAnsi="Arial" w:cs="Arial"/>
          <w:color w:val="000000" w:themeColor="text1"/>
          <w:shd w:val="clear" w:color="auto" w:fill="FFFFFF"/>
        </w:rPr>
      </w:pPr>
      <m:oMathPara>
        <m:oMath>
          <m:r>
            <m:rPr>
              <m:sty m:val="p"/>
            </m:rPr>
            <w:rPr>
              <w:rFonts w:ascii="Cambria Math" w:hAnsi="Cambria Math" w:cs="Arial"/>
              <w:color w:val="000000" w:themeColor="text1"/>
            </w:rPr>
            <m:t>adjustment factor=1+</m:t>
          </m:r>
          <m:d>
            <m:dPr>
              <m:ctrlPr>
                <w:rPr>
                  <w:rFonts w:ascii="Cambria Math" w:hAnsi="Cambria Math" w:cs="Arial"/>
                  <w:iCs/>
                  <w:color w:val="000000" w:themeColor="text1"/>
                </w:rPr>
              </m:ctrlPr>
            </m:dPr>
            <m:e>
              <m:f>
                <m:fPr>
                  <m:ctrlPr>
                    <w:rPr>
                      <w:rFonts w:ascii="Cambria Math" w:hAnsi="Cambria Math" w:cs="Arial"/>
                      <w:i/>
                      <w:iCs/>
                      <w:color w:val="000000" w:themeColor="text1"/>
                    </w:rPr>
                  </m:ctrlPr>
                </m:fPr>
                <m:num>
                  <m:r>
                    <m:rPr>
                      <m:sty m:val="p"/>
                    </m:rPr>
                    <w:rPr>
                      <w:rFonts w:ascii="Cambria Math" w:hAnsi="Cambria Math" w:cs="Arial"/>
                      <w:color w:val="000000" w:themeColor="text1"/>
                    </w:rPr>
                    <m:t>local affordability ratio-4</m:t>
                  </m:r>
                </m:num>
                <m:den>
                  <m:r>
                    <w:rPr>
                      <w:rFonts w:ascii="Cambria Math" w:hAnsi="Cambria Math" w:cs="Arial"/>
                      <w:color w:val="000000" w:themeColor="text1"/>
                    </w:rPr>
                    <m:t>4</m:t>
                  </m:r>
                </m:den>
              </m:f>
            </m:e>
          </m:d>
          <m:r>
            <m:rPr>
              <m:sty m:val="p"/>
            </m:rPr>
            <w:rPr>
              <w:rFonts w:ascii="Cambria Math" w:hAnsi="Cambria Math" w:cs="Arial"/>
              <w:color w:val="000000" w:themeColor="text1"/>
            </w:rPr>
            <m:t>×0.25</m:t>
          </m:r>
        </m:oMath>
      </m:oMathPara>
    </w:p>
    <w:p w14:paraId="65BEBCCE" w14:textId="77777777" w:rsidR="00C61D65" w:rsidRDefault="00C61D65" w:rsidP="006633FA">
      <w:pPr>
        <w:spacing w:line="480" w:lineRule="auto"/>
        <w:jc w:val="both"/>
        <w:rPr>
          <w:rFonts w:ascii="Arial" w:hAnsi="Arial" w:cs="Arial"/>
          <w:color w:val="000000" w:themeColor="text1"/>
          <w:shd w:val="clear" w:color="auto" w:fill="FFFFFF"/>
        </w:rPr>
      </w:pPr>
    </w:p>
    <w:p w14:paraId="53390365" w14:textId="5C73E901" w:rsidR="004B475D" w:rsidRPr="003D5C0C" w:rsidRDefault="004B475D" w:rsidP="006633FA">
      <w:pPr>
        <w:spacing w:line="480" w:lineRule="auto"/>
        <w:jc w:val="both"/>
        <w:rPr>
          <w:rFonts w:ascii="Arial" w:hAnsi="Arial" w:cs="Arial"/>
          <w:color w:val="000000" w:themeColor="text1"/>
          <w:shd w:val="clear" w:color="auto" w:fill="FFFFFF"/>
        </w:rPr>
      </w:pPr>
      <w:r w:rsidRPr="003D5C0C">
        <w:rPr>
          <w:rFonts w:ascii="Arial" w:hAnsi="Arial" w:cs="Arial"/>
          <w:color w:val="000000" w:themeColor="text1"/>
          <w:shd w:val="clear" w:color="auto" w:fill="FFFFFF"/>
        </w:rPr>
        <w:t xml:space="preserve">The local affordability ratio is determined by dividing </w:t>
      </w:r>
      <w:r w:rsidR="00182A71" w:rsidRPr="003D5C0C">
        <w:rPr>
          <w:rFonts w:ascii="Arial" w:hAnsi="Arial" w:cs="Arial"/>
          <w:color w:val="000000" w:themeColor="text1"/>
          <w:shd w:val="clear" w:color="auto" w:fill="FFFFFF"/>
        </w:rPr>
        <w:t xml:space="preserve">median </w:t>
      </w:r>
      <w:r w:rsidRPr="003D5C0C">
        <w:rPr>
          <w:rFonts w:ascii="Arial" w:hAnsi="Arial" w:cs="Arial"/>
          <w:color w:val="000000" w:themeColor="text1"/>
          <w:shd w:val="clear" w:color="auto" w:fill="FFFFFF"/>
        </w:rPr>
        <w:t xml:space="preserve">house prices by </w:t>
      </w:r>
      <w:r w:rsidR="00182A71" w:rsidRPr="003D5C0C">
        <w:rPr>
          <w:rFonts w:ascii="Arial" w:hAnsi="Arial" w:cs="Arial"/>
          <w:color w:val="000000" w:themeColor="text1"/>
          <w:shd w:val="clear" w:color="auto" w:fill="FFFFFF"/>
        </w:rPr>
        <w:t xml:space="preserve">median </w:t>
      </w:r>
      <w:r w:rsidRPr="003D5C0C">
        <w:rPr>
          <w:rFonts w:ascii="Arial" w:hAnsi="Arial" w:cs="Arial"/>
          <w:color w:val="000000" w:themeColor="text1"/>
          <w:shd w:val="clear" w:color="auto" w:fill="FFFFFF"/>
        </w:rPr>
        <w:t>gross annual workplace-based incomes for the local authority</w:t>
      </w:r>
      <w:r w:rsidR="00182A71" w:rsidRPr="003D5C0C">
        <w:rPr>
          <w:rFonts w:ascii="Arial" w:hAnsi="Arial" w:cs="Arial"/>
          <w:color w:val="000000" w:themeColor="text1"/>
          <w:shd w:val="clear" w:color="auto" w:fill="FFFFFF"/>
        </w:rPr>
        <w:t>.</w:t>
      </w:r>
    </w:p>
    <w:p w14:paraId="4D44298F" w14:textId="77777777" w:rsidR="004B475D" w:rsidRPr="003D5C0C" w:rsidRDefault="004B475D" w:rsidP="006633FA">
      <w:pPr>
        <w:spacing w:line="480" w:lineRule="auto"/>
        <w:jc w:val="both"/>
        <w:rPr>
          <w:rFonts w:ascii="Arial" w:hAnsi="Arial" w:cs="Arial"/>
          <w:color w:val="000000" w:themeColor="text1"/>
          <w:shd w:val="clear" w:color="auto" w:fill="FFFFFF"/>
        </w:rPr>
      </w:pPr>
    </w:p>
    <w:p w14:paraId="4AFB340E" w14:textId="76F72F6A" w:rsidR="004B475D" w:rsidRPr="003D5C0C" w:rsidRDefault="004B475D" w:rsidP="006633FA">
      <w:pPr>
        <w:spacing w:line="480" w:lineRule="auto"/>
        <w:jc w:val="both"/>
        <w:rPr>
          <w:rFonts w:ascii="Arial" w:hAnsi="Arial" w:cs="Arial"/>
          <w:color w:val="000000" w:themeColor="text1"/>
          <w:shd w:val="clear" w:color="auto" w:fill="FFFFFF"/>
        </w:rPr>
      </w:pPr>
      <w:r w:rsidRPr="003D5C0C">
        <w:rPr>
          <w:rFonts w:ascii="Arial" w:hAnsi="Arial" w:cs="Arial"/>
          <w:color w:val="000000" w:themeColor="text1"/>
          <w:shd w:val="clear" w:color="auto" w:fill="FFFFFF"/>
        </w:rPr>
        <w:t>The Office for National Statistics produces the median house price data for</w:t>
      </w:r>
      <w:r w:rsidR="00D3545E" w:rsidRPr="003D5C0C">
        <w:rPr>
          <w:rFonts w:ascii="Arial" w:hAnsi="Arial" w:cs="Arial"/>
          <w:color w:val="000000" w:themeColor="text1"/>
          <w:shd w:val="clear" w:color="auto" w:fill="FFFFFF"/>
        </w:rPr>
        <w:t xml:space="preserve"> each LPA</w:t>
      </w:r>
      <w:r w:rsidRPr="003D5C0C">
        <w:rPr>
          <w:rFonts w:ascii="Arial" w:hAnsi="Arial" w:cs="Arial"/>
          <w:color w:val="000000" w:themeColor="text1"/>
          <w:shd w:val="clear" w:color="auto" w:fill="FFFFFF"/>
        </w:rPr>
        <w:t xml:space="preserve">. </w:t>
      </w:r>
      <w:r w:rsidR="003A0A7C" w:rsidRPr="003D5C0C">
        <w:rPr>
          <w:rFonts w:ascii="Arial" w:hAnsi="Arial" w:cs="Arial"/>
          <w:color w:val="000000" w:themeColor="text1"/>
          <w:shd w:val="clear" w:color="auto" w:fill="FFFFFF"/>
        </w:rPr>
        <w:t xml:space="preserve"> </w:t>
      </w:r>
      <w:r w:rsidRPr="003D5C0C">
        <w:rPr>
          <w:rFonts w:ascii="Arial" w:hAnsi="Arial" w:cs="Arial"/>
          <w:color w:val="000000" w:themeColor="text1"/>
          <w:shd w:val="clear" w:color="auto" w:fill="FFFFFF"/>
        </w:rPr>
        <w:t>This is the annual median house price within a local authority for all dwellings sold and registered with the land registry in any year.  The data is very close to the entire population of transactions and is updated annually (indeed it is available quarterly), providing a high degree of certainty, regularity and comparability between local authorities.  However, it is possible that median sold house prices are a poor reflection of the housing market if there is a discrepancy between the local authority geographic boundary and housing market</w:t>
      </w:r>
      <w:r w:rsidR="00D3545E" w:rsidRPr="003D5C0C">
        <w:rPr>
          <w:rFonts w:ascii="Arial" w:hAnsi="Arial" w:cs="Arial"/>
          <w:color w:val="000000" w:themeColor="text1"/>
          <w:shd w:val="clear" w:color="auto" w:fill="FFFFFF"/>
        </w:rPr>
        <w:t>s that sometimes straddle administrative geographies.</w:t>
      </w:r>
    </w:p>
    <w:p w14:paraId="2208E683" w14:textId="77777777" w:rsidR="004B475D" w:rsidRPr="003D5C0C" w:rsidRDefault="004B475D" w:rsidP="006633FA">
      <w:pPr>
        <w:spacing w:line="480" w:lineRule="auto"/>
        <w:jc w:val="both"/>
        <w:rPr>
          <w:rFonts w:ascii="Arial" w:hAnsi="Arial" w:cs="Arial"/>
          <w:color w:val="000000" w:themeColor="text1"/>
          <w:shd w:val="clear" w:color="auto" w:fill="FFFFFF"/>
        </w:rPr>
      </w:pPr>
    </w:p>
    <w:p w14:paraId="4A7FF8DF" w14:textId="03E2F44A" w:rsidR="004B475D" w:rsidRPr="003D5C0C" w:rsidRDefault="004B475D" w:rsidP="006633FA">
      <w:pPr>
        <w:spacing w:line="480" w:lineRule="auto"/>
        <w:jc w:val="both"/>
        <w:rPr>
          <w:rFonts w:ascii="Arial" w:hAnsi="Arial" w:cs="Arial"/>
          <w:color w:val="000000" w:themeColor="text1"/>
          <w:shd w:val="clear" w:color="auto" w:fill="FFFFFF"/>
        </w:rPr>
      </w:pPr>
      <w:r w:rsidRPr="003D5C0C">
        <w:rPr>
          <w:rFonts w:ascii="Arial" w:hAnsi="Arial" w:cs="Arial"/>
          <w:color w:val="000000" w:themeColor="text1"/>
          <w:shd w:val="clear" w:color="auto" w:fill="FFFFFF"/>
        </w:rPr>
        <w:t xml:space="preserve">The median workplace-based incomes are taken from the Annual Survey of Hours and Earnings, which comprises an annual snapshot of full-time earnings, annualised from the workplace.  This is a national survey and is standardised, thus presenting a high degree of comparability between local authorities.  However, there are some limitations to it for understanding housing related incomes.  This approach does not factor in the distribution of earnings from part-time employment, from non-workplace-based earnings (e.g. pensions) or the composition of households, which relates to household income and the ratio between household income and household housing costs. </w:t>
      </w:r>
    </w:p>
    <w:p w14:paraId="2A7B4F37" w14:textId="77777777" w:rsidR="004B475D" w:rsidRPr="003D5C0C" w:rsidRDefault="004B475D" w:rsidP="006633FA">
      <w:pPr>
        <w:spacing w:line="480" w:lineRule="auto"/>
        <w:jc w:val="both"/>
        <w:rPr>
          <w:rFonts w:ascii="Arial" w:hAnsi="Arial" w:cs="Arial"/>
          <w:color w:val="000000" w:themeColor="text1"/>
          <w:shd w:val="clear" w:color="auto" w:fill="FFFFFF"/>
        </w:rPr>
      </w:pPr>
    </w:p>
    <w:p w14:paraId="579AC067" w14:textId="546FB547" w:rsidR="004B475D" w:rsidRPr="003D5C0C" w:rsidRDefault="004B475D" w:rsidP="006633FA">
      <w:pPr>
        <w:spacing w:line="480" w:lineRule="auto"/>
        <w:jc w:val="both"/>
        <w:rPr>
          <w:rFonts w:ascii="Arial" w:hAnsi="Arial" w:cs="Arial"/>
          <w:color w:val="000000" w:themeColor="text1"/>
          <w:shd w:val="clear" w:color="auto" w:fill="FFFFFF"/>
        </w:rPr>
      </w:pPr>
      <w:r w:rsidRPr="003D5C0C">
        <w:rPr>
          <w:rFonts w:ascii="Arial" w:hAnsi="Arial" w:cs="Arial"/>
          <w:color w:val="000000" w:themeColor="text1"/>
          <w:shd w:val="clear" w:color="auto" w:fill="FFFFFF"/>
        </w:rPr>
        <w:lastRenderedPageBreak/>
        <w:t>Thus</w:t>
      </w:r>
      <w:r w:rsidR="00337C1A" w:rsidRPr="003D5C0C">
        <w:rPr>
          <w:rFonts w:ascii="Arial" w:hAnsi="Arial" w:cs="Arial"/>
          <w:color w:val="000000" w:themeColor="text1"/>
          <w:shd w:val="clear" w:color="auto" w:fill="FFFFFF"/>
        </w:rPr>
        <w:t>,</w:t>
      </w:r>
      <w:r w:rsidRPr="003D5C0C">
        <w:rPr>
          <w:rFonts w:ascii="Arial" w:hAnsi="Arial" w:cs="Arial"/>
          <w:color w:val="000000" w:themeColor="text1"/>
          <w:shd w:val="clear" w:color="auto" w:fill="FFFFFF"/>
        </w:rPr>
        <w:t xml:space="preserve"> for stage two of the Standard Method it is possible to conceive of exceptional circumstances as referring to median house prices, median workplace-based incomes, or the affordability ratio. </w:t>
      </w:r>
    </w:p>
    <w:p w14:paraId="66D41DEF" w14:textId="77777777" w:rsidR="004B475D" w:rsidRPr="003D5C0C" w:rsidRDefault="004B475D" w:rsidP="006633FA">
      <w:pPr>
        <w:spacing w:line="480" w:lineRule="auto"/>
        <w:jc w:val="both"/>
        <w:rPr>
          <w:rFonts w:ascii="Arial" w:hAnsi="Arial" w:cs="Arial"/>
          <w:color w:val="000000" w:themeColor="text1"/>
          <w:shd w:val="clear" w:color="auto" w:fill="FFFFFF"/>
        </w:rPr>
      </w:pPr>
    </w:p>
    <w:p w14:paraId="728D56F4" w14:textId="214351A6" w:rsidR="004B475D" w:rsidRPr="003D5C0C" w:rsidRDefault="004B475D" w:rsidP="006633FA">
      <w:pPr>
        <w:spacing w:line="480" w:lineRule="auto"/>
        <w:jc w:val="both"/>
        <w:rPr>
          <w:rFonts w:ascii="Arial" w:hAnsi="Arial" w:cs="Arial"/>
          <w:color w:val="000000" w:themeColor="text1"/>
          <w:shd w:val="clear" w:color="auto" w:fill="FFFFFF"/>
        </w:rPr>
      </w:pPr>
      <w:r w:rsidRPr="003D5C0C">
        <w:rPr>
          <w:rFonts w:ascii="Arial" w:hAnsi="Arial" w:cs="Arial"/>
          <w:color w:val="000000" w:themeColor="text1"/>
          <w:shd w:val="clear" w:color="auto" w:fill="FFFFFF"/>
        </w:rPr>
        <w:t xml:space="preserve">There are </w:t>
      </w:r>
      <w:r w:rsidR="00337C1A" w:rsidRPr="003D5C0C">
        <w:rPr>
          <w:rFonts w:ascii="Arial" w:hAnsi="Arial" w:cs="Arial"/>
          <w:color w:val="000000" w:themeColor="text1"/>
          <w:shd w:val="clear" w:color="auto" w:fill="FFFFFF"/>
        </w:rPr>
        <w:t xml:space="preserve">also </w:t>
      </w:r>
      <w:r w:rsidRPr="003D5C0C">
        <w:rPr>
          <w:rFonts w:ascii="Arial" w:hAnsi="Arial" w:cs="Arial"/>
          <w:color w:val="000000" w:themeColor="text1"/>
          <w:shd w:val="clear" w:color="auto" w:fill="FFFFFF"/>
        </w:rPr>
        <w:t xml:space="preserve">two </w:t>
      </w:r>
      <w:r w:rsidR="00337C1A" w:rsidRPr="003D5C0C">
        <w:rPr>
          <w:rFonts w:ascii="Arial" w:hAnsi="Arial" w:cs="Arial"/>
          <w:color w:val="000000" w:themeColor="text1"/>
          <w:shd w:val="clear" w:color="auto" w:fill="FFFFFF"/>
        </w:rPr>
        <w:t xml:space="preserve">clear </w:t>
      </w:r>
      <w:r w:rsidRPr="003D5C0C">
        <w:rPr>
          <w:rFonts w:ascii="Arial" w:hAnsi="Arial" w:cs="Arial"/>
          <w:color w:val="000000" w:themeColor="text1"/>
          <w:shd w:val="clear" w:color="auto" w:fill="FFFFFF"/>
        </w:rPr>
        <w:t xml:space="preserve">normative positions within this </w:t>
      </w:r>
      <w:r w:rsidR="00337C1A" w:rsidRPr="003D5C0C">
        <w:rPr>
          <w:rFonts w:ascii="Arial" w:hAnsi="Arial" w:cs="Arial"/>
          <w:color w:val="000000" w:themeColor="text1"/>
          <w:shd w:val="clear" w:color="auto" w:fill="FFFFFF"/>
        </w:rPr>
        <w:t xml:space="preserve">part of the process by which the </w:t>
      </w:r>
      <w:r w:rsidR="00A35C72" w:rsidRPr="003D5C0C">
        <w:rPr>
          <w:rFonts w:ascii="Arial" w:hAnsi="Arial" w:cs="Arial"/>
          <w:color w:val="000000" w:themeColor="text1"/>
          <w:shd w:val="clear" w:color="auto" w:fill="FFFFFF"/>
        </w:rPr>
        <w:t>S</w:t>
      </w:r>
      <w:r w:rsidR="00337C1A" w:rsidRPr="003D5C0C">
        <w:rPr>
          <w:rFonts w:ascii="Arial" w:hAnsi="Arial" w:cs="Arial"/>
          <w:color w:val="000000" w:themeColor="text1"/>
          <w:shd w:val="clear" w:color="auto" w:fill="FFFFFF"/>
        </w:rPr>
        <w:t xml:space="preserve">tandard </w:t>
      </w:r>
      <w:r w:rsidR="00A35C72" w:rsidRPr="003D5C0C">
        <w:rPr>
          <w:rFonts w:ascii="Arial" w:hAnsi="Arial" w:cs="Arial"/>
          <w:color w:val="000000" w:themeColor="text1"/>
          <w:shd w:val="clear" w:color="auto" w:fill="FFFFFF"/>
        </w:rPr>
        <w:t>M</w:t>
      </w:r>
      <w:r w:rsidR="00337C1A" w:rsidRPr="003D5C0C">
        <w:rPr>
          <w:rFonts w:ascii="Arial" w:hAnsi="Arial" w:cs="Arial"/>
          <w:color w:val="000000" w:themeColor="text1"/>
          <w:shd w:val="clear" w:color="auto" w:fill="FFFFFF"/>
        </w:rPr>
        <w:t>ethod is calculated</w:t>
      </w:r>
      <w:r w:rsidRPr="003D5C0C">
        <w:rPr>
          <w:rFonts w:ascii="Arial" w:hAnsi="Arial" w:cs="Arial"/>
          <w:color w:val="000000" w:themeColor="text1"/>
          <w:shd w:val="clear" w:color="auto" w:fill="FFFFFF"/>
        </w:rPr>
        <w:t xml:space="preserve">. </w:t>
      </w:r>
      <w:r w:rsidR="003A0A7C" w:rsidRPr="003D5C0C">
        <w:rPr>
          <w:rFonts w:ascii="Arial" w:hAnsi="Arial" w:cs="Arial"/>
          <w:color w:val="000000" w:themeColor="text1"/>
          <w:shd w:val="clear" w:color="auto" w:fill="FFFFFF"/>
        </w:rPr>
        <w:t xml:space="preserve"> </w:t>
      </w:r>
      <w:r w:rsidRPr="003D5C0C">
        <w:rPr>
          <w:rFonts w:ascii="Arial" w:hAnsi="Arial" w:cs="Arial"/>
          <w:color w:val="000000" w:themeColor="text1"/>
          <w:shd w:val="clear" w:color="auto" w:fill="FFFFFF"/>
        </w:rPr>
        <w:t xml:space="preserve">First, housing requirements should reflect the level of affordability within the local authority. </w:t>
      </w:r>
      <w:r w:rsidR="003A0A7C" w:rsidRPr="003D5C0C">
        <w:rPr>
          <w:rFonts w:ascii="Arial" w:hAnsi="Arial" w:cs="Arial"/>
          <w:color w:val="000000" w:themeColor="text1"/>
          <w:shd w:val="clear" w:color="auto" w:fill="FFFFFF"/>
        </w:rPr>
        <w:t xml:space="preserve"> </w:t>
      </w:r>
      <w:r w:rsidRPr="003D5C0C">
        <w:rPr>
          <w:rFonts w:ascii="Arial" w:hAnsi="Arial" w:cs="Arial"/>
          <w:color w:val="000000" w:themeColor="text1"/>
          <w:shd w:val="clear" w:color="auto" w:fill="FFFFFF"/>
        </w:rPr>
        <w:t xml:space="preserve">Second, that median house prices and median work-based incomes reflect the goals of housing provision and that increasing housing supply will result in housing becoming more affordable. </w:t>
      </w:r>
      <w:r w:rsidR="003A0A7C" w:rsidRPr="003D5C0C">
        <w:rPr>
          <w:rFonts w:ascii="Arial" w:hAnsi="Arial" w:cs="Arial"/>
          <w:color w:val="000000" w:themeColor="text1"/>
          <w:shd w:val="clear" w:color="auto" w:fill="FFFFFF"/>
        </w:rPr>
        <w:t xml:space="preserve"> </w:t>
      </w:r>
      <w:r w:rsidRPr="003D5C0C">
        <w:rPr>
          <w:rFonts w:ascii="Arial" w:hAnsi="Arial" w:cs="Arial"/>
          <w:color w:val="000000" w:themeColor="text1"/>
          <w:shd w:val="clear" w:color="auto" w:fill="FFFFFF"/>
        </w:rPr>
        <w:t xml:space="preserve">This includes the assumption that there is a single housing market in operation within the local authority and that house price changes will be affected across the market through supply in any location within the local authority’s spatial boundaries. </w:t>
      </w:r>
    </w:p>
    <w:p w14:paraId="334DB585" w14:textId="77777777" w:rsidR="004B475D" w:rsidRPr="003D5C0C" w:rsidRDefault="004B475D" w:rsidP="006633FA">
      <w:pPr>
        <w:spacing w:line="480" w:lineRule="auto"/>
        <w:jc w:val="both"/>
        <w:rPr>
          <w:rFonts w:ascii="Arial" w:hAnsi="Arial" w:cs="Arial"/>
          <w:color w:val="000000" w:themeColor="text1"/>
          <w:shd w:val="clear" w:color="auto" w:fill="FFFFFF"/>
        </w:rPr>
      </w:pPr>
    </w:p>
    <w:p w14:paraId="473971ED" w14:textId="77777777" w:rsidR="004B475D" w:rsidRPr="003D5C0C" w:rsidRDefault="004B475D" w:rsidP="006633FA">
      <w:pPr>
        <w:pStyle w:val="ListParagraph"/>
        <w:numPr>
          <w:ilvl w:val="0"/>
          <w:numId w:val="3"/>
        </w:numPr>
        <w:spacing w:after="0" w:line="480" w:lineRule="auto"/>
        <w:jc w:val="both"/>
        <w:rPr>
          <w:rFonts w:ascii="Arial" w:hAnsi="Arial" w:cs="Arial"/>
          <w:color w:val="000000" w:themeColor="text1"/>
          <w:sz w:val="24"/>
          <w:szCs w:val="24"/>
          <w:shd w:val="clear" w:color="auto" w:fill="FFFFFF"/>
        </w:rPr>
      </w:pPr>
      <w:r w:rsidRPr="003D5C0C">
        <w:rPr>
          <w:rFonts w:ascii="Arial" w:hAnsi="Arial" w:cs="Arial"/>
          <w:color w:val="000000" w:themeColor="text1"/>
          <w:sz w:val="24"/>
          <w:szCs w:val="24"/>
          <w:shd w:val="clear" w:color="auto" w:fill="FFFFFF"/>
        </w:rPr>
        <w:t xml:space="preserve"> Capping the level of any increase</w:t>
      </w:r>
    </w:p>
    <w:p w14:paraId="01D47D4C" w14:textId="497452BD" w:rsidR="004B475D" w:rsidRPr="003D5C0C" w:rsidRDefault="004B475D" w:rsidP="006633FA">
      <w:pPr>
        <w:spacing w:line="480" w:lineRule="auto"/>
        <w:jc w:val="both"/>
        <w:rPr>
          <w:rFonts w:ascii="Arial" w:hAnsi="Arial" w:cs="Arial"/>
          <w:color w:val="000000" w:themeColor="text1"/>
          <w:shd w:val="clear" w:color="auto" w:fill="FFFFFF"/>
        </w:rPr>
      </w:pPr>
      <w:r w:rsidRPr="003D5C0C">
        <w:rPr>
          <w:rFonts w:ascii="Arial" w:hAnsi="Arial" w:cs="Arial"/>
          <w:color w:val="000000" w:themeColor="text1"/>
          <w:shd w:val="clear" w:color="auto" w:fill="FFFFFF"/>
        </w:rPr>
        <w:t xml:space="preserve">The combination of stages one and two could result in a significantly different </w:t>
      </w:r>
      <w:r w:rsidR="00D3545E" w:rsidRPr="003D5C0C">
        <w:rPr>
          <w:rFonts w:ascii="Arial" w:hAnsi="Arial" w:cs="Arial"/>
          <w:color w:val="000000" w:themeColor="text1"/>
          <w:shd w:val="clear" w:color="auto" w:fill="FFFFFF"/>
        </w:rPr>
        <w:t xml:space="preserve">assessment of </w:t>
      </w:r>
      <w:r w:rsidRPr="003D5C0C">
        <w:rPr>
          <w:rFonts w:ascii="Arial" w:hAnsi="Arial" w:cs="Arial"/>
          <w:color w:val="000000" w:themeColor="text1"/>
          <w:shd w:val="clear" w:color="auto" w:fill="FFFFFF"/>
        </w:rPr>
        <w:t xml:space="preserve">housing </w:t>
      </w:r>
      <w:r w:rsidR="006E335E" w:rsidRPr="003D5C0C">
        <w:rPr>
          <w:rFonts w:ascii="Arial" w:eastAsiaTheme="minorHAnsi" w:hAnsi="Arial" w:cs="Arial"/>
          <w:color w:val="000000" w:themeColor="text1"/>
          <w:lang w:eastAsia="en-US"/>
        </w:rPr>
        <w:t>requirement</w:t>
      </w:r>
      <w:r w:rsidRPr="003D5C0C">
        <w:rPr>
          <w:rFonts w:ascii="Arial" w:hAnsi="Arial" w:cs="Arial"/>
          <w:color w:val="000000" w:themeColor="text1"/>
          <w:shd w:val="clear" w:color="auto" w:fill="FFFFFF"/>
        </w:rPr>
        <w:t xml:space="preserve"> than the local authority’s existing assessment in the local plan</w:t>
      </w:r>
      <w:r w:rsidR="00D3545E" w:rsidRPr="003D5C0C">
        <w:rPr>
          <w:rFonts w:ascii="Arial" w:hAnsi="Arial" w:cs="Arial"/>
          <w:color w:val="000000" w:themeColor="text1"/>
          <w:shd w:val="clear" w:color="auto" w:fill="FFFFFF"/>
        </w:rPr>
        <w:t>, which would remain current so long as it was adopted in the last five years</w:t>
      </w:r>
      <w:r w:rsidRPr="003D5C0C">
        <w:rPr>
          <w:rFonts w:ascii="Arial" w:hAnsi="Arial" w:cs="Arial"/>
          <w:color w:val="000000" w:themeColor="text1"/>
          <w:shd w:val="clear" w:color="auto" w:fill="FFFFFF"/>
        </w:rPr>
        <w:t xml:space="preserve">. </w:t>
      </w:r>
      <w:r w:rsidR="003A0A7C" w:rsidRPr="003D5C0C">
        <w:rPr>
          <w:rFonts w:ascii="Arial" w:hAnsi="Arial" w:cs="Arial"/>
          <w:color w:val="000000" w:themeColor="text1"/>
          <w:shd w:val="clear" w:color="auto" w:fill="FFFFFF"/>
        </w:rPr>
        <w:t xml:space="preserve"> </w:t>
      </w:r>
      <w:r w:rsidRPr="003D5C0C">
        <w:rPr>
          <w:rFonts w:ascii="Arial" w:hAnsi="Arial" w:cs="Arial"/>
          <w:color w:val="000000" w:themeColor="text1"/>
          <w:shd w:val="clear" w:color="auto" w:fill="FFFFFF"/>
        </w:rPr>
        <w:t>As such the Standard Method enables the local authority to limit the impact on the ability to provide sufficient land supply by limiting the increase to 40% above the existing requirement figure.</w:t>
      </w:r>
    </w:p>
    <w:p w14:paraId="4FD78B2D" w14:textId="77777777" w:rsidR="004B475D" w:rsidRPr="003D5C0C" w:rsidRDefault="004B475D" w:rsidP="006633FA">
      <w:pPr>
        <w:spacing w:line="480" w:lineRule="auto"/>
        <w:jc w:val="both"/>
        <w:rPr>
          <w:rFonts w:ascii="Arial" w:hAnsi="Arial" w:cs="Arial"/>
          <w:color w:val="000000" w:themeColor="text1"/>
          <w:shd w:val="clear" w:color="auto" w:fill="FFFFFF"/>
        </w:rPr>
      </w:pPr>
    </w:p>
    <w:p w14:paraId="4726C256" w14:textId="4D345455" w:rsidR="004B475D" w:rsidRPr="003D5C0C" w:rsidRDefault="004B475D" w:rsidP="006633FA">
      <w:pPr>
        <w:spacing w:line="480" w:lineRule="auto"/>
        <w:jc w:val="both"/>
        <w:rPr>
          <w:rFonts w:ascii="Arial" w:hAnsi="Arial" w:cs="Arial"/>
          <w:color w:val="000000" w:themeColor="text1"/>
          <w:shd w:val="clear" w:color="auto" w:fill="FFFFFF"/>
        </w:rPr>
      </w:pPr>
      <w:r w:rsidRPr="003D5C0C">
        <w:rPr>
          <w:rFonts w:ascii="Arial" w:hAnsi="Arial" w:cs="Arial"/>
          <w:color w:val="000000" w:themeColor="text1"/>
          <w:shd w:val="clear" w:color="auto" w:fill="FFFFFF"/>
        </w:rPr>
        <w:t>The MHCLG guidance also suggests that other considerations</w:t>
      </w:r>
      <w:r w:rsidR="00E57AC8" w:rsidRPr="003D5C0C">
        <w:rPr>
          <w:rFonts w:ascii="Arial" w:hAnsi="Arial" w:cs="Arial"/>
          <w:color w:val="000000" w:themeColor="text1"/>
          <w:shd w:val="clear" w:color="auto" w:fill="FFFFFF"/>
        </w:rPr>
        <w:t xml:space="preserve"> can be appropriate in relation to the cap.  This can include considering any</w:t>
      </w:r>
      <w:r w:rsidRPr="003D5C0C">
        <w:rPr>
          <w:rFonts w:ascii="Arial" w:hAnsi="Arial" w:cs="Arial"/>
          <w:color w:val="000000" w:themeColor="text1"/>
          <w:shd w:val="clear" w:color="auto" w:fill="FFFFFF"/>
        </w:rPr>
        <w:t xml:space="preserve"> </w:t>
      </w:r>
      <w:r w:rsidR="00E57AC8" w:rsidRPr="003D5C0C">
        <w:rPr>
          <w:rFonts w:ascii="Arial" w:hAnsi="Arial" w:cs="Arial"/>
          <w:color w:val="000000" w:themeColor="text1"/>
          <w:shd w:val="clear" w:color="auto" w:fill="FFFFFF"/>
        </w:rPr>
        <w:t xml:space="preserve">difference </w:t>
      </w:r>
      <w:r w:rsidRPr="003D5C0C">
        <w:rPr>
          <w:rFonts w:ascii="Arial" w:hAnsi="Arial" w:cs="Arial"/>
          <w:color w:val="000000" w:themeColor="text1"/>
          <w:shd w:val="clear" w:color="auto" w:fill="FFFFFF"/>
        </w:rPr>
        <w:t xml:space="preserve">between </w:t>
      </w:r>
      <w:r w:rsidR="00E57AC8" w:rsidRPr="003D5C0C">
        <w:rPr>
          <w:rFonts w:ascii="Arial" w:hAnsi="Arial" w:cs="Arial"/>
          <w:color w:val="000000" w:themeColor="text1"/>
          <w:shd w:val="clear" w:color="auto" w:fill="FFFFFF"/>
        </w:rPr>
        <w:t>previous</w:t>
      </w:r>
      <w:r w:rsidRPr="003D5C0C">
        <w:rPr>
          <w:rFonts w:ascii="Arial" w:hAnsi="Arial" w:cs="Arial"/>
          <w:color w:val="000000" w:themeColor="text1"/>
          <w:shd w:val="clear" w:color="auto" w:fill="FFFFFF"/>
        </w:rPr>
        <w:t xml:space="preserve"> estimates of housing </w:t>
      </w:r>
      <w:r w:rsidR="006E335E" w:rsidRPr="003D5C0C">
        <w:rPr>
          <w:rFonts w:ascii="Arial" w:eastAsiaTheme="minorHAnsi" w:hAnsi="Arial" w:cs="Arial"/>
          <w:color w:val="000000" w:themeColor="text1"/>
          <w:lang w:eastAsia="en-US"/>
        </w:rPr>
        <w:t xml:space="preserve">requirement </w:t>
      </w:r>
      <w:r w:rsidR="00E57AC8" w:rsidRPr="003D5C0C">
        <w:rPr>
          <w:rFonts w:ascii="Arial" w:hAnsi="Arial" w:cs="Arial"/>
          <w:color w:val="000000" w:themeColor="text1"/>
          <w:shd w:val="clear" w:color="auto" w:fill="FFFFFF"/>
        </w:rPr>
        <w:t xml:space="preserve">and that resulting from the </w:t>
      </w:r>
      <w:r w:rsidR="00930610" w:rsidRPr="003D5C0C">
        <w:rPr>
          <w:rFonts w:ascii="Arial" w:hAnsi="Arial" w:cs="Arial"/>
          <w:color w:val="000000" w:themeColor="text1"/>
        </w:rPr>
        <w:t>Standard Method</w:t>
      </w:r>
      <w:r w:rsidR="00E57AC8" w:rsidRPr="003D5C0C">
        <w:rPr>
          <w:rFonts w:ascii="Arial" w:hAnsi="Arial" w:cs="Arial"/>
          <w:color w:val="000000" w:themeColor="text1"/>
          <w:shd w:val="clear" w:color="auto" w:fill="FFFFFF"/>
        </w:rPr>
        <w:t xml:space="preserve">.  Capping any </w:t>
      </w:r>
      <w:r w:rsidRPr="003D5C0C">
        <w:rPr>
          <w:rFonts w:ascii="Arial" w:hAnsi="Arial" w:cs="Arial"/>
          <w:color w:val="000000" w:themeColor="text1"/>
          <w:shd w:val="clear" w:color="auto" w:fill="FFFFFF"/>
        </w:rPr>
        <w:t>increase at 40% is permissible</w:t>
      </w:r>
      <w:r w:rsidR="00E57AC8" w:rsidRPr="003D5C0C">
        <w:rPr>
          <w:rFonts w:ascii="Arial" w:hAnsi="Arial" w:cs="Arial"/>
          <w:color w:val="000000" w:themeColor="text1"/>
          <w:shd w:val="clear" w:color="auto" w:fill="FFFFFF"/>
        </w:rPr>
        <w:t xml:space="preserve"> under MHCLG guidance</w:t>
      </w:r>
      <w:r w:rsidRPr="003D5C0C">
        <w:rPr>
          <w:rFonts w:ascii="Arial" w:hAnsi="Arial" w:cs="Arial"/>
          <w:color w:val="000000" w:themeColor="text1"/>
          <w:shd w:val="clear" w:color="auto" w:fill="FFFFFF"/>
        </w:rPr>
        <w:t>.</w:t>
      </w:r>
      <w:r w:rsidR="00E57AC8" w:rsidRPr="003D5C0C">
        <w:rPr>
          <w:rFonts w:ascii="Arial" w:hAnsi="Arial" w:cs="Arial"/>
          <w:color w:val="000000" w:themeColor="text1"/>
          <w:shd w:val="clear" w:color="auto" w:fill="FFFFFF"/>
        </w:rPr>
        <w:t xml:space="preserve"> </w:t>
      </w:r>
      <w:r w:rsidR="003A0A7C" w:rsidRPr="003D5C0C">
        <w:rPr>
          <w:rFonts w:ascii="Arial" w:hAnsi="Arial" w:cs="Arial"/>
          <w:color w:val="000000" w:themeColor="text1"/>
          <w:shd w:val="clear" w:color="auto" w:fill="FFFFFF"/>
        </w:rPr>
        <w:t xml:space="preserve"> </w:t>
      </w:r>
      <w:r w:rsidR="00E57AC8" w:rsidRPr="003D5C0C">
        <w:rPr>
          <w:rFonts w:ascii="Arial" w:hAnsi="Arial" w:cs="Arial"/>
          <w:color w:val="000000" w:themeColor="text1"/>
          <w:shd w:val="clear" w:color="auto" w:fill="FFFFFF"/>
        </w:rPr>
        <w:t>Th</w:t>
      </w:r>
      <w:r w:rsidR="00F86D01" w:rsidRPr="003D5C0C">
        <w:rPr>
          <w:rFonts w:ascii="Arial" w:hAnsi="Arial" w:cs="Arial"/>
          <w:color w:val="000000" w:themeColor="text1"/>
          <w:shd w:val="clear" w:color="auto" w:fill="FFFFFF"/>
        </w:rPr>
        <w:t xml:space="preserve">is admission </w:t>
      </w:r>
      <w:r w:rsidR="00F86D01" w:rsidRPr="003D5C0C">
        <w:rPr>
          <w:rFonts w:ascii="Arial" w:hAnsi="Arial" w:cs="Arial"/>
          <w:color w:val="000000" w:themeColor="text1"/>
          <w:shd w:val="clear" w:color="auto" w:fill="FFFFFF"/>
        </w:rPr>
        <w:lastRenderedPageBreak/>
        <w:t xml:space="preserve">of housing </w:t>
      </w:r>
      <w:r w:rsidR="006E335E" w:rsidRPr="003D5C0C">
        <w:rPr>
          <w:rFonts w:ascii="Arial" w:eastAsiaTheme="minorHAnsi" w:hAnsi="Arial" w:cs="Arial"/>
          <w:color w:val="000000" w:themeColor="text1"/>
          <w:lang w:eastAsia="en-US"/>
        </w:rPr>
        <w:t xml:space="preserve">requirement </w:t>
      </w:r>
      <w:r w:rsidR="00F86D01" w:rsidRPr="003D5C0C">
        <w:rPr>
          <w:rFonts w:ascii="Arial" w:hAnsi="Arial" w:cs="Arial"/>
          <w:color w:val="000000" w:themeColor="text1"/>
          <w:shd w:val="clear" w:color="auto" w:fill="FFFFFF"/>
        </w:rPr>
        <w:t xml:space="preserve">assessments produced under a completely different methodology represents a </w:t>
      </w:r>
      <w:r w:rsidRPr="003D5C0C">
        <w:rPr>
          <w:rFonts w:ascii="Arial" w:hAnsi="Arial" w:cs="Arial"/>
          <w:color w:val="000000" w:themeColor="text1"/>
        </w:rPr>
        <w:t xml:space="preserve">normative position in </w:t>
      </w:r>
      <w:r w:rsidR="00F86D01" w:rsidRPr="003D5C0C">
        <w:rPr>
          <w:rFonts w:ascii="Arial" w:hAnsi="Arial" w:cs="Arial"/>
          <w:color w:val="000000" w:themeColor="text1"/>
        </w:rPr>
        <w:t xml:space="preserve">that it allows </w:t>
      </w:r>
      <w:r w:rsidRPr="003D5C0C">
        <w:rPr>
          <w:rFonts w:ascii="Arial" w:hAnsi="Arial" w:cs="Arial"/>
          <w:color w:val="000000" w:themeColor="text1"/>
        </w:rPr>
        <w:t>local historic planning policy</w:t>
      </w:r>
      <w:r w:rsidR="00F86D01" w:rsidRPr="003D5C0C">
        <w:rPr>
          <w:rFonts w:ascii="Arial" w:hAnsi="Arial" w:cs="Arial"/>
          <w:color w:val="000000" w:themeColor="text1"/>
        </w:rPr>
        <w:t xml:space="preserve"> to</w:t>
      </w:r>
      <w:r w:rsidRPr="003D5C0C">
        <w:rPr>
          <w:rFonts w:ascii="Arial" w:hAnsi="Arial" w:cs="Arial"/>
          <w:color w:val="000000" w:themeColor="text1"/>
        </w:rPr>
        <w:t xml:space="preserve"> be </w:t>
      </w:r>
      <w:r w:rsidR="004C5D30">
        <w:rPr>
          <w:rFonts w:ascii="Arial" w:hAnsi="Arial" w:cs="Arial"/>
          <w:color w:val="000000" w:themeColor="text1"/>
        </w:rPr>
        <w:t>considered</w:t>
      </w:r>
      <w:r w:rsidRPr="003D5C0C">
        <w:rPr>
          <w:rFonts w:ascii="Arial" w:hAnsi="Arial" w:cs="Arial"/>
          <w:color w:val="000000" w:themeColor="text1"/>
        </w:rPr>
        <w:t xml:space="preserve">. </w:t>
      </w:r>
      <w:r w:rsidR="003A0A7C" w:rsidRPr="003D5C0C">
        <w:rPr>
          <w:rFonts w:ascii="Arial" w:hAnsi="Arial" w:cs="Arial"/>
          <w:color w:val="000000" w:themeColor="text1"/>
        </w:rPr>
        <w:t xml:space="preserve"> </w:t>
      </w:r>
      <w:r w:rsidRPr="003D5C0C">
        <w:rPr>
          <w:rFonts w:ascii="Arial" w:hAnsi="Arial" w:cs="Arial"/>
          <w:color w:val="000000" w:themeColor="text1"/>
        </w:rPr>
        <w:t xml:space="preserve">This suggests that exceptional circumstances refer not just to the degree of 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rPr>
        <w:t>identified in stages one and two of the Standard Method, but the circumstances of previous local plans</w:t>
      </w:r>
      <w:r w:rsidR="00D3545E" w:rsidRPr="003D5C0C">
        <w:rPr>
          <w:rFonts w:ascii="Arial" w:hAnsi="Arial" w:cs="Arial"/>
          <w:color w:val="000000" w:themeColor="text1"/>
        </w:rPr>
        <w:t xml:space="preserve"> too</w:t>
      </w:r>
      <w:r w:rsidRPr="003D5C0C">
        <w:rPr>
          <w:rFonts w:ascii="Arial" w:hAnsi="Arial" w:cs="Arial"/>
          <w:color w:val="000000" w:themeColor="text1"/>
        </w:rPr>
        <w:t xml:space="preserve">. </w:t>
      </w:r>
    </w:p>
    <w:p w14:paraId="07340973" w14:textId="77777777" w:rsidR="00337C1A" w:rsidRPr="003D5C0C" w:rsidRDefault="00337C1A" w:rsidP="006633FA">
      <w:pPr>
        <w:pStyle w:val="Default"/>
        <w:spacing w:line="480" w:lineRule="auto"/>
        <w:jc w:val="both"/>
        <w:rPr>
          <w:rFonts w:ascii="Arial" w:hAnsi="Arial" w:cs="Arial"/>
          <w:color w:val="000000" w:themeColor="text1"/>
        </w:rPr>
      </w:pPr>
    </w:p>
    <w:p w14:paraId="0346B3CD" w14:textId="2EB1B569" w:rsidR="0092449D" w:rsidRPr="003D5C0C" w:rsidRDefault="00F86D01"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An important aspect of this debate on the mechanics and use of the Standard Method is the fact that, </w:t>
      </w:r>
      <w:r w:rsidR="0092449D" w:rsidRPr="003D5C0C">
        <w:rPr>
          <w:rFonts w:ascii="Arial" w:hAnsi="Arial" w:cs="Arial"/>
          <w:color w:val="000000" w:themeColor="text1"/>
        </w:rPr>
        <w:t xml:space="preserve">although the National Planning Policy Guidance specifies the requirement for ‘exceptional local circumstances’ to be demonstrable in order to deviate from the </w:t>
      </w:r>
      <w:r w:rsidR="00A35C72" w:rsidRPr="003D5C0C">
        <w:rPr>
          <w:rFonts w:ascii="Arial" w:hAnsi="Arial" w:cs="Arial"/>
          <w:color w:val="000000" w:themeColor="text1"/>
        </w:rPr>
        <w:t>S</w:t>
      </w:r>
      <w:r w:rsidR="0092449D" w:rsidRPr="003D5C0C">
        <w:rPr>
          <w:rFonts w:ascii="Arial" w:hAnsi="Arial" w:cs="Arial"/>
          <w:color w:val="000000" w:themeColor="text1"/>
        </w:rPr>
        <w:t xml:space="preserve">tandard </w:t>
      </w:r>
      <w:r w:rsidR="00A35C72" w:rsidRPr="003D5C0C">
        <w:rPr>
          <w:rFonts w:ascii="Arial" w:hAnsi="Arial" w:cs="Arial"/>
          <w:color w:val="000000" w:themeColor="text1"/>
        </w:rPr>
        <w:t>M</w:t>
      </w:r>
      <w:r w:rsidR="0092449D" w:rsidRPr="003D5C0C">
        <w:rPr>
          <w:rFonts w:ascii="Arial" w:hAnsi="Arial" w:cs="Arial"/>
          <w:color w:val="000000" w:themeColor="text1"/>
        </w:rPr>
        <w:t xml:space="preserve">ethod, there is no formal legal definition of what ‘exceptional local </w:t>
      </w:r>
      <w:r w:rsidR="004C5D30" w:rsidRPr="003D5C0C">
        <w:rPr>
          <w:rFonts w:ascii="Arial" w:hAnsi="Arial" w:cs="Arial"/>
          <w:color w:val="000000" w:themeColor="text1"/>
        </w:rPr>
        <w:t>circumstances</w:t>
      </w:r>
      <w:r w:rsidR="0092449D" w:rsidRPr="003D5C0C">
        <w:rPr>
          <w:rFonts w:ascii="Arial" w:hAnsi="Arial" w:cs="Arial"/>
          <w:color w:val="000000" w:themeColor="text1"/>
        </w:rPr>
        <w:t xml:space="preserve"> might comprise.</w:t>
      </w:r>
      <w:r w:rsidRPr="003D5C0C">
        <w:rPr>
          <w:rFonts w:ascii="Arial" w:hAnsi="Arial" w:cs="Arial"/>
          <w:color w:val="000000" w:themeColor="text1"/>
        </w:rPr>
        <w:t xml:space="preserve"> </w:t>
      </w:r>
      <w:r w:rsidR="003A0A7C" w:rsidRPr="003D5C0C">
        <w:rPr>
          <w:rFonts w:ascii="Arial" w:hAnsi="Arial" w:cs="Arial"/>
          <w:color w:val="000000" w:themeColor="text1"/>
        </w:rPr>
        <w:t xml:space="preserve"> </w:t>
      </w:r>
      <w:r w:rsidR="0092449D" w:rsidRPr="003D5C0C">
        <w:rPr>
          <w:rFonts w:ascii="Arial" w:hAnsi="Arial" w:cs="Arial"/>
          <w:color w:val="000000" w:themeColor="text1"/>
        </w:rPr>
        <w:t xml:space="preserve">So, what counts as exceptionalism and how could it be measured?  </w:t>
      </w:r>
      <w:r w:rsidR="008E68DC" w:rsidRPr="003D5C0C">
        <w:rPr>
          <w:rFonts w:ascii="Arial" w:hAnsi="Arial" w:cs="Arial"/>
          <w:color w:val="000000" w:themeColor="text1"/>
        </w:rPr>
        <w:t xml:space="preserve">To address this question we </w:t>
      </w:r>
      <w:r w:rsidR="0092449D" w:rsidRPr="003D5C0C">
        <w:rPr>
          <w:rFonts w:ascii="Arial" w:hAnsi="Arial" w:cs="Arial"/>
          <w:color w:val="000000" w:themeColor="text1"/>
        </w:rPr>
        <w:t xml:space="preserve">present a statistical analysis for all 326 local planning authorities in England to explore </w:t>
      </w:r>
      <w:r w:rsidR="00D3545E" w:rsidRPr="003D5C0C">
        <w:rPr>
          <w:rFonts w:ascii="Arial" w:hAnsi="Arial" w:cs="Arial"/>
          <w:color w:val="000000" w:themeColor="text1"/>
        </w:rPr>
        <w:t xml:space="preserve">the circumstances under which </w:t>
      </w:r>
      <w:r w:rsidR="0092449D" w:rsidRPr="003D5C0C">
        <w:rPr>
          <w:rFonts w:ascii="Arial" w:hAnsi="Arial" w:cs="Arial"/>
          <w:color w:val="000000" w:themeColor="text1"/>
        </w:rPr>
        <w:t xml:space="preserve">local authorities might be able to claim some degree of exceptionalism. </w:t>
      </w:r>
    </w:p>
    <w:p w14:paraId="1493815A" w14:textId="77777777" w:rsidR="0092449D" w:rsidRPr="003D5C0C" w:rsidRDefault="0092449D" w:rsidP="006633FA">
      <w:pPr>
        <w:spacing w:line="480" w:lineRule="auto"/>
        <w:jc w:val="both"/>
        <w:rPr>
          <w:rFonts w:ascii="Arial" w:hAnsi="Arial" w:cs="Arial"/>
          <w:b/>
          <w:bCs/>
          <w:color w:val="000000" w:themeColor="text1"/>
        </w:rPr>
      </w:pPr>
    </w:p>
    <w:p w14:paraId="3F40B939" w14:textId="65316BDD" w:rsidR="00155F03" w:rsidRPr="003D5C0C" w:rsidRDefault="00155F03" w:rsidP="006633FA">
      <w:pPr>
        <w:spacing w:line="480" w:lineRule="auto"/>
        <w:jc w:val="both"/>
        <w:rPr>
          <w:rFonts w:ascii="Arial" w:hAnsi="Arial" w:cs="Arial"/>
          <w:b/>
          <w:bCs/>
          <w:color w:val="000000" w:themeColor="text1"/>
        </w:rPr>
      </w:pPr>
      <w:r w:rsidRPr="003D5C0C">
        <w:rPr>
          <w:rFonts w:ascii="Arial" w:hAnsi="Arial" w:cs="Arial"/>
          <w:b/>
          <w:bCs/>
          <w:color w:val="000000" w:themeColor="text1"/>
        </w:rPr>
        <w:t>Is exceptionalism the rule?</w:t>
      </w:r>
    </w:p>
    <w:p w14:paraId="67A79442" w14:textId="691A346B" w:rsidR="00992013" w:rsidRPr="003D5C0C" w:rsidRDefault="00992013"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To explore the question of what counts as exceptionalism in the context of the </w:t>
      </w:r>
      <w:r w:rsidR="00930610" w:rsidRPr="003D5C0C">
        <w:rPr>
          <w:rFonts w:ascii="Arial" w:hAnsi="Arial" w:cs="Arial"/>
          <w:color w:val="000000" w:themeColor="text1"/>
        </w:rPr>
        <w:t>Standard Method</w:t>
      </w:r>
      <w:r w:rsidRPr="003D5C0C">
        <w:rPr>
          <w:rFonts w:ascii="Arial" w:hAnsi="Arial" w:cs="Arial"/>
          <w:color w:val="000000" w:themeColor="text1"/>
        </w:rPr>
        <w:t xml:space="preserve"> we must first establish the full distribution of 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rPr>
        <w:t>for all 326 local authorities in England</w:t>
      </w:r>
      <w:r w:rsidR="00F62BC1" w:rsidRPr="003D5C0C">
        <w:rPr>
          <w:rFonts w:ascii="Arial" w:hAnsi="Arial" w:cs="Arial"/>
          <w:color w:val="000000" w:themeColor="text1"/>
        </w:rPr>
        <w:t xml:space="preserve"> determined by the Standard Method</w:t>
      </w:r>
      <w:r w:rsidRPr="003D5C0C">
        <w:rPr>
          <w:rFonts w:ascii="Arial" w:hAnsi="Arial" w:cs="Arial"/>
          <w:color w:val="000000" w:themeColor="text1"/>
        </w:rPr>
        <w:t>.</w:t>
      </w:r>
      <w:r w:rsidR="00C61D65">
        <w:rPr>
          <w:rFonts w:ascii="Arial" w:hAnsi="Arial" w:cs="Arial"/>
          <w:color w:val="000000" w:themeColor="text1"/>
        </w:rPr>
        <w:t xml:space="preserve">  Figure 1 sets out this distribution with some illustrative examples identified</w:t>
      </w:r>
      <w:r w:rsidR="00592C1F">
        <w:rPr>
          <w:rFonts w:ascii="Arial" w:hAnsi="Arial" w:cs="Arial"/>
          <w:color w:val="000000" w:themeColor="text1"/>
        </w:rPr>
        <w:t>.</w:t>
      </w:r>
    </w:p>
    <w:p w14:paraId="780C8A5B" w14:textId="77777777" w:rsidR="00AA3D49" w:rsidRPr="00AA3D49" w:rsidRDefault="00AA3D49" w:rsidP="006633FA">
      <w:pPr>
        <w:spacing w:line="480" w:lineRule="auto"/>
        <w:jc w:val="both"/>
        <w:rPr>
          <w:rFonts w:ascii="Arial" w:hAnsi="Arial" w:cs="Arial"/>
          <w:b/>
          <w:color w:val="000000" w:themeColor="text1"/>
        </w:rPr>
      </w:pPr>
    </w:p>
    <w:p w14:paraId="61F569FB" w14:textId="2ED74CF3" w:rsidR="00AA3D49" w:rsidRDefault="00AA3D49" w:rsidP="009E59B6">
      <w:pPr>
        <w:spacing w:line="480" w:lineRule="auto"/>
        <w:jc w:val="center"/>
        <w:rPr>
          <w:rFonts w:ascii="Arial" w:hAnsi="Arial" w:cs="Arial"/>
          <w:b/>
          <w:color w:val="000000" w:themeColor="text1"/>
        </w:rPr>
      </w:pPr>
      <w:r w:rsidRPr="00AA3D49">
        <w:rPr>
          <w:rFonts w:ascii="Arial" w:hAnsi="Arial" w:cs="Arial"/>
          <w:b/>
          <w:color w:val="000000" w:themeColor="text1"/>
        </w:rPr>
        <w:t>FIGURE ONE ABOUT HERE</w:t>
      </w:r>
    </w:p>
    <w:p w14:paraId="14AFCBBD" w14:textId="77777777" w:rsidR="009E59B6" w:rsidRPr="00AA3D49" w:rsidRDefault="009E59B6" w:rsidP="009E59B6">
      <w:pPr>
        <w:spacing w:line="480" w:lineRule="auto"/>
        <w:jc w:val="center"/>
        <w:rPr>
          <w:rFonts w:ascii="Arial" w:hAnsi="Arial" w:cs="Arial"/>
          <w:b/>
          <w:color w:val="000000" w:themeColor="text1"/>
        </w:rPr>
      </w:pPr>
    </w:p>
    <w:p w14:paraId="61C44CCF" w14:textId="4C163C18" w:rsidR="009E7261" w:rsidRDefault="00992013"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One of the first observations to make is that this distribution does not take into account any aspect of local context.  </w:t>
      </w:r>
      <w:r w:rsidRPr="00C77ABA">
        <w:rPr>
          <w:rFonts w:ascii="Arial" w:hAnsi="Arial" w:cs="Arial"/>
          <w:color w:val="000000" w:themeColor="text1"/>
        </w:rPr>
        <w:t>The median authorit</w:t>
      </w:r>
      <w:r w:rsidR="00B049A9" w:rsidRPr="00C77ABA">
        <w:rPr>
          <w:rFonts w:ascii="Arial" w:hAnsi="Arial" w:cs="Arial"/>
          <w:color w:val="000000" w:themeColor="text1"/>
        </w:rPr>
        <w:t xml:space="preserve">ies in the set of 326 local authorities </w:t>
      </w:r>
      <w:r w:rsidR="00B049A9" w:rsidRPr="00C77ABA">
        <w:rPr>
          <w:rFonts w:ascii="Arial" w:hAnsi="Arial" w:cs="Arial"/>
          <w:color w:val="000000" w:themeColor="text1"/>
        </w:rPr>
        <w:lastRenderedPageBreak/>
        <w:t xml:space="preserve">in England are Oxford and Bracknell Forest with an annual housing requirement of 603 dwellings per annum.  These are immediately </w:t>
      </w:r>
      <w:r w:rsidRPr="00C77ABA">
        <w:rPr>
          <w:rFonts w:ascii="Arial" w:hAnsi="Arial" w:cs="Arial"/>
          <w:color w:val="000000" w:themeColor="text1"/>
        </w:rPr>
        <w:t xml:space="preserve">surrounded by </w:t>
      </w:r>
      <w:r w:rsidR="00B049A9" w:rsidRPr="00C77ABA">
        <w:rPr>
          <w:rFonts w:ascii="Arial" w:hAnsi="Arial" w:cs="Arial"/>
          <w:color w:val="000000" w:themeColor="text1"/>
        </w:rPr>
        <w:t>Norwich and Mendip</w:t>
      </w:r>
      <w:r w:rsidRPr="00C77ABA">
        <w:rPr>
          <w:rFonts w:ascii="Arial" w:hAnsi="Arial" w:cs="Arial"/>
          <w:color w:val="000000" w:themeColor="text1"/>
        </w:rPr>
        <w:t xml:space="preserve"> (below) and </w:t>
      </w:r>
      <w:r w:rsidR="00B049A9" w:rsidRPr="00C77ABA">
        <w:rPr>
          <w:rFonts w:ascii="Arial" w:hAnsi="Arial" w:cs="Arial"/>
          <w:color w:val="000000" w:themeColor="text1"/>
        </w:rPr>
        <w:t>East Hampshire and Taunton Deane</w:t>
      </w:r>
      <w:r w:rsidRPr="00C77ABA">
        <w:rPr>
          <w:rFonts w:ascii="Arial" w:hAnsi="Arial" w:cs="Arial"/>
          <w:color w:val="000000" w:themeColor="text1"/>
        </w:rPr>
        <w:t xml:space="preserve"> </w:t>
      </w:r>
      <w:r w:rsidR="00B049A9" w:rsidRPr="00C77ABA">
        <w:rPr>
          <w:rFonts w:ascii="Arial" w:hAnsi="Arial" w:cs="Arial"/>
          <w:color w:val="000000" w:themeColor="text1"/>
        </w:rPr>
        <w:t>(</w:t>
      </w:r>
      <w:r w:rsidRPr="00C77ABA">
        <w:rPr>
          <w:rFonts w:ascii="Arial" w:hAnsi="Arial" w:cs="Arial"/>
          <w:color w:val="000000" w:themeColor="text1"/>
        </w:rPr>
        <w:t>above</w:t>
      </w:r>
      <w:r w:rsidR="00B049A9" w:rsidRPr="00BC62BE">
        <w:rPr>
          <w:rFonts w:ascii="Arial" w:hAnsi="Arial" w:cs="Arial"/>
          <w:color w:val="000000" w:themeColor="text1"/>
        </w:rPr>
        <w:t>)</w:t>
      </w:r>
      <w:r w:rsidRPr="00BC62BE">
        <w:rPr>
          <w:rFonts w:ascii="Arial" w:hAnsi="Arial" w:cs="Arial"/>
          <w:color w:val="000000" w:themeColor="text1"/>
        </w:rPr>
        <w:t>.</w:t>
      </w:r>
      <w:r w:rsidR="007C1F75" w:rsidRPr="00BC62BE">
        <w:rPr>
          <w:rFonts w:ascii="Arial" w:hAnsi="Arial" w:cs="Arial"/>
          <w:color w:val="000000" w:themeColor="text1"/>
        </w:rPr>
        <w:t xml:space="preserve"> The </w:t>
      </w:r>
      <w:r w:rsidR="00930610" w:rsidRPr="00BC62BE">
        <w:rPr>
          <w:rFonts w:ascii="Arial" w:hAnsi="Arial" w:cs="Arial"/>
          <w:color w:val="000000" w:themeColor="text1"/>
        </w:rPr>
        <w:t xml:space="preserve">Standard Method </w:t>
      </w:r>
      <w:r w:rsidR="007C1F75" w:rsidRPr="00BC62BE">
        <w:rPr>
          <w:rFonts w:ascii="Arial" w:hAnsi="Arial" w:cs="Arial"/>
          <w:color w:val="000000" w:themeColor="text1"/>
        </w:rPr>
        <w:t xml:space="preserve">requires each authority to produce a similar quantity of new housing </w:t>
      </w:r>
      <w:r w:rsidR="00B049A9" w:rsidRPr="00BC62BE">
        <w:rPr>
          <w:rFonts w:ascii="Arial" w:hAnsi="Arial" w:cs="Arial"/>
          <w:color w:val="000000" w:themeColor="text1"/>
        </w:rPr>
        <w:t xml:space="preserve">per annum </w:t>
      </w:r>
      <w:r w:rsidR="007C1F75" w:rsidRPr="00BC62BE">
        <w:rPr>
          <w:rFonts w:ascii="Arial" w:hAnsi="Arial" w:cs="Arial"/>
          <w:color w:val="000000" w:themeColor="text1"/>
        </w:rPr>
        <w:t>(</w:t>
      </w:r>
      <w:r w:rsidR="00B049A9" w:rsidRPr="00BC62BE">
        <w:rPr>
          <w:rFonts w:ascii="Arial" w:hAnsi="Arial" w:cs="Arial"/>
          <w:color w:val="000000" w:themeColor="text1"/>
        </w:rPr>
        <w:t>599 for Mendip</w:t>
      </w:r>
      <w:r w:rsidR="007C1F75" w:rsidRPr="00BC62BE">
        <w:rPr>
          <w:rFonts w:ascii="Arial" w:hAnsi="Arial" w:cs="Arial"/>
          <w:color w:val="000000" w:themeColor="text1"/>
        </w:rPr>
        <w:t xml:space="preserve"> </w:t>
      </w:r>
      <w:r w:rsidR="00AD2277" w:rsidRPr="00BC62BE">
        <w:rPr>
          <w:rFonts w:ascii="Arial" w:hAnsi="Arial" w:cs="Arial"/>
          <w:color w:val="000000" w:themeColor="text1"/>
        </w:rPr>
        <w:t>–</w:t>
      </w:r>
      <w:r w:rsidR="007C1F75" w:rsidRPr="00BC62BE">
        <w:rPr>
          <w:rFonts w:ascii="Arial" w:hAnsi="Arial" w:cs="Arial"/>
          <w:color w:val="000000" w:themeColor="text1"/>
        </w:rPr>
        <w:t xml:space="preserve"> </w:t>
      </w:r>
      <w:r w:rsidR="00B049A9" w:rsidRPr="00BC62BE">
        <w:rPr>
          <w:rFonts w:ascii="Arial" w:hAnsi="Arial" w:cs="Arial"/>
          <w:color w:val="000000" w:themeColor="text1"/>
        </w:rPr>
        <w:t>606 for Taunton Deane</w:t>
      </w:r>
      <w:r w:rsidR="00B87852" w:rsidRPr="00BC62BE">
        <w:rPr>
          <w:rFonts w:ascii="Arial" w:hAnsi="Arial" w:cs="Arial"/>
          <w:color w:val="000000" w:themeColor="text1"/>
        </w:rPr>
        <w:t>)</w:t>
      </w:r>
      <w:r w:rsidR="00DB6D53" w:rsidRPr="00BC62BE">
        <w:rPr>
          <w:rFonts w:ascii="Arial" w:hAnsi="Arial" w:cs="Arial"/>
          <w:color w:val="000000" w:themeColor="text1"/>
        </w:rPr>
        <w:t>.  However, the</w:t>
      </w:r>
      <w:r w:rsidR="00C61D65" w:rsidRPr="00BC62BE">
        <w:rPr>
          <w:rFonts w:ascii="Arial" w:hAnsi="Arial" w:cs="Arial"/>
          <w:color w:val="000000" w:themeColor="text1"/>
        </w:rPr>
        <w:t xml:space="preserve">se are </w:t>
      </w:r>
      <w:r w:rsidR="00DB6D53" w:rsidRPr="00BC62BE">
        <w:rPr>
          <w:rFonts w:ascii="Arial" w:hAnsi="Arial" w:cs="Arial"/>
          <w:color w:val="000000" w:themeColor="text1"/>
        </w:rPr>
        <w:t>contextually very different local authority areas.</w:t>
      </w:r>
      <w:r w:rsidRPr="00BC62BE">
        <w:rPr>
          <w:rFonts w:ascii="Arial" w:hAnsi="Arial" w:cs="Arial"/>
          <w:color w:val="000000" w:themeColor="text1"/>
        </w:rPr>
        <w:t xml:space="preserve"> </w:t>
      </w:r>
      <w:r w:rsidR="003A0A7C" w:rsidRPr="00BC62BE">
        <w:rPr>
          <w:rFonts w:ascii="Arial" w:hAnsi="Arial" w:cs="Arial"/>
          <w:color w:val="000000" w:themeColor="text1"/>
        </w:rPr>
        <w:t xml:space="preserve"> </w:t>
      </w:r>
      <w:r w:rsidR="007C1F75" w:rsidRPr="00BC62BE">
        <w:rPr>
          <w:rFonts w:ascii="Arial" w:hAnsi="Arial" w:cs="Arial"/>
          <w:color w:val="000000" w:themeColor="text1"/>
        </w:rPr>
        <w:t xml:space="preserve">One way of </w:t>
      </w:r>
      <w:r w:rsidR="00DB6D53" w:rsidRPr="00BC62BE">
        <w:rPr>
          <w:rFonts w:ascii="Arial" w:hAnsi="Arial" w:cs="Arial"/>
          <w:color w:val="000000" w:themeColor="text1"/>
        </w:rPr>
        <w:t>understanding</w:t>
      </w:r>
      <w:r w:rsidR="00DB6D53" w:rsidRPr="003D5C0C">
        <w:rPr>
          <w:rFonts w:ascii="Arial" w:hAnsi="Arial" w:cs="Arial"/>
          <w:color w:val="000000" w:themeColor="text1"/>
        </w:rPr>
        <w:t xml:space="preserve"> this variation is in relation to </w:t>
      </w:r>
      <w:r w:rsidR="00AA1DB9" w:rsidRPr="003D5C0C">
        <w:rPr>
          <w:rFonts w:ascii="Arial" w:hAnsi="Arial" w:cs="Arial"/>
          <w:color w:val="000000" w:themeColor="text1"/>
        </w:rPr>
        <w:t xml:space="preserve">a </w:t>
      </w:r>
      <w:r w:rsidR="007C1F75" w:rsidRPr="003D5C0C">
        <w:rPr>
          <w:rFonts w:ascii="Arial" w:hAnsi="Arial" w:cs="Arial"/>
          <w:color w:val="000000" w:themeColor="text1"/>
        </w:rPr>
        <w:t>local authority family typology</w:t>
      </w:r>
      <w:r w:rsidR="00AA1DB9" w:rsidRPr="003D5C0C">
        <w:rPr>
          <w:rFonts w:ascii="Arial" w:hAnsi="Arial" w:cs="Arial"/>
          <w:color w:val="000000" w:themeColor="text1"/>
        </w:rPr>
        <w:t xml:space="preserve"> (</w:t>
      </w:r>
      <w:r w:rsidR="00FB41C2" w:rsidRPr="003D5C0C">
        <w:rPr>
          <w:rFonts w:ascii="Arial" w:hAnsi="Arial" w:cs="Arial"/>
          <w:color w:val="000000" w:themeColor="text1"/>
        </w:rPr>
        <w:t>originated by</w:t>
      </w:r>
      <w:r w:rsidR="00AA1DB9" w:rsidRPr="003D5C0C">
        <w:rPr>
          <w:rFonts w:ascii="Arial" w:hAnsi="Arial" w:cs="Arial"/>
          <w:color w:val="000000" w:themeColor="text1"/>
        </w:rPr>
        <w:t xml:space="preserve"> Vickers, </w:t>
      </w:r>
      <w:r w:rsidR="007C1F75" w:rsidRPr="003D5C0C">
        <w:rPr>
          <w:rFonts w:ascii="Arial" w:hAnsi="Arial" w:cs="Arial"/>
          <w:color w:val="000000" w:themeColor="text1"/>
        </w:rPr>
        <w:t>2003</w:t>
      </w:r>
      <w:r w:rsidR="00AA1DB9" w:rsidRPr="003D5C0C">
        <w:rPr>
          <w:rFonts w:ascii="Arial" w:hAnsi="Arial" w:cs="Arial"/>
          <w:color w:val="000000" w:themeColor="text1"/>
        </w:rPr>
        <w:t xml:space="preserve"> </w:t>
      </w:r>
      <w:r w:rsidR="00FB41C2" w:rsidRPr="003D5C0C">
        <w:rPr>
          <w:rFonts w:ascii="Arial" w:hAnsi="Arial" w:cs="Arial"/>
          <w:color w:val="000000" w:themeColor="text1"/>
        </w:rPr>
        <w:t xml:space="preserve">but updated most recently in </w:t>
      </w:r>
      <w:r w:rsidR="00AA1DB9" w:rsidRPr="003D5C0C">
        <w:rPr>
          <w:rFonts w:ascii="Arial" w:hAnsi="Arial" w:cs="Arial"/>
          <w:color w:val="000000" w:themeColor="text1"/>
        </w:rPr>
        <w:t>Lord et al. 2020</w:t>
      </w:r>
      <w:r w:rsidR="007C1F75" w:rsidRPr="003D5C0C">
        <w:rPr>
          <w:rFonts w:ascii="Arial" w:hAnsi="Arial" w:cs="Arial"/>
          <w:color w:val="000000" w:themeColor="text1"/>
        </w:rPr>
        <w:t>)</w:t>
      </w:r>
      <w:r w:rsidR="00DB6D53" w:rsidRPr="003D5C0C">
        <w:rPr>
          <w:rFonts w:ascii="Arial" w:hAnsi="Arial" w:cs="Arial"/>
          <w:color w:val="000000" w:themeColor="text1"/>
        </w:rPr>
        <w:t xml:space="preserve"> which is designed to group similar authorities together into </w:t>
      </w:r>
      <w:r w:rsidR="00AA1DB9" w:rsidRPr="003D5C0C">
        <w:rPr>
          <w:rFonts w:ascii="Arial" w:hAnsi="Arial" w:cs="Arial"/>
          <w:color w:val="000000" w:themeColor="text1"/>
        </w:rPr>
        <w:t xml:space="preserve">six </w:t>
      </w:r>
      <w:r w:rsidR="00DB6D53" w:rsidRPr="003D5C0C">
        <w:rPr>
          <w:rFonts w:ascii="Arial" w:hAnsi="Arial" w:cs="Arial"/>
          <w:color w:val="000000" w:themeColor="text1"/>
        </w:rPr>
        <w:t xml:space="preserve">family types: </w:t>
      </w:r>
      <w:r w:rsidR="00DB6D53" w:rsidRPr="00BC62BE">
        <w:rPr>
          <w:rFonts w:ascii="Arial" w:hAnsi="Arial" w:cs="Arial"/>
          <w:color w:val="000000" w:themeColor="text1"/>
        </w:rPr>
        <w:t xml:space="preserve">Commuter Belt, </w:t>
      </w:r>
      <w:r w:rsidR="00DB6D53" w:rsidRPr="00BC62BE">
        <w:rPr>
          <w:rStyle w:val="SubtleEmphasis"/>
          <w:rFonts w:ascii="Arial" w:hAnsi="Arial" w:cs="Arial"/>
          <w:i w:val="0"/>
          <w:color w:val="000000" w:themeColor="text1"/>
        </w:rPr>
        <w:t>Established Urban Centres,</w:t>
      </w:r>
      <w:r w:rsidR="00FB41C2" w:rsidRPr="00BC62BE">
        <w:rPr>
          <w:rStyle w:val="SubtleEmphasis"/>
          <w:rFonts w:ascii="Arial" w:hAnsi="Arial" w:cs="Arial"/>
          <w:i w:val="0"/>
          <w:color w:val="000000" w:themeColor="text1"/>
        </w:rPr>
        <w:t xml:space="preserve"> Rural Towns, Rural England,</w:t>
      </w:r>
      <w:r w:rsidR="00DB6D53" w:rsidRPr="00BC62BE">
        <w:rPr>
          <w:rStyle w:val="SubtleEmphasis"/>
          <w:rFonts w:ascii="Arial" w:hAnsi="Arial" w:cs="Arial"/>
          <w:i w:val="0"/>
          <w:color w:val="000000" w:themeColor="text1"/>
        </w:rPr>
        <w:t xml:space="preserve"> Urban England</w:t>
      </w:r>
      <w:r w:rsidR="00FB41C2" w:rsidRPr="00BC62BE">
        <w:rPr>
          <w:rStyle w:val="SubtleEmphasis"/>
          <w:rFonts w:ascii="Arial" w:hAnsi="Arial" w:cs="Arial"/>
          <w:i w:val="0"/>
          <w:color w:val="000000" w:themeColor="text1"/>
        </w:rPr>
        <w:t xml:space="preserve"> </w:t>
      </w:r>
      <w:r w:rsidR="00DB6D53" w:rsidRPr="00BC62BE">
        <w:rPr>
          <w:rStyle w:val="SubtleEmphasis"/>
          <w:rFonts w:ascii="Arial" w:hAnsi="Arial" w:cs="Arial"/>
          <w:i w:val="0"/>
          <w:color w:val="000000" w:themeColor="text1"/>
        </w:rPr>
        <w:t xml:space="preserve">and Urban London. </w:t>
      </w:r>
      <w:r w:rsidR="003A0A7C" w:rsidRPr="00BC62BE">
        <w:rPr>
          <w:rStyle w:val="SubtleEmphasis"/>
          <w:rFonts w:ascii="Arial" w:hAnsi="Arial" w:cs="Arial"/>
          <w:i w:val="0"/>
          <w:color w:val="000000" w:themeColor="text1"/>
        </w:rPr>
        <w:t xml:space="preserve"> </w:t>
      </w:r>
      <w:r w:rsidR="00AA1DB9" w:rsidRPr="00BC62BE">
        <w:rPr>
          <w:rFonts w:ascii="Arial" w:hAnsi="Arial" w:cs="Arial"/>
          <w:color w:val="000000" w:themeColor="text1"/>
        </w:rPr>
        <w:t xml:space="preserve">This </w:t>
      </w:r>
      <w:r w:rsidR="007C1F75" w:rsidRPr="00BC62BE">
        <w:rPr>
          <w:rFonts w:ascii="Arial" w:hAnsi="Arial" w:cs="Arial"/>
          <w:color w:val="000000" w:themeColor="text1"/>
        </w:rPr>
        <w:t xml:space="preserve">places these </w:t>
      </w:r>
      <w:r w:rsidR="00B049A9" w:rsidRPr="00BC62BE">
        <w:rPr>
          <w:rFonts w:ascii="Arial" w:hAnsi="Arial" w:cs="Arial"/>
          <w:color w:val="000000" w:themeColor="text1"/>
        </w:rPr>
        <w:t>six</w:t>
      </w:r>
      <w:r w:rsidR="007C1F75" w:rsidRPr="00BC62BE">
        <w:rPr>
          <w:rFonts w:ascii="Arial" w:hAnsi="Arial" w:cs="Arial"/>
          <w:color w:val="000000" w:themeColor="text1"/>
        </w:rPr>
        <w:t xml:space="preserve"> authorities</w:t>
      </w:r>
      <w:r w:rsidR="00ED16CE" w:rsidRPr="00BC62BE">
        <w:rPr>
          <w:rFonts w:ascii="Arial" w:hAnsi="Arial" w:cs="Arial"/>
          <w:color w:val="000000" w:themeColor="text1"/>
        </w:rPr>
        <w:t xml:space="preserve"> clustered around the median</w:t>
      </w:r>
      <w:r w:rsidR="007C1F75" w:rsidRPr="00BC62BE">
        <w:rPr>
          <w:rFonts w:ascii="Arial" w:hAnsi="Arial" w:cs="Arial"/>
          <w:color w:val="000000" w:themeColor="text1"/>
        </w:rPr>
        <w:t xml:space="preserve"> in </w:t>
      </w:r>
      <w:r w:rsidR="00B049A9" w:rsidRPr="00BC62BE">
        <w:rPr>
          <w:rFonts w:ascii="Arial" w:hAnsi="Arial" w:cs="Arial"/>
          <w:color w:val="000000" w:themeColor="text1"/>
        </w:rPr>
        <w:t xml:space="preserve">four of the six </w:t>
      </w:r>
      <w:r w:rsidR="007C1F75" w:rsidRPr="00BC62BE">
        <w:rPr>
          <w:rFonts w:ascii="Arial" w:hAnsi="Arial" w:cs="Arial"/>
          <w:color w:val="000000" w:themeColor="text1"/>
        </w:rPr>
        <w:t xml:space="preserve">different family groupings: two in the </w:t>
      </w:r>
      <w:r w:rsidR="00B049A9" w:rsidRPr="00BC62BE">
        <w:rPr>
          <w:rFonts w:ascii="Arial" w:hAnsi="Arial" w:cs="Arial"/>
          <w:color w:val="000000" w:themeColor="text1"/>
        </w:rPr>
        <w:t>‘</w:t>
      </w:r>
      <w:r w:rsidR="00F31A53" w:rsidRPr="00BC62BE">
        <w:rPr>
          <w:rFonts w:ascii="Arial" w:hAnsi="Arial" w:cs="Arial"/>
          <w:color w:val="000000" w:themeColor="text1"/>
        </w:rPr>
        <w:t>C</w:t>
      </w:r>
      <w:r w:rsidR="007C1F75" w:rsidRPr="00BC62BE">
        <w:rPr>
          <w:rFonts w:ascii="Arial" w:hAnsi="Arial" w:cs="Arial"/>
          <w:color w:val="000000" w:themeColor="text1"/>
        </w:rPr>
        <w:t xml:space="preserve">ommuter </w:t>
      </w:r>
      <w:r w:rsidR="00F31A53" w:rsidRPr="00BC62BE">
        <w:rPr>
          <w:rFonts w:ascii="Arial" w:hAnsi="Arial" w:cs="Arial"/>
          <w:color w:val="000000" w:themeColor="text1"/>
        </w:rPr>
        <w:t>B</w:t>
      </w:r>
      <w:r w:rsidR="007C1F75" w:rsidRPr="00BC62BE">
        <w:rPr>
          <w:rFonts w:ascii="Arial" w:hAnsi="Arial" w:cs="Arial"/>
          <w:color w:val="000000" w:themeColor="text1"/>
        </w:rPr>
        <w:t>elt</w:t>
      </w:r>
      <w:r w:rsidR="00B049A9" w:rsidRPr="00BC62BE">
        <w:rPr>
          <w:rFonts w:ascii="Arial" w:hAnsi="Arial" w:cs="Arial"/>
          <w:color w:val="000000" w:themeColor="text1"/>
        </w:rPr>
        <w:t xml:space="preserve">’ category </w:t>
      </w:r>
      <w:r w:rsidR="007C1F75" w:rsidRPr="00BC62BE">
        <w:rPr>
          <w:rFonts w:ascii="Arial" w:hAnsi="Arial" w:cs="Arial"/>
          <w:color w:val="000000" w:themeColor="text1"/>
        </w:rPr>
        <w:t>(</w:t>
      </w:r>
      <w:r w:rsidR="00B049A9" w:rsidRPr="00BC62BE">
        <w:rPr>
          <w:rFonts w:ascii="Arial" w:hAnsi="Arial" w:cs="Arial"/>
          <w:color w:val="000000" w:themeColor="text1"/>
        </w:rPr>
        <w:t>Bracknell Forest and East Hampshire</w:t>
      </w:r>
      <w:r w:rsidR="007C1F75" w:rsidRPr="00BC62BE">
        <w:rPr>
          <w:rFonts w:ascii="Arial" w:hAnsi="Arial" w:cs="Arial"/>
          <w:color w:val="000000" w:themeColor="text1"/>
        </w:rPr>
        <w:t xml:space="preserve">), </w:t>
      </w:r>
      <w:r w:rsidR="00B049A9" w:rsidRPr="00BC62BE">
        <w:rPr>
          <w:rFonts w:ascii="Arial" w:hAnsi="Arial" w:cs="Arial"/>
          <w:color w:val="000000" w:themeColor="text1"/>
        </w:rPr>
        <w:t>two</w:t>
      </w:r>
      <w:r w:rsidR="007C1F75" w:rsidRPr="00BC62BE">
        <w:rPr>
          <w:rFonts w:ascii="Arial" w:hAnsi="Arial" w:cs="Arial"/>
          <w:color w:val="000000" w:themeColor="text1"/>
        </w:rPr>
        <w:t xml:space="preserve"> in </w:t>
      </w:r>
      <w:r w:rsidR="00B049A9" w:rsidRPr="00BC62BE">
        <w:rPr>
          <w:rFonts w:ascii="Arial" w:hAnsi="Arial" w:cs="Arial"/>
          <w:color w:val="000000" w:themeColor="text1"/>
        </w:rPr>
        <w:t>‘</w:t>
      </w:r>
      <w:r w:rsidR="00F31A53" w:rsidRPr="00BC62BE">
        <w:rPr>
          <w:rFonts w:ascii="Arial" w:hAnsi="Arial" w:cs="Arial"/>
          <w:color w:val="000000" w:themeColor="text1"/>
        </w:rPr>
        <w:t>R</w:t>
      </w:r>
      <w:r w:rsidR="007C1F75" w:rsidRPr="00BC62BE">
        <w:rPr>
          <w:rFonts w:ascii="Arial" w:hAnsi="Arial" w:cs="Arial"/>
          <w:color w:val="000000" w:themeColor="text1"/>
        </w:rPr>
        <w:t xml:space="preserve">ural </w:t>
      </w:r>
      <w:r w:rsidR="00B049A9" w:rsidRPr="00BC62BE">
        <w:rPr>
          <w:rFonts w:ascii="Arial" w:hAnsi="Arial" w:cs="Arial"/>
          <w:color w:val="000000" w:themeColor="text1"/>
        </w:rPr>
        <w:t>England’</w:t>
      </w:r>
      <w:r w:rsidR="007C1F75" w:rsidRPr="00BC62BE">
        <w:rPr>
          <w:rFonts w:ascii="Arial" w:hAnsi="Arial" w:cs="Arial"/>
          <w:color w:val="000000" w:themeColor="text1"/>
        </w:rPr>
        <w:t xml:space="preserve"> (</w:t>
      </w:r>
      <w:r w:rsidR="00B049A9" w:rsidRPr="00BC62BE">
        <w:rPr>
          <w:rFonts w:ascii="Arial" w:hAnsi="Arial" w:cs="Arial"/>
          <w:color w:val="000000" w:themeColor="text1"/>
        </w:rPr>
        <w:t>Mendip and Taunton Deane</w:t>
      </w:r>
      <w:r w:rsidR="007C1F75" w:rsidRPr="00BC62BE">
        <w:rPr>
          <w:rFonts w:ascii="Arial" w:hAnsi="Arial" w:cs="Arial"/>
          <w:color w:val="000000" w:themeColor="text1"/>
        </w:rPr>
        <w:t xml:space="preserve">) </w:t>
      </w:r>
      <w:r w:rsidR="00B049A9" w:rsidRPr="00BC62BE">
        <w:rPr>
          <w:rFonts w:ascii="Arial" w:hAnsi="Arial" w:cs="Arial"/>
          <w:color w:val="000000" w:themeColor="text1"/>
        </w:rPr>
        <w:t>one</w:t>
      </w:r>
      <w:r w:rsidR="007C1F75" w:rsidRPr="00BC62BE">
        <w:rPr>
          <w:rFonts w:ascii="Arial" w:hAnsi="Arial" w:cs="Arial"/>
          <w:color w:val="000000" w:themeColor="text1"/>
        </w:rPr>
        <w:t xml:space="preserve"> in </w:t>
      </w:r>
      <w:r w:rsidR="00B049A9" w:rsidRPr="00BC62BE">
        <w:rPr>
          <w:rFonts w:ascii="Arial" w:hAnsi="Arial" w:cs="Arial"/>
          <w:color w:val="000000" w:themeColor="text1"/>
        </w:rPr>
        <w:t>‘</w:t>
      </w:r>
      <w:r w:rsidR="007C1F75" w:rsidRPr="00BC62BE">
        <w:rPr>
          <w:rFonts w:ascii="Arial" w:hAnsi="Arial" w:cs="Arial"/>
          <w:color w:val="000000" w:themeColor="text1"/>
        </w:rPr>
        <w:t>Urban England</w:t>
      </w:r>
      <w:r w:rsidR="00B049A9" w:rsidRPr="00BC62BE">
        <w:rPr>
          <w:rFonts w:ascii="Arial" w:hAnsi="Arial" w:cs="Arial"/>
          <w:color w:val="000000" w:themeColor="text1"/>
        </w:rPr>
        <w:t>’</w:t>
      </w:r>
      <w:r w:rsidR="007C1F75" w:rsidRPr="00BC62BE">
        <w:rPr>
          <w:rFonts w:ascii="Arial" w:hAnsi="Arial" w:cs="Arial"/>
          <w:color w:val="000000" w:themeColor="text1"/>
        </w:rPr>
        <w:t xml:space="preserve"> (</w:t>
      </w:r>
      <w:r w:rsidR="00B049A9" w:rsidRPr="00BC62BE">
        <w:rPr>
          <w:rFonts w:ascii="Arial" w:hAnsi="Arial" w:cs="Arial"/>
          <w:color w:val="000000" w:themeColor="text1"/>
        </w:rPr>
        <w:t>Oxford</w:t>
      </w:r>
      <w:r w:rsidR="007C1F75" w:rsidRPr="00BC62BE">
        <w:rPr>
          <w:rFonts w:ascii="Arial" w:hAnsi="Arial" w:cs="Arial"/>
          <w:color w:val="000000" w:themeColor="text1"/>
        </w:rPr>
        <w:t>)</w:t>
      </w:r>
      <w:r w:rsidR="00B049A9" w:rsidRPr="00BC62BE">
        <w:rPr>
          <w:rFonts w:ascii="Arial" w:hAnsi="Arial" w:cs="Arial"/>
          <w:color w:val="000000" w:themeColor="text1"/>
        </w:rPr>
        <w:t xml:space="preserve"> and one in ‘Established Urban Centres’ (Norwich)</w:t>
      </w:r>
      <w:r w:rsidR="007C1F75" w:rsidRPr="00BC62BE">
        <w:rPr>
          <w:rFonts w:ascii="Arial" w:hAnsi="Arial" w:cs="Arial"/>
          <w:color w:val="000000" w:themeColor="text1"/>
        </w:rPr>
        <w:t>.</w:t>
      </w:r>
      <w:r w:rsidR="00B049A9" w:rsidRPr="00BC62BE">
        <w:rPr>
          <w:rFonts w:ascii="Arial" w:hAnsi="Arial" w:cs="Arial"/>
          <w:color w:val="000000" w:themeColor="text1"/>
        </w:rPr>
        <w:t xml:space="preserve"> </w:t>
      </w:r>
      <w:r w:rsidR="007C1F75" w:rsidRPr="00F60686">
        <w:rPr>
          <w:rFonts w:ascii="Arial" w:hAnsi="Arial" w:cs="Arial"/>
          <w:color w:val="000000" w:themeColor="text1"/>
        </w:rPr>
        <w:t xml:space="preserve"> </w:t>
      </w:r>
    </w:p>
    <w:p w14:paraId="533EF42C" w14:textId="77777777" w:rsidR="00C61D65" w:rsidRPr="003D5C0C" w:rsidRDefault="00C61D65" w:rsidP="006633FA">
      <w:pPr>
        <w:spacing w:line="480" w:lineRule="auto"/>
        <w:jc w:val="both"/>
        <w:rPr>
          <w:rFonts w:ascii="Arial" w:hAnsi="Arial" w:cs="Arial"/>
          <w:color w:val="000000" w:themeColor="text1"/>
        </w:rPr>
      </w:pPr>
    </w:p>
    <w:p w14:paraId="33F4D5F6" w14:textId="08D78C01" w:rsidR="00D14ECA" w:rsidRPr="003D5C0C" w:rsidRDefault="007C1F75" w:rsidP="006633FA">
      <w:pPr>
        <w:spacing w:line="480" w:lineRule="auto"/>
        <w:jc w:val="both"/>
        <w:rPr>
          <w:rFonts w:ascii="Arial" w:hAnsi="Arial" w:cs="Arial"/>
          <w:color w:val="000000" w:themeColor="text1"/>
        </w:rPr>
      </w:pPr>
      <w:r w:rsidRPr="003D5C0C">
        <w:rPr>
          <w:rFonts w:ascii="Arial" w:hAnsi="Arial" w:cs="Arial"/>
          <w:color w:val="000000" w:themeColor="text1"/>
        </w:rPr>
        <w:t>Beyond these important contextual differences</w:t>
      </w:r>
      <w:r w:rsidR="00154799" w:rsidRPr="003D5C0C">
        <w:rPr>
          <w:rFonts w:ascii="Arial" w:hAnsi="Arial" w:cs="Arial"/>
          <w:color w:val="000000" w:themeColor="text1"/>
        </w:rPr>
        <w:t xml:space="preserve"> between authorities</w:t>
      </w:r>
      <w:r w:rsidR="00992013" w:rsidRPr="003D5C0C">
        <w:rPr>
          <w:rFonts w:ascii="Arial" w:hAnsi="Arial" w:cs="Arial"/>
          <w:color w:val="000000" w:themeColor="text1"/>
        </w:rPr>
        <w:t xml:space="preserve"> there is no understanding in the </w:t>
      </w:r>
      <w:r w:rsidR="00F31A53" w:rsidRPr="003D5C0C">
        <w:rPr>
          <w:rFonts w:ascii="Arial" w:hAnsi="Arial" w:cs="Arial"/>
          <w:color w:val="000000" w:themeColor="text1"/>
        </w:rPr>
        <w:t>S</w:t>
      </w:r>
      <w:r w:rsidR="00992013" w:rsidRPr="003D5C0C">
        <w:rPr>
          <w:rFonts w:ascii="Arial" w:hAnsi="Arial" w:cs="Arial"/>
          <w:color w:val="000000" w:themeColor="text1"/>
        </w:rPr>
        <w:t xml:space="preserve">tandard </w:t>
      </w:r>
      <w:r w:rsidR="00F31A53" w:rsidRPr="003D5C0C">
        <w:rPr>
          <w:rFonts w:ascii="Arial" w:hAnsi="Arial" w:cs="Arial"/>
          <w:color w:val="000000" w:themeColor="text1"/>
        </w:rPr>
        <w:t>M</w:t>
      </w:r>
      <w:r w:rsidR="00992013" w:rsidRPr="003D5C0C">
        <w:rPr>
          <w:rFonts w:ascii="Arial" w:hAnsi="Arial" w:cs="Arial"/>
          <w:color w:val="000000" w:themeColor="text1"/>
        </w:rPr>
        <w:t xml:space="preserve">ethod of the scale of new development required relative to the existing housing stock.  For example, </w:t>
      </w:r>
      <w:r w:rsidR="00A6636D" w:rsidRPr="003D5C0C">
        <w:rPr>
          <w:rFonts w:ascii="Arial" w:hAnsi="Arial" w:cs="Arial"/>
          <w:color w:val="000000" w:themeColor="text1"/>
        </w:rPr>
        <w:t xml:space="preserve">Leeds is in the top decile on the absolute </w:t>
      </w:r>
      <w:r w:rsidR="00A6636D" w:rsidRPr="00C77ABA">
        <w:rPr>
          <w:rFonts w:ascii="Arial" w:hAnsi="Arial" w:cs="Arial"/>
          <w:color w:val="000000" w:themeColor="text1"/>
        </w:rPr>
        <w:t xml:space="preserve">measure of housing requirement resulting under the </w:t>
      </w:r>
      <w:r w:rsidR="002828E1" w:rsidRPr="00C77ABA">
        <w:rPr>
          <w:rFonts w:ascii="Arial" w:hAnsi="Arial" w:cs="Arial"/>
          <w:color w:val="000000" w:themeColor="text1"/>
        </w:rPr>
        <w:t>S</w:t>
      </w:r>
      <w:r w:rsidR="00A6636D" w:rsidRPr="00C77ABA">
        <w:rPr>
          <w:rFonts w:ascii="Arial" w:hAnsi="Arial" w:cs="Arial"/>
          <w:color w:val="000000" w:themeColor="text1"/>
        </w:rPr>
        <w:t xml:space="preserve">tandard </w:t>
      </w:r>
      <w:r w:rsidR="002828E1" w:rsidRPr="00C77ABA">
        <w:rPr>
          <w:rFonts w:ascii="Arial" w:hAnsi="Arial" w:cs="Arial"/>
          <w:color w:val="000000" w:themeColor="text1"/>
        </w:rPr>
        <w:t>M</w:t>
      </w:r>
      <w:r w:rsidR="00A6636D" w:rsidRPr="00C77ABA">
        <w:rPr>
          <w:rFonts w:ascii="Arial" w:hAnsi="Arial" w:cs="Arial"/>
          <w:color w:val="000000" w:themeColor="text1"/>
        </w:rPr>
        <w:t>ethod (2805 new dwellings</w:t>
      </w:r>
      <w:r w:rsidR="00154799" w:rsidRPr="00C77ABA">
        <w:rPr>
          <w:rFonts w:ascii="Arial" w:hAnsi="Arial" w:cs="Arial"/>
          <w:color w:val="000000" w:themeColor="text1"/>
        </w:rPr>
        <w:t>;</w:t>
      </w:r>
      <w:r w:rsidR="001670BD" w:rsidRPr="00C77ABA">
        <w:rPr>
          <w:rFonts w:ascii="Arial" w:hAnsi="Arial" w:cs="Arial"/>
          <w:color w:val="000000" w:themeColor="text1"/>
        </w:rPr>
        <w:t xml:space="preserve"> 3</w:t>
      </w:r>
      <w:r w:rsidR="00B049A9" w:rsidRPr="00C77ABA">
        <w:rPr>
          <w:rFonts w:ascii="Arial" w:hAnsi="Arial" w:cs="Arial"/>
          <w:color w:val="000000" w:themeColor="text1"/>
        </w:rPr>
        <w:t>19</w:t>
      </w:r>
      <w:r w:rsidR="001670BD" w:rsidRPr="00C77ABA">
        <w:rPr>
          <w:rFonts w:ascii="Arial" w:hAnsi="Arial" w:cs="Arial"/>
          <w:color w:val="000000" w:themeColor="text1"/>
        </w:rPr>
        <w:t>/326</w:t>
      </w:r>
      <w:r w:rsidR="001F6EAD" w:rsidRPr="00C77ABA">
        <w:rPr>
          <w:rFonts w:ascii="Arial" w:hAnsi="Arial" w:cs="Arial"/>
          <w:color w:val="000000" w:themeColor="text1"/>
        </w:rPr>
        <w:t xml:space="preserve"> - </w:t>
      </w:r>
      <w:r w:rsidR="001F6EAD" w:rsidRPr="00C77ABA">
        <w:rPr>
          <w:rFonts w:ascii="Arial" w:hAnsi="Arial" w:cs="Arial"/>
        </w:rPr>
        <w:t>throughout the paper all rankings are reported in the order low-high</w:t>
      </w:r>
      <w:r w:rsidR="00A6636D" w:rsidRPr="00C77ABA">
        <w:rPr>
          <w:rFonts w:ascii="Arial" w:hAnsi="Arial" w:cs="Arial"/>
          <w:color w:val="000000" w:themeColor="text1"/>
        </w:rPr>
        <w:t>)</w:t>
      </w:r>
      <w:r w:rsidR="001F6EAD" w:rsidRPr="00C77ABA">
        <w:rPr>
          <w:rFonts w:ascii="Arial" w:hAnsi="Arial" w:cs="Arial"/>
          <w:color w:val="000000" w:themeColor="text1"/>
        </w:rPr>
        <w:t>.  L</w:t>
      </w:r>
      <w:r w:rsidR="00A6636D" w:rsidRPr="00C77ABA">
        <w:rPr>
          <w:rFonts w:ascii="Arial" w:hAnsi="Arial" w:cs="Arial"/>
          <w:color w:val="000000" w:themeColor="text1"/>
        </w:rPr>
        <w:t>ess than</w:t>
      </w:r>
      <w:r w:rsidR="00A6636D" w:rsidRPr="003D5C0C">
        <w:rPr>
          <w:rFonts w:ascii="Arial" w:hAnsi="Arial" w:cs="Arial"/>
          <w:color w:val="000000" w:themeColor="text1"/>
        </w:rPr>
        <w:t xml:space="preserve"> </w:t>
      </w:r>
      <w:r w:rsidR="00B049A9">
        <w:rPr>
          <w:rFonts w:ascii="Arial" w:hAnsi="Arial" w:cs="Arial"/>
          <w:color w:val="000000" w:themeColor="text1"/>
        </w:rPr>
        <w:t>3</w:t>
      </w:r>
      <w:r w:rsidR="00A6636D" w:rsidRPr="003D5C0C">
        <w:rPr>
          <w:rFonts w:ascii="Arial" w:hAnsi="Arial" w:cs="Arial"/>
          <w:color w:val="000000" w:themeColor="text1"/>
        </w:rPr>
        <w:t xml:space="preserve">% of English LPAs have to accommodate a larger </w:t>
      </w:r>
      <w:r w:rsidR="00B1249A" w:rsidRPr="003D5C0C">
        <w:rPr>
          <w:rFonts w:ascii="Arial" w:hAnsi="Arial" w:cs="Arial"/>
          <w:color w:val="000000" w:themeColor="text1"/>
        </w:rPr>
        <w:t xml:space="preserve">absolute </w:t>
      </w:r>
      <w:r w:rsidR="00A6636D" w:rsidRPr="003D5C0C">
        <w:rPr>
          <w:rFonts w:ascii="Arial" w:hAnsi="Arial" w:cs="Arial"/>
          <w:color w:val="000000" w:themeColor="text1"/>
        </w:rPr>
        <w:t xml:space="preserve">number of new homes.  </w:t>
      </w:r>
      <w:r w:rsidR="00A6636D" w:rsidRPr="00C77ABA">
        <w:rPr>
          <w:rFonts w:ascii="Arial" w:hAnsi="Arial" w:cs="Arial"/>
          <w:color w:val="000000" w:themeColor="text1"/>
        </w:rPr>
        <w:t xml:space="preserve">However, for this large urban authority this translates as just 8 new dwellings for every 1000 </w:t>
      </w:r>
      <w:r w:rsidR="00154799" w:rsidRPr="00C77ABA">
        <w:rPr>
          <w:rFonts w:ascii="Arial" w:hAnsi="Arial" w:cs="Arial"/>
          <w:color w:val="000000" w:themeColor="text1"/>
        </w:rPr>
        <w:t xml:space="preserve">that already </w:t>
      </w:r>
      <w:r w:rsidR="00A6636D" w:rsidRPr="00C77ABA">
        <w:rPr>
          <w:rFonts w:ascii="Arial" w:hAnsi="Arial" w:cs="Arial"/>
          <w:color w:val="000000" w:themeColor="text1"/>
        </w:rPr>
        <w:t xml:space="preserve">exist.  In the overall rank of English LPAs this places Leeds at </w:t>
      </w:r>
      <w:r w:rsidR="001670BD" w:rsidRPr="00C77ABA">
        <w:rPr>
          <w:rFonts w:ascii="Arial" w:hAnsi="Arial" w:cs="Arial"/>
          <w:color w:val="000000" w:themeColor="text1"/>
        </w:rPr>
        <w:t>1</w:t>
      </w:r>
      <w:r w:rsidR="005335F0" w:rsidRPr="00C77ABA">
        <w:rPr>
          <w:rFonts w:ascii="Arial" w:hAnsi="Arial" w:cs="Arial"/>
          <w:color w:val="000000" w:themeColor="text1"/>
        </w:rPr>
        <w:t>1</w:t>
      </w:r>
      <w:r w:rsidR="001670BD" w:rsidRPr="00C77ABA">
        <w:rPr>
          <w:rFonts w:ascii="Arial" w:hAnsi="Arial" w:cs="Arial"/>
          <w:color w:val="000000" w:themeColor="text1"/>
        </w:rPr>
        <w:t>6/326</w:t>
      </w:r>
      <w:r w:rsidR="00A6636D" w:rsidRPr="00C77ABA">
        <w:rPr>
          <w:rFonts w:ascii="Arial" w:hAnsi="Arial" w:cs="Arial"/>
          <w:color w:val="000000" w:themeColor="text1"/>
        </w:rPr>
        <w:t xml:space="preserve">.  </w:t>
      </w:r>
      <w:r w:rsidR="002C437A" w:rsidRPr="00C77ABA">
        <w:rPr>
          <w:rFonts w:ascii="Arial" w:hAnsi="Arial" w:cs="Arial"/>
          <w:color w:val="000000" w:themeColor="text1"/>
        </w:rPr>
        <w:t>By co</w:t>
      </w:r>
      <w:r w:rsidR="002C437A" w:rsidRPr="003D5C0C">
        <w:rPr>
          <w:rFonts w:ascii="Arial" w:hAnsi="Arial" w:cs="Arial"/>
          <w:color w:val="000000" w:themeColor="text1"/>
        </w:rPr>
        <w:t>ntrast</w:t>
      </w:r>
      <w:r w:rsidR="00F31A53" w:rsidRPr="003D5C0C">
        <w:rPr>
          <w:rFonts w:ascii="Arial" w:hAnsi="Arial" w:cs="Arial"/>
          <w:color w:val="000000" w:themeColor="text1"/>
        </w:rPr>
        <w:t>,</w:t>
      </w:r>
      <w:r w:rsidR="002C437A" w:rsidRPr="003D5C0C">
        <w:rPr>
          <w:rFonts w:ascii="Arial" w:hAnsi="Arial" w:cs="Arial"/>
          <w:color w:val="000000" w:themeColor="text1"/>
        </w:rPr>
        <w:t xml:space="preserve"> for the authority with the highest level of housing </w:t>
      </w:r>
      <w:r w:rsidR="006E335E" w:rsidRPr="003D5C0C">
        <w:rPr>
          <w:rFonts w:ascii="Arial" w:eastAsiaTheme="minorHAnsi" w:hAnsi="Arial" w:cs="Arial"/>
          <w:color w:val="000000" w:themeColor="text1"/>
          <w:lang w:eastAsia="en-US"/>
        </w:rPr>
        <w:t xml:space="preserve">requirement </w:t>
      </w:r>
      <w:r w:rsidR="002C437A" w:rsidRPr="003D5C0C">
        <w:rPr>
          <w:rFonts w:ascii="Arial" w:hAnsi="Arial" w:cs="Arial"/>
          <w:color w:val="000000" w:themeColor="text1"/>
        </w:rPr>
        <w:t>in Figure 1 (</w:t>
      </w:r>
      <w:r w:rsidR="005335F0">
        <w:rPr>
          <w:rFonts w:ascii="Arial" w:hAnsi="Arial" w:cs="Arial"/>
          <w:color w:val="000000" w:themeColor="text1"/>
        </w:rPr>
        <w:t>Tower Hamlets</w:t>
      </w:r>
      <w:r w:rsidR="002C437A" w:rsidRPr="003D5C0C">
        <w:rPr>
          <w:rFonts w:ascii="Arial" w:hAnsi="Arial" w:cs="Arial"/>
          <w:color w:val="000000" w:themeColor="text1"/>
        </w:rPr>
        <w:t>,</w:t>
      </w:r>
      <w:r w:rsidR="00B1249A" w:rsidRPr="003D5C0C">
        <w:rPr>
          <w:rFonts w:ascii="Arial" w:hAnsi="Arial" w:cs="Arial"/>
          <w:color w:val="000000" w:themeColor="text1"/>
        </w:rPr>
        <w:t xml:space="preserve"> </w:t>
      </w:r>
      <w:r w:rsidR="00420B15">
        <w:rPr>
          <w:rFonts w:ascii="Arial" w:hAnsi="Arial" w:cs="Arial"/>
          <w:color w:val="000000" w:themeColor="text1"/>
        </w:rPr>
        <w:t>4425</w:t>
      </w:r>
      <w:r w:rsidR="002C437A" w:rsidRPr="003D5C0C">
        <w:rPr>
          <w:rFonts w:ascii="Arial" w:hAnsi="Arial" w:cs="Arial"/>
          <w:color w:val="000000" w:themeColor="text1"/>
        </w:rPr>
        <w:t xml:space="preserve"> new dwellings</w:t>
      </w:r>
      <w:r w:rsidR="00F31A53" w:rsidRPr="003D5C0C">
        <w:rPr>
          <w:rFonts w:ascii="Arial" w:hAnsi="Arial" w:cs="Arial"/>
          <w:color w:val="000000" w:themeColor="text1"/>
        </w:rPr>
        <w:t xml:space="preserve"> per annum</w:t>
      </w:r>
      <w:r w:rsidR="002C437A" w:rsidRPr="003D5C0C">
        <w:rPr>
          <w:rFonts w:ascii="Arial" w:hAnsi="Arial" w:cs="Arial"/>
          <w:color w:val="000000" w:themeColor="text1"/>
        </w:rPr>
        <w:t xml:space="preserve">) this </w:t>
      </w:r>
      <w:r w:rsidR="002C437A" w:rsidRPr="003D5C0C">
        <w:rPr>
          <w:rFonts w:ascii="Arial" w:hAnsi="Arial" w:cs="Arial"/>
          <w:color w:val="000000" w:themeColor="text1"/>
        </w:rPr>
        <w:lastRenderedPageBreak/>
        <w:t xml:space="preserve">also represents </w:t>
      </w:r>
      <w:r w:rsidR="00852EBE">
        <w:rPr>
          <w:rFonts w:ascii="Arial" w:hAnsi="Arial" w:cs="Arial"/>
          <w:color w:val="000000" w:themeColor="text1"/>
        </w:rPr>
        <w:t xml:space="preserve">the most </w:t>
      </w:r>
      <w:r w:rsidR="002C437A" w:rsidRPr="003D5C0C">
        <w:rPr>
          <w:rFonts w:ascii="Arial" w:hAnsi="Arial" w:cs="Arial"/>
          <w:color w:val="000000" w:themeColor="text1"/>
        </w:rPr>
        <w:t xml:space="preserve">significant proportionate addition to the existing housing stock </w:t>
      </w:r>
      <w:r w:rsidR="00852EBE">
        <w:rPr>
          <w:rFonts w:ascii="Arial" w:hAnsi="Arial" w:cs="Arial"/>
          <w:color w:val="000000" w:themeColor="text1"/>
        </w:rPr>
        <w:t xml:space="preserve">of all local authorities in England </w:t>
      </w:r>
      <w:r w:rsidR="002C437A" w:rsidRPr="003D5C0C">
        <w:rPr>
          <w:rFonts w:ascii="Arial" w:hAnsi="Arial" w:cs="Arial"/>
          <w:color w:val="000000" w:themeColor="text1"/>
        </w:rPr>
        <w:t>(</w:t>
      </w:r>
      <w:r w:rsidR="00DD727E" w:rsidRPr="003D5C0C">
        <w:rPr>
          <w:rFonts w:ascii="Arial" w:hAnsi="Arial" w:cs="Arial"/>
          <w:color w:val="000000" w:themeColor="text1"/>
        </w:rPr>
        <w:t>3</w:t>
      </w:r>
      <w:r w:rsidR="00852EBE">
        <w:rPr>
          <w:rFonts w:ascii="Arial" w:hAnsi="Arial" w:cs="Arial"/>
          <w:color w:val="000000" w:themeColor="text1"/>
        </w:rPr>
        <w:t>6</w:t>
      </w:r>
      <w:r w:rsidR="00DD727E" w:rsidRPr="003D5C0C">
        <w:rPr>
          <w:rFonts w:ascii="Arial" w:hAnsi="Arial" w:cs="Arial"/>
          <w:color w:val="000000" w:themeColor="text1"/>
        </w:rPr>
        <w:t xml:space="preserve"> </w:t>
      </w:r>
      <w:r w:rsidR="002C437A" w:rsidRPr="003D5C0C">
        <w:rPr>
          <w:rFonts w:ascii="Arial" w:hAnsi="Arial" w:cs="Arial"/>
          <w:color w:val="000000" w:themeColor="text1"/>
        </w:rPr>
        <w:t>new dwellings per 1000).</w:t>
      </w:r>
      <w:r w:rsidR="00DA5400" w:rsidRPr="003D5C0C">
        <w:rPr>
          <w:rFonts w:ascii="Arial" w:hAnsi="Arial" w:cs="Arial"/>
          <w:color w:val="000000" w:themeColor="text1"/>
        </w:rPr>
        <w:t xml:space="preserve">  These statistics are represented in Figure 2.</w:t>
      </w:r>
    </w:p>
    <w:p w14:paraId="04F83566" w14:textId="77777777" w:rsidR="00AA3D49" w:rsidRPr="00AA3D49" w:rsidRDefault="00AA3D49" w:rsidP="006633FA">
      <w:pPr>
        <w:spacing w:line="480" w:lineRule="auto"/>
        <w:jc w:val="both"/>
        <w:rPr>
          <w:rFonts w:ascii="Arial" w:hAnsi="Arial" w:cs="Arial"/>
          <w:b/>
          <w:color w:val="000000" w:themeColor="text1"/>
        </w:rPr>
      </w:pPr>
    </w:p>
    <w:p w14:paraId="4D68940F" w14:textId="381CBD9D" w:rsidR="00AA3D49" w:rsidRDefault="00AA3D49" w:rsidP="00CB3C37">
      <w:pPr>
        <w:spacing w:line="480" w:lineRule="auto"/>
        <w:jc w:val="center"/>
        <w:rPr>
          <w:rFonts w:ascii="Arial" w:hAnsi="Arial" w:cs="Arial"/>
          <w:b/>
          <w:color w:val="000000" w:themeColor="text1"/>
        </w:rPr>
      </w:pPr>
      <w:r w:rsidRPr="00AA3D49">
        <w:rPr>
          <w:rFonts w:ascii="Arial" w:hAnsi="Arial" w:cs="Arial"/>
          <w:b/>
          <w:color w:val="000000" w:themeColor="text1"/>
        </w:rPr>
        <w:t>FIGURE TWO ABOUT HERE</w:t>
      </w:r>
    </w:p>
    <w:p w14:paraId="41A312CA" w14:textId="77777777" w:rsidR="00CB3C37" w:rsidRPr="00AA3D49" w:rsidRDefault="00CB3C37" w:rsidP="00CB3C37">
      <w:pPr>
        <w:spacing w:line="480" w:lineRule="auto"/>
        <w:jc w:val="center"/>
        <w:rPr>
          <w:rFonts w:ascii="Arial" w:hAnsi="Arial" w:cs="Arial"/>
          <w:b/>
          <w:color w:val="000000" w:themeColor="text1"/>
        </w:rPr>
      </w:pPr>
    </w:p>
    <w:p w14:paraId="04CB8B75" w14:textId="6BDCCFD2" w:rsidR="00DC61D2" w:rsidRPr="003D5C0C" w:rsidRDefault="00A6636D"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The observations </w:t>
      </w:r>
      <w:r w:rsidR="00DA5400" w:rsidRPr="003D5C0C">
        <w:rPr>
          <w:rFonts w:ascii="Arial" w:hAnsi="Arial" w:cs="Arial"/>
          <w:color w:val="000000" w:themeColor="text1"/>
        </w:rPr>
        <w:t xml:space="preserve">above </w:t>
      </w:r>
      <w:r w:rsidRPr="003D5C0C">
        <w:rPr>
          <w:rFonts w:ascii="Arial" w:hAnsi="Arial" w:cs="Arial"/>
          <w:color w:val="000000" w:themeColor="text1"/>
        </w:rPr>
        <w:t xml:space="preserve">point to </w:t>
      </w:r>
      <w:r w:rsidR="00DC61D2" w:rsidRPr="003D5C0C">
        <w:rPr>
          <w:rFonts w:ascii="Arial" w:hAnsi="Arial" w:cs="Arial"/>
          <w:color w:val="000000" w:themeColor="text1"/>
        </w:rPr>
        <w:t xml:space="preserve">some of the anomalies that are masked behind the </w:t>
      </w:r>
      <w:r w:rsidRPr="003D5C0C">
        <w:rPr>
          <w:rFonts w:ascii="Arial" w:hAnsi="Arial" w:cs="Arial"/>
          <w:color w:val="000000" w:themeColor="text1"/>
        </w:rPr>
        <w:t xml:space="preserve">headline measure of 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rPr>
        <w:t xml:space="preserve">provided by the </w:t>
      </w:r>
      <w:r w:rsidR="00F31A53" w:rsidRPr="003D5C0C">
        <w:rPr>
          <w:rFonts w:ascii="Arial" w:hAnsi="Arial" w:cs="Arial"/>
          <w:color w:val="000000" w:themeColor="text1"/>
        </w:rPr>
        <w:t>S</w:t>
      </w:r>
      <w:r w:rsidRPr="003D5C0C">
        <w:rPr>
          <w:rFonts w:ascii="Arial" w:hAnsi="Arial" w:cs="Arial"/>
          <w:color w:val="000000" w:themeColor="text1"/>
        </w:rPr>
        <w:t xml:space="preserve">tandard </w:t>
      </w:r>
      <w:r w:rsidR="00F31A53" w:rsidRPr="003D5C0C">
        <w:rPr>
          <w:rFonts w:ascii="Arial" w:hAnsi="Arial" w:cs="Arial"/>
          <w:color w:val="000000" w:themeColor="text1"/>
        </w:rPr>
        <w:t>M</w:t>
      </w:r>
      <w:r w:rsidRPr="003D5C0C">
        <w:rPr>
          <w:rFonts w:ascii="Arial" w:hAnsi="Arial" w:cs="Arial"/>
          <w:color w:val="000000" w:themeColor="text1"/>
        </w:rPr>
        <w:t>ethod</w:t>
      </w:r>
      <w:r w:rsidR="00DC61D2" w:rsidRPr="003D5C0C">
        <w:rPr>
          <w:rFonts w:ascii="Arial" w:hAnsi="Arial" w:cs="Arial"/>
          <w:color w:val="000000" w:themeColor="text1"/>
        </w:rPr>
        <w:t xml:space="preserve">. </w:t>
      </w:r>
      <w:r w:rsidR="003A0A7C" w:rsidRPr="003D5C0C">
        <w:rPr>
          <w:rFonts w:ascii="Arial" w:hAnsi="Arial" w:cs="Arial"/>
          <w:color w:val="000000" w:themeColor="text1"/>
        </w:rPr>
        <w:t xml:space="preserve"> </w:t>
      </w:r>
      <w:r w:rsidR="00DC61D2" w:rsidRPr="003D5C0C">
        <w:rPr>
          <w:rFonts w:ascii="Arial" w:hAnsi="Arial" w:cs="Arial"/>
          <w:color w:val="000000" w:themeColor="text1"/>
        </w:rPr>
        <w:t>To investigate this further we consider three specific inputs: fertility rate, net migration and household projections as at 2031 (</w:t>
      </w:r>
      <w:r w:rsidR="00BC62BE">
        <w:rPr>
          <w:rFonts w:ascii="Arial" w:hAnsi="Arial" w:cs="Arial"/>
          <w:color w:val="000000" w:themeColor="text1"/>
        </w:rPr>
        <w:t xml:space="preserve">extrapolated from a base year of </w:t>
      </w:r>
      <w:r w:rsidR="00DC61D2" w:rsidRPr="003D5C0C">
        <w:rPr>
          <w:rFonts w:ascii="Arial" w:hAnsi="Arial" w:cs="Arial"/>
          <w:color w:val="000000" w:themeColor="text1"/>
        </w:rPr>
        <w:t>2014</w:t>
      </w:r>
      <w:r w:rsidR="00BC62BE">
        <w:rPr>
          <w:rFonts w:ascii="Arial" w:hAnsi="Arial" w:cs="Arial"/>
          <w:color w:val="000000" w:themeColor="text1"/>
        </w:rPr>
        <w:t xml:space="preserve"> as per the requirements of the Standard Method</w:t>
      </w:r>
      <w:r w:rsidR="00DC61D2" w:rsidRPr="003D5C0C">
        <w:rPr>
          <w:rFonts w:ascii="Arial" w:hAnsi="Arial" w:cs="Arial"/>
          <w:color w:val="000000" w:themeColor="text1"/>
        </w:rPr>
        <w:t>).</w:t>
      </w:r>
    </w:p>
    <w:p w14:paraId="42698E1D" w14:textId="667DCA8C" w:rsidR="00377C2D" w:rsidRPr="003D5C0C" w:rsidRDefault="00377C2D" w:rsidP="006633FA">
      <w:pPr>
        <w:spacing w:line="480" w:lineRule="auto"/>
        <w:jc w:val="both"/>
        <w:rPr>
          <w:rFonts w:ascii="Arial" w:hAnsi="Arial" w:cs="Arial"/>
          <w:color w:val="000000" w:themeColor="text1"/>
        </w:rPr>
      </w:pPr>
    </w:p>
    <w:p w14:paraId="56F9A8B2" w14:textId="77777777" w:rsidR="00BF7047" w:rsidRPr="003D5C0C" w:rsidRDefault="00BF7047" w:rsidP="00BF7047">
      <w:pPr>
        <w:pStyle w:val="ListParagraph"/>
        <w:numPr>
          <w:ilvl w:val="0"/>
          <w:numId w:val="6"/>
        </w:numPr>
        <w:spacing w:line="480" w:lineRule="auto"/>
        <w:jc w:val="both"/>
        <w:rPr>
          <w:rFonts w:ascii="Arial" w:hAnsi="Arial" w:cs="Arial"/>
          <w:color w:val="000000" w:themeColor="text1"/>
          <w:sz w:val="24"/>
          <w:szCs w:val="24"/>
        </w:rPr>
      </w:pPr>
      <w:r>
        <w:rPr>
          <w:rFonts w:ascii="Arial" w:hAnsi="Arial" w:cs="Arial"/>
          <w:color w:val="000000" w:themeColor="text1"/>
          <w:sz w:val="24"/>
          <w:szCs w:val="24"/>
        </w:rPr>
        <w:t>Net migration rate</w:t>
      </w:r>
      <w:r w:rsidRPr="003D5C0C">
        <w:rPr>
          <w:rFonts w:ascii="Arial" w:hAnsi="Arial" w:cs="Arial"/>
          <w:color w:val="000000" w:themeColor="text1"/>
          <w:sz w:val="24"/>
          <w:szCs w:val="24"/>
        </w:rPr>
        <w:t xml:space="preserve"> (2018)</w:t>
      </w:r>
    </w:p>
    <w:p w14:paraId="42C9A7AE" w14:textId="569F6F63" w:rsidR="00BF7047" w:rsidRPr="003D5C0C" w:rsidRDefault="00BF7047" w:rsidP="00BF7047">
      <w:pPr>
        <w:spacing w:line="480" w:lineRule="auto"/>
        <w:jc w:val="both"/>
        <w:rPr>
          <w:rFonts w:ascii="Arial" w:hAnsi="Arial" w:cs="Arial"/>
          <w:color w:val="000000" w:themeColor="text1"/>
        </w:rPr>
      </w:pPr>
      <w:r w:rsidRPr="003D5C0C">
        <w:rPr>
          <w:rFonts w:ascii="Arial" w:hAnsi="Arial" w:cs="Arial"/>
          <w:color w:val="000000" w:themeColor="text1"/>
        </w:rPr>
        <w:t xml:space="preserve">To illustrate the nature of the inconsistencies that result from the Standard Method it is instructive to consider the position of </w:t>
      </w:r>
      <w:r>
        <w:rPr>
          <w:rFonts w:ascii="Arial" w:hAnsi="Arial" w:cs="Arial"/>
          <w:color w:val="000000" w:themeColor="text1"/>
        </w:rPr>
        <w:t xml:space="preserve">one of </w:t>
      </w:r>
      <w:r w:rsidRPr="00BC62BE">
        <w:rPr>
          <w:rFonts w:ascii="Arial" w:hAnsi="Arial" w:cs="Arial"/>
          <w:color w:val="000000" w:themeColor="text1"/>
        </w:rPr>
        <w:t>the median authorities, Oxford.  With respect to several of the inputs that comprise the Standard Method, Oxford can be understood as typical.  For example, the 603 new dwellings that are required under the Standard Method represents 10 new dwellings per 1000 when considered relative to the existing housing stock which is unremarkable when placed in the wider context of all other English local authorities (175/326; the 53</w:t>
      </w:r>
      <w:r w:rsidRPr="00BC62BE">
        <w:rPr>
          <w:rFonts w:ascii="Arial" w:hAnsi="Arial" w:cs="Arial"/>
          <w:color w:val="000000" w:themeColor="text1"/>
          <w:vertAlign w:val="superscript"/>
        </w:rPr>
        <w:t>rd</w:t>
      </w:r>
      <w:r w:rsidRPr="00BC62BE">
        <w:rPr>
          <w:rFonts w:ascii="Arial" w:hAnsi="Arial" w:cs="Arial"/>
          <w:color w:val="000000" w:themeColor="text1"/>
        </w:rPr>
        <w:t xml:space="preserve"> percentile).  However, when considered in relation to the 2018 net migration rate Oxford occupies a very different position in the distribution (Figure 3).</w:t>
      </w:r>
      <w:r w:rsidRPr="003D5C0C">
        <w:rPr>
          <w:rFonts w:ascii="Arial" w:hAnsi="Arial" w:cs="Arial"/>
          <w:color w:val="000000" w:themeColor="text1"/>
        </w:rPr>
        <w:t xml:space="preserve">  </w:t>
      </w:r>
    </w:p>
    <w:p w14:paraId="4D329115" w14:textId="77777777" w:rsidR="00BF7047" w:rsidRPr="003D5C0C" w:rsidRDefault="00BF7047" w:rsidP="00BF7047">
      <w:pPr>
        <w:spacing w:line="480" w:lineRule="auto"/>
        <w:jc w:val="both"/>
        <w:rPr>
          <w:rFonts w:ascii="Arial" w:hAnsi="Arial" w:cs="Arial"/>
          <w:color w:val="000000" w:themeColor="text1"/>
        </w:rPr>
      </w:pPr>
    </w:p>
    <w:p w14:paraId="27F4A86C" w14:textId="40A88A5F" w:rsidR="00BF7047" w:rsidRDefault="00BF7047" w:rsidP="00CB3C37">
      <w:pPr>
        <w:spacing w:line="480" w:lineRule="auto"/>
        <w:jc w:val="center"/>
        <w:rPr>
          <w:rFonts w:ascii="Arial" w:hAnsi="Arial" w:cs="Arial"/>
          <w:b/>
          <w:color w:val="000000" w:themeColor="text1"/>
        </w:rPr>
      </w:pPr>
      <w:r w:rsidRPr="00AA3D49">
        <w:rPr>
          <w:rFonts w:ascii="Arial" w:hAnsi="Arial" w:cs="Arial"/>
          <w:b/>
          <w:color w:val="000000" w:themeColor="text1"/>
        </w:rPr>
        <w:t>FIGURE THREE ABOUT HERE</w:t>
      </w:r>
    </w:p>
    <w:p w14:paraId="6DC0BA30" w14:textId="77777777" w:rsidR="00BF7047" w:rsidRDefault="00BF7047" w:rsidP="00BF7047">
      <w:pPr>
        <w:spacing w:line="480" w:lineRule="auto"/>
        <w:jc w:val="both"/>
        <w:rPr>
          <w:rFonts w:ascii="Arial" w:hAnsi="Arial" w:cs="Arial"/>
          <w:color w:val="000000" w:themeColor="text1"/>
        </w:rPr>
      </w:pPr>
      <w:r>
        <w:rPr>
          <w:rFonts w:ascii="Arial" w:hAnsi="Arial" w:cs="Arial"/>
          <w:color w:val="000000" w:themeColor="text1"/>
        </w:rPr>
        <w:lastRenderedPageBreak/>
        <w:t>Ranked 7</w:t>
      </w:r>
      <w:r w:rsidRPr="007629C3">
        <w:rPr>
          <w:rFonts w:ascii="Arial" w:hAnsi="Arial" w:cs="Arial"/>
          <w:color w:val="000000" w:themeColor="text1"/>
          <w:vertAlign w:val="superscript"/>
        </w:rPr>
        <w:t>th</w:t>
      </w:r>
      <w:r>
        <w:rPr>
          <w:rFonts w:ascii="Arial" w:hAnsi="Arial" w:cs="Arial"/>
          <w:color w:val="000000" w:themeColor="text1"/>
        </w:rPr>
        <w:t xml:space="preserve"> out of the 326 local authorities in England fewer than 2% of English local authorities had a lower net migration rate. Surely this could be understood to make Oxford, the median authority on the Standard Method’s account of housing need, to be exceptional on this specific measure? </w:t>
      </w:r>
    </w:p>
    <w:p w14:paraId="2A6B5316" w14:textId="77777777" w:rsidR="00BF7047" w:rsidRDefault="00BF7047" w:rsidP="00BF7047">
      <w:pPr>
        <w:spacing w:line="480" w:lineRule="auto"/>
        <w:jc w:val="both"/>
        <w:rPr>
          <w:rFonts w:ascii="Arial" w:hAnsi="Arial" w:cs="Arial"/>
          <w:color w:val="000000" w:themeColor="text1"/>
        </w:rPr>
      </w:pPr>
    </w:p>
    <w:p w14:paraId="1AF23900" w14:textId="470642EC" w:rsidR="00BF7047" w:rsidRDefault="00BF7047" w:rsidP="00BF7047">
      <w:pPr>
        <w:spacing w:line="480" w:lineRule="auto"/>
        <w:jc w:val="both"/>
        <w:rPr>
          <w:rFonts w:ascii="Arial" w:hAnsi="Arial" w:cs="Arial"/>
          <w:color w:val="000000" w:themeColor="text1"/>
        </w:rPr>
      </w:pPr>
      <w:r>
        <w:rPr>
          <w:rFonts w:ascii="Arial" w:hAnsi="Arial" w:cs="Arial"/>
          <w:color w:val="000000" w:themeColor="text1"/>
        </w:rPr>
        <w:t xml:space="preserve">The anomaly is even greater for </w:t>
      </w:r>
      <w:r w:rsidRPr="003D5C0C">
        <w:rPr>
          <w:rFonts w:ascii="Arial" w:hAnsi="Arial" w:cs="Arial"/>
          <w:color w:val="000000" w:themeColor="text1"/>
        </w:rPr>
        <w:t>some London boroughs</w:t>
      </w:r>
      <w:r>
        <w:rPr>
          <w:rFonts w:ascii="Arial" w:hAnsi="Arial" w:cs="Arial"/>
          <w:color w:val="000000" w:themeColor="text1"/>
        </w:rPr>
        <w:t>.</w:t>
      </w:r>
      <w:r w:rsidRPr="003D5C0C">
        <w:rPr>
          <w:rFonts w:ascii="Arial" w:hAnsi="Arial" w:cs="Arial"/>
          <w:color w:val="000000" w:themeColor="text1"/>
        </w:rPr>
        <w:t xml:space="preserve"> These authorities are those with the greatest housing requirements in England yet with some of the lowest net migration rates in England.  For example,</w:t>
      </w:r>
      <w:r>
        <w:rPr>
          <w:rFonts w:ascii="Arial" w:hAnsi="Arial" w:cs="Arial"/>
          <w:color w:val="000000" w:themeColor="text1"/>
        </w:rPr>
        <w:t xml:space="preserve"> Newham had the lowest net migration rate in England in 2018, yet also the second highest housing need requirement (3805 dwellings per annum) of all the local authorities in England – only Tower Hamlets had a higher requirement under the Standard Method.</w:t>
      </w:r>
      <w:r w:rsidRPr="003D5C0C">
        <w:rPr>
          <w:rFonts w:ascii="Arial" w:hAnsi="Arial" w:cs="Arial"/>
          <w:color w:val="000000" w:themeColor="text1"/>
        </w:rPr>
        <w:t xml:space="preserve">  A similar state of affairs can be identified in the </w:t>
      </w:r>
      <w:r>
        <w:rPr>
          <w:rFonts w:ascii="Arial" w:hAnsi="Arial" w:cs="Arial"/>
          <w:color w:val="000000" w:themeColor="text1"/>
        </w:rPr>
        <w:t xml:space="preserve">2018 </w:t>
      </w:r>
      <w:r w:rsidRPr="003D5C0C">
        <w:rPr>
          <w:rFonts w:ascii="Arial" w:hAnsi="Arial" w:cs="Arial"/>
          <w:color w:val="000000" w:themeColor="text1"/>
        </w:rPr>
        <w:t>net migration rates recorded in</w:t>
      </w:r>
      <w:r>
        <w:rPr>
          <w:rFonts w:ascii="Arial" w:hAnsi="Arial" w:cs="Arial"/>
          <w:color w:val="000000" w:themeColor="text1"/>
        </w:rPr>
        <w:t xml:space="preserve"> other London boroughs: Haringey</w:t>
      </w:r>
      <w:r w:rsidRPr="003D5C0C">
        <w:rPr>
          <w:rFonts w:ascii="Arial" w:hAnsi="Arial" w:cs="Arial"/>
          <w:color w:val="000000" w:themeColor="text1"/>
        </w:rPr>
        <w:t xml:space="preserve"> (</w:t>
      </w:r>
      <w:r>
        <w:rPr>
          <w:rFonts w:ascii="Arial" w:hAnsi="Arial" w:cs="Arial"/>
          <w:color w:val="000000" w:themeColor="text1"/>
        </w:rPr>
        <w:t>2</w:t>
      </w:r>
      <w:r w:rsidRPr="003D5C0C">
        <w:rPr>
          <w:rFonts w:ascii="Arial" w:hAnsi="Arial" w:cs="Arial"/>
          <w:color w:val="000000" w:themeColor="text1"/>
        </w:rPr>
        <w:t xml:space="preserve">/326), </w:t>
      </w:r>
      <w:r>
        <w:rPr>
          <w:rFonts w:ascii="Arial" w:hAnsi="Arial" w:cs="Arial"/>
          <w:color w:val="000000" w:themeColor="text1"/>
        </w:rPr>
        <w:t>Ealing</w:t>
      </w:r>
      <w:r w:rsidRPr="003D5C0C">
        <w:rPr>
          <w:rFonts w:ascii="Arial" w:hAnsi="Arial" w:cs="Arial"/>
          <w:color w:val="000000" w:themeColor="text1"/>
        </w:rPr>
        <w:t xml:space="preserve"> (</w:t>
      </w:r>
      <w:r>
        <w:rPr>
          <w:rFonts w:ascii="Arial" w:hAnsi="Arial" w:cs="Arial"/>
          <w:color w:val="000000" w:themeColor="text1"/>
        </w:rPr>
        <w:t>3</w:t>
      </w:r>
      <w:r w:rsidRPr="003D5C0C">
        <w:rPr>
          <w:rFonts w:ascii="Arial" w:hAnsi="Arial" w:cs="Arial"/>
          <w:color w:val="000000" w:themeColor="text1"/>
        </w:rPr>
        <w:t xml:space="preserve">/326), </w:t>
      </w:r>
      <w:r>
        <w:rPr>
          <w:rFonts w:ascii="Arial" w:hAnsi="Arial" w:cs="Arial"/>
          <w:color w:val="000000" w:themeColor="text1"/>
        </w:rPr>
        <w:t>Brent</w:t>
      </w:r>
      <w:r w:rsidRPr="003D5C0C">
        <w:rPr>
          <w:rFonts w:ascii="Arial" w:hAnsi="Arial" w:cs="Arial"/>
          <w:color w:val="000000" w:themeColor="text1"/>
        </w:rPr>
        <w:t xml:space="preserve"> (</w:t>
      </w:r>
      <w:r>
        <w:rPr>
          <w:rFonts w:ascii="Arial" w:hAnsi="Arial" w:cs="Arial"/>
          <w:color w:val="000000" w:themeColor="text1"/>
        </w:rPr>
        <w:t>4</w:t>
      </w:r>
      <w:r w:rsidRPr="003D5C0C">
        <w:rPr>
          <w:rFonts w:ascii="Arial" w:hAnsi="Arial" w:cs="Arial"/>
          <w:color w:val="000000" w:themeColor="text1"/>
        </w:rPr>
        <w:t xml:space="preserve">/326) and </w:t>
      </w:r>
      <w:r>
        <w:rPr>
          <w:rFonts w:ascii="Arial" w:hAnsi="Arial" w:cs="Arial"/>
          <w:color w:val="000000" w:themeColor="text1"/>
        </w:rPr>
        <w:t>Barking and Dagenham</w:t>
      </w:r>
      <w:r w:rsidRPr="003D5C0C">
        <w:rPr>
          <w:rFonts w:ascii="Arial" w:hAnsi="Arial" w:cs="Arial"/>
          <w:color w:val="000000" w:themeColor="text1"/>
        </w:rPr>
        <w:t xml:space="preserve"> (</w:t>
      </w:r>
      <w:r>
        <w:rPr>
          <w:rFonts w:ascii="Arial" w:hAnsi="Arial" w:cs="Arial"/>
          <w:color w:val="000000" w:themeColor="text1"/>
        </w:rPr>
        <w:t>5</w:t>
      </w:r>
      <w:r w:rsidRPr="003D5C0C">
        <w:rPr>
          <w:rFonts w:ascii="Arial" w:hAnsi="Arial" w:cs="Arial"/>
          <w:color w:val="000000" w:themeColor="text1"/>
        </w:rPr>
        <w:t>/326)</w:t>
      </w:r>
      <w:r>
        <w:rPr>
          <w:rFonts w:ascii="Arial" w:hAnsi="Arial" w:cs="Arial"/>
          <w:color w:val="000000" w:themeColor="text1"/>
        </w:rPr>
        <w:t>.</w:t>
      </w:r>
      <w:r w:rsidRPr="003D5C0C">
        <w:rPr>
          <w:rFonts w:ascii="Arial" w:hAnsi="Arial" w:cs="Arial"/>
          <w:color w:val="000000" w:themeColor="text1"/>
        </w:rPr>
        <w:t xml:space="preserve"> </w:t>
      </w:r>
      <w:r>
        <w:rPr>
          <w:rFonts w:ascii="Arial" w:hAnsi="Arial" w:cs="Arial"/>
          <w:color w:val="000000" w:themeColor="text1"/>
        </w:rPr>
        <w:t xml:space="preserve"> </w:t>
      </w:r>
      <w:r w:rsidRPr="003D5C0C">
        <w:rPr>
          <w:rFonts w:ascii="Arial" w:hAnsi="Arial" w:cs="Arial"/>
          <w:color w:val="000000" w:themeColor="text1"/>
        </w:rPr>
        <w:t xml:space="preserve">The scale of the exceptionalism represented in the statistics above is extreme.  One of the most significant inputs to the Standard Method results in authorities with some of the lowest (and </w:t>
      </w:r>
      <w:r w:rsidRPr="003D5C0C">
        <w:rPr>
          <w:rFonts w:ascii="Arial" w:hAnsi="Arial" w:cs="Arial"/>
          <w:i/>
          <w:color w:val="000000" w:themeColor="text1"/>
        </w:rPr>
        <w:t xml:space="preserve">the </w:t>
      </w:r>
      <w:r w:rsidRPr="003D5C0C">
        <w:rPr>
          <w:rFonts w:ascii="Arial" w:hAnsi="Arial" w:cs="Arial"/>
          <w:color w:val="000000" w:themeColor="text1"/>
        </w:rPr>
        <w:t xml:space="preserve">lowest) net migration rate recording housing requirements in the top decile.  </w:t>
      </w:r>
    </w:p>
    <w:p w14:paraId="59816F11" w14:textId="77777777" w:rsidR="00BF7047" w:rsidRDefault="00BF7047" w:rsidP="00BF7047">
      <w:pPr>
        <w:spacing w:line="480" w:lineRule="auto"/>
        <w:jc w:val="both"/>
        <w:rPr>
          <w:rFonts w:ascii="Arial" w:hAnsi="Arial" w:cs="Arial"/>
          <w:color w:val="000000" w:themeColor="text1"/>
        </w:rPr>
      </w:pPr>
    </w:p>
    <w:p w14:paraId="558ED69C" w14:textId="77777777" w:rsidR="00BF7047" w:rsidRPr="00BF7047" w:rsidRDefault="00BF7047" w:rsidP="00BF7047">
      <w:pPr>
        <w:pStyle w:val="ListParagraph"/>
        <w:numPr>
          <w:ilvl w:val="0"/>
          <w:numId w:val="6"/>
        </w:numPr>
        <w:rPr>
          <w:rFonts w:ascii="Arial" w:hAnsi="Arial" w:cs="Arial"/>
          <w:sz w:val="24"/>
          <w:szCs w:val="24"/>
        </w:rPr>
      </w:pPr>
      <w:r w:rsidRPr="00BF7047">
        <w:rPr>
          <w:rFonts w:ascii="Arial" w:hAnsi="Arial" w:cs="Arial"/>
          <w:sz w:val="24"/>
          <w:szCs w:val="24"/>
        </w:rPr>
        <w:t>Fertility rate (2018)</w:t>
      </w:r>
    </w:p>
    <w:p w14:paraId="63CC0D0A" w14:textId="4597E84A" w:rsidR="00BF7047" w:rsidRPr="007629C3" w:rsidRDefault="00BF7047" w:rsidP="00BF7047">
      <w:pPr>
        <w:spacing w:line="480" w:lineRule="auto"/>
        <w:jc w:val="both"/>
        <w:rPr>
          <w:rFonts w:ascii="Arial" w:hAnsi="Arial" w:cs="Arial"/>
          <w:color w:val="000000" w:themeColor="text1"/>
        </w:rPr>
      </w:pPr>
      <w:r>
        <w:rPr>
          <w:rFonts w:ascii="Arial" w:hAnsi="Arial" w:cs="Arial"/>
          <w:color w:val="000000" w:themeColor="text1"/>
        </w:rPr>
        <w:t xml:space="preserve">Another measure on which some London Boroughs might be understood to be exceptional is the 2018 fertility rate. </w:t>
      </w:r>
      <w:r w:rsidRPr="007629C3">
        <w:rPr>
          <w:rFonts w:ascii="Arial" w:hAnsi="Arial" w:cs="Arial"/>
          <w:color w:val="000000" w:themeColor="text1"/>
        </w:rPr>
        <w:t xml:space="preserve">For example, with an annual housing </w:t>
      </w:r>
      <w:r w:rsidRPr="007629C3">
        <w:rPr>
          <w:rFonts w:ascii="Arial" w:eastAsiaTheme="minorHAnsi" w:hAnsi="Arial" w:cs="Arial"/>
          <w:color w:val="000000" w:themeColor="text1"/>
          <w:lang w:eastAsia="en-US"/>
        </w:rPr>
        <w:t xml:space="preserve">requirement of 2183, </w:t>
      </w:r>
      <w:r>
        <w:rPr>
          <w:rFonts w:ascii="Arial" w:eastAsiaTheme="minorHAnsi" w:hAnsi="Arial" w:cs="Arial"/>
          <w:color w:val="000000" w:themeColor="text1"/>
          <w:lang w:eastAsia="en-US"/>
        </w:rPr>
        <w:t xml:space="preserve">only </w:t>
      </w:r>
      <w:r w:rsidRPr="007629C3">
        <w:rPr>
          <w:rFonts w:ascii="Arial" w:eastAsiaTheme="minorHAnsi" w:hAnsi="Arial" w:cs="Arial"/>
          <w:color w:val="000000" w:themeColor="text1"/>
          <w:lang w:eastAsia="en-US"/>
        </w:rPr>
        <w:t xml:space="preserve">13 (4%) local authorities </w:t>
      </w:r>
      <w:r>
        <w:rPr>
          <w:rFonts w:ascii="Arial" w:eastAsiaTheme="minorHAnsi" w:hAnsi="Arial" w:cs="Arial"/>
          <w:color w:val="000000" w:themeColor="text1"/>
          <w:lang w:eastAsia="en-US"/>
        </w:rPr>
        <w:t>were</w:t>
      </w:r>
      <w:r w:rsidRPr="007629C3">
        <w:rPr>
          <w:rFonts w:ascii="Arial" w:hAnsi="Arial" w:cs="Arial"/>
          <w:color w:val="000000" w:themeColor="text1"/>
        </w:rPr>
        <w:t xml:space="preserve"> required to accommodate a larger absolute amount of </w:t>
      </w:r>
      <w:r w:rsidRPr="00BF7047">
        <w:rPr>
          <w:rFonts w:ascii="Arial" w:hAnsi="Arial" w:cs="Arial"/>
          <w:color w:val="000000" w:themeColor="text1"/>
        </w:rPr>
        <w:t>residential development than the London Borough of Lambeth.  However, Lambeth’s fertility rate of 1.23 w</w:t>
      </w:r>
      <w:r w:rsidRPr="007629C3">
        <w:rPr>
          <w:rFonts w:ascii="Arial" w:hAnsi="Arial" w:cs="Arial"/>
          <w:color w:val="000000" w:themeColor="text1"/>
        </w:rPr>
        <w:t xml:space="preserve">as the sixth lowest recorded by any local authority in England in 2018 – 98% of English local authorities recorded a higher fertility rate. </w:t>
      </w:r>
      <w:r>
        <w:rPr>
          <w:rFonts w:ascii="Arial" w:hAnsi="Arial" w:cs="Arial"/>
          <w:color w:val="000000" w:themeColor="text1"/>
        </w:rPr>
        <w:t xml:space="preserve">Similar observations could be made for other London authorities with </w:t>
      </w:r>
      <w:r>
        <w:rPr>
          <w:rFonts w:ascii="Arial" w:hAnsi="Arial" w:cs="Arial"/>
          <w:color w:val="000000" w:themeColor="text1"/>
        </w:rPr>
        <w:lastRenderedPageBreak/>
        <w:t>regard to the 2018 fertility rate: (Camden 1/326, Westminster 3/326, Islington, 5/326, Tower Hamlets, 9/326).</w:t>
      </w:r>
    </w:p>
    <w:p w14:paraId="261D27D4" w14:textId="77777777" w:rsidR="00BF7047" w:rsidRDefault="00BF7047" w:rsidP="00BF7047">
      <w:pPr>
        <w:spacing w:line="480" w:lineRule="auto"/>
        <w:jc w:val="both"/>
        <w:rPr>
          <w:rFonts w:ascii="Arial" w:hAnsi="Arial" w:cs="Arial"/>
          <w:color w:val="000000" w:themeColor="text1"/>
        </w:rPr>
      </w:pPr>
    </w:p>
    <w:p w14:paraId="22F645B8" w14:textId="2FFD683C" w:rsidR="00BF7047" w:rsidRDefault="00BF7047" w:rsidP="00C860EB">
      <w:pPr>
        <w:spacing w:line="480" w:lineRule="auto"/>
        <w:jc w:val="both"/>
      </w:pPr>
      <w:r w:rsidRPr="007629C3">
        <w:rPr>
          <w:rFonts w:ascii="Arial" w:hAnsi="Arial" w:cs="Arial"/>
          <w:color w:val="000000" w:themeColor="text1"/>
        </w:rPr>
        <w:t xml:space="preserve">These </w:t>
      </w:r>
      <w:r>
        <w:rPr>
          <w:rFonts w:ascii="Arial" w:hAnsi="Arial" w:cs="Arial"/>
          <w:color w:val="000000" w:themeColor="text1"/>
        </w:rPr>
        <w:t xml:space="preserve">examples </w:t>
      </w:r>
      <w:r w:rsidRPr="007629C3">
        <w:rPr>
          <w:rFonts w:ascii="Arial" w:hAnsi="Arial" w:cs="Arial"/>
          <w:color w:val="000000" w:themeColor="text1"/>
        </w:rPr>
        <w:t xml:space="preserve">point to significant </w:t>
      </w:r>
      <w:r>
        <w:rPr>
          <w:rFonts w:ascii="Arial" w:hAnsi="Arial" w:cs="Arial"/>
          <w:color w:val="000000" w:themeColor="text1"/>
        </w:rPr>
        <w:t xml:space="preserve">internal inconsistencies </w:t>
      </w:r>
      <w:r w:rsidRPr="007629C3">
        <w:rPr>
          <w:rFonts w:ascii="Arial" w:hAnsi="Arial" w:cs="Arial"/>
          <w:color w:val="000000" w:themeColor="text1"/>
        </w:rPr>
        <w:t>that are masked by the headline statistics produced by the Standard Method.  On this basis it would appear clear that some of</w:t>
      </w:r>
      <w:r w:rsidR="00C860EB">
        <w:rPr>
          <w:rFonts w:ascii="Arial" w:hAnsi="Arial" w:cs="Arial"/>
          <w:color w:val="000000" w:themeColor="text1"/>
        </w:rPr>
        <w:t xml:space="preserve"> local authorities with</w:t>
      </w:r>
      <w:r w:rsidRPr="007629C3">
        <w:rPr>
          <w:rFonts w:ascii="Arial" w:hAnsi="Arial" w:cs="Arial"/>
          <w:color w:val="000000" w:themeColor="text1"/>
        </w:rPr>
        <w:t xml:space="preserve"> the most significant housing </w:t>
      </w:r>
      <w:r w:rsidRPr="007629C3">
        <w:rPr>
          <w:rFonts w:ascii="Arial" w:eastAsiaTheme="minorHAnsi" w:hAnsi="Arial" w:cs="Arial"/>
          <w:color w:val="000000" w:themeColor="text1"/>
          <w:lang w:eastAsia="en-US"/>
        </w:rPr>
        <w:t xml:space="preserve">requirement </w:t>
      </w:r>
      <w:r w:rsidRPr="007629C3">
        <w:rPr>
          <w:rFonts w:ascii="Arial" w:hAnsi="Arial" w:cs="Arial"/>
          <w:color w:val="000000" w:themeColor="text1"/>
        </w:rPr>
        <w:t xml:space="preserve">numbers in the country </w:t>
      </w:r>
      <w:r w:rsidR="00C860EB" w:rsidRPr="007629C3">
        <w:rPr>
          <w:rFonts w:ascii="Arial" w:hAnsi="Arial" w:cs="Arial"/>
          <w:color w:val="000000" w:themeColor="text1"/>
        </w:rPr>
        <w:t>could claim exceptional local circumstances on the basis of a very low fertility rate</w:t>
      </w:r>
      <w:r w:rsidR="00C860EB">
        <w:rPr>
          <w:rFonts w:ascii="Arial" w:hAnsi="Arial" w:cs="Arial"/>
          <w:color w:val="000000" w:themeColor="text1"/>
        </w:rPr>
        <w:t xml:space="preserve">. </w:t>
      </w:r>
    </w:p>
    <w:p w14:paraId="5CDD69C0" w14:textId="77777777" w:rsidR="00BF7047" w:rsidRPr="007629C3" w:rsidRDefault="00BF7047" w:rsidP="00BF7047">
      <w:pPr>
        <w:pStyle w:val="ListParagraph"/>
        <w:spacing w:line="480" w:lineRule="auto"/>
        <w:ind w:left="1080"/>
        <w:jc w:val="both"/>
        <w:rPr>
          <w:rFonts w:ascii="Arial" w:hAnsi="Arial" w:cs="Arial"/>
          <w:color w:val="000000" w:themeColor="text1"/>
        </w:rPr>
      </w:pPr>
    </w:p>
    <w:p w14:paraId="050FF511" w14:textId="52594712" w:rsidR="00D80A46" w:rsidRDefault="00BF7047" w:rsidP="00CB3C37">
      <w:pPr>
        <w:spacing w:line="480" w:lineRule="auto"/>
        <w:jc w:val="center"/>
        <w:rPr>
          <w:rFonts w:ascii="Arial" w:hAnsi="Arial" w:cs="Arial"/>
          <w:b/>
          <w:color w:val="000000" w:themeColor="text1"/>
        </w:rPr>
      </w:pPr>
      <w:r w:rsidRPr="00AA3D49">
        <w:rPr>
          <w:rFonts w:ascii="Arial" w:hAnsi="Arial" w:cs="Arial"/>
          <w:b/>
          <w:color w:val="000000" w:themeColor="text1"/>
        </w:rPr>
        <w:t xml:space="preserve">FIGURE </w:t>
      </w:r>
      <w:r>
        <w:rPr>
          <w:rFonts w:ascii="Arial" w:hAnsi="Arial" w:cs="Arial"/>
          <w:b/>
          <w:color w:val="000000" w:themeColor="text1"/>
        </w:rPr>
        <w:t>FOUR</w:t>
      </w:r>
      <w:r w:rsidRPr="00AA3D49">
        <w:rPr>
          <w:rFonts w:ascii="Arial" w:hAnsi="Arial" w:cs="Arial"/>
          <w:b/>
          <w:color w:val="000000" w:themeColor="text1"/>
        </w:rPr>
        <w:t xml:space="preserve"> ABOUT HERE</w:t>
      </w:r>
    </w:p>
    <w:p w14:paraId="4608531B" w14:textId="77777777" w:rsidR="00CB3C37" w:rsidRPr="00AA3D49" w:rsidRDefault="00CB3C37" w:rsidP="00CB3C37">
      <w:pPr>
        <w:spacing w:line="480" w:lineRule="auto"/>
        <w:jc w:val="center"/>
        <w:rPr>
          <w:rFonts w:ascii="Arial" w:hAnsi="Arial" w:cs="Arial"/>
          <w:b/>
          <w:color w:val="000000" w:themeColor="text1"/>
        </w:rPr>
      </w:pPr>
    </w:p>
    <w:p w14:paraId="0EA31216" w14:textId="77777777" w:rsidR="00BF7047" w:rsidRPr="003D5C0C" w:rsidRDefault="00BF7047" w:rsidP="00BF7047">
      <w:pPr>
        <w:pStyle w:val="ListParagraph"/>
        <w:numPr>
          <w:ilvl w:val="0"/>
          <w:numId w:val="6"/>
        </w:numPr>
        <w:spacing w:line="480" w:lineRule="auto"/>
        <w:jc w:val="both"/>
        <w:rPr>
          <w:rFonts w:ascii="Arial" w:hAnsi="Arial" w:cs="Arial"/>
          <w:color w:val="000000" w:themeColor="text1"/>
          <w:sz w:val="24"/>
          <w:szCs w:val="24"/>
        </w:rPr>
      </w:pPr>
      <w:r w:rsidRPr="003D5C0C">
        <w:rPr>
          <w:rFonts w:ascii="Arial" w:hAnsi="Arial" w:cs="Arial"/>
          <w:color w:val="000000" w:themeColor="text1"/>
          <w:sz w:val="24"/>
          <w:szCs w:val="24"/>
        </w:rPr>
        <w:t xml:space="preserve">Household projections as at 2031 (2014 based). </w:t>
      </w:r>
    </w:p>
    <w:p w14:paraId="20F98B6B" w14:textId="539B1F31" w:rsidR="00BF7047" w:rsidRPr="003D5C0C" w:rsidRDefault="00C860EB" w:rsidP="00BF7047">
      <w:pPr>
        <w:spacing w:line="480" w:lineRule="auto"/>
        <w:jc w:val="both"/>
        <w:rPr>
          <w:rFonts w:ascii="Arial" w:hAnsi="Arial" w:cs="Arial"/>
          <w:color w:val="000000" w:themeColor="text1"/>
        </w:rPr>
      </w:pPr>
      <w:r>
        <w:rPr>
          <w:rFonts w:ascii="Arial" w:hAnsi="Arial" w:cs="Arial"/>
          <w:color w:val="000000" w:themeColor="text1"/>
        </w:rPr>
        <w:t xml:space="preserve">Inconsistencies </w:t>
      </w:r>
      <w:r w:rsidR="00BF7047" w:rsidRPr="003D5C0C">
        <w:rPr>
          <w:rFonts w:ascii="Arial" w:hAnsi="Arial" w:cs="Arial"/>
          <w:color w:val="000000" w:themeColor="text1"/>
        </w:rPr>
        <w:t xml:space="preserve">can even be found with regard to the household projections data.  For example, Epsom and Ewell, 42% of which lies in the Surrey greenbelt (Atkins, 2017), has an annual housing </w:t>
      </w:r>
      <w:r w:rsidR="00BF7047" w:rsidRPr="003D5C0C">
        <w:rPr>
          <w:rFonts w:ascii="Arial" w:eastAsiaTheme="minorHAnsi" w:hAnsi="Arial" w:cs="Arial"/>
          <w:color w:val="000000" w:themeColor="text1"/>
          <w:lang w:eastAsia="en-US"/>
        </w:rPr>
        <w:t xml:space="preserve">requirement </w:t>
      </w:r>
      <w:r w:rsidR="00BF7047" w:rsidRPr="003D5C0C">
        <w:rPr>
          <w:rFonts w:ascii="Arial" w:hAnsi="Arial" w:cs="Arial"/>
          <w:color w:val="000000" w:themeColor="text1"/>
        </w:rPr>
        <w:t>of</w:t>
      </w:r>
      <w:r w:rsidR="00BF7047">
        <w:rPr>
          <w:rFonts w:ascii="Arial" w:hAnsi="Arial" w:cs="Arial"/>
          <w:color w:val="000000" w:themeColor="text1"/>
        </w:rPr>
        <w:t xml:space="preserve"> 577</w:t>
      </w:r>
      <w:r w:rsidR="00BF7047" w:rsidRPr="003D5C0C">
        <w:rPr>
          <w:rFonts w:ascii="Arial" w:hAnsi="Arial" w:cs="Arial"/>
          <w:color w:val="000000" w:themeColor="text1"/>
        </w:rPr>
        <w:t xml:space="preserve"> new dwellings per annum (1</w:t>
      </w:r>
      <w:r w:rsidR="00BF7047">
        <w:rPr>
          <w:rFonts w:ascii="Arial" w:hAnsi="Arial" w:cs="Arial"/>
          <w:color w:val="000000" w:themeColor="text1"/>
        </w:rPr>
        <w:t>52</w:t>
      </w:r>
      <w:r w:rsidR="00BF7047" w:rsidRPr="003D5C0C">
        <w:rPr>
          <w:rFonts w:ascii="Arial" w:hAnsi="Arial" w:cs="Arial"/>
          <w:color w:val="000000" w:themeColor="text1"/>
        </w:rPr>
        <w:t xml:space="preserve">/326).  </w:t>
      </w:r>
      <w:r>
        <w:rPr>
          <w:rFonts w:ascii="Arial" w:hAnsi="Arial" w:cs="Arial"/>
          <w:color w:val="000000" w:themeColor="text1"/>
        </w:rPr>
        <w:t>However, t</w:t>
      </w:r>
      <w:r w:rsidR="00BF7047" w:rsidRPr="003D5C0C">
        <w:rPr>
          <w:rFonts w:ascii="Arial" w:hAnsi="Arial" w:cs="Arial"/>
          <w:color w:val="000000" w:themeColor="text1"/>
        </w:rPr>
        <w:t xml:space="preserve">he scale of the proportionate increase required relative to the existing housing stock is significant at </w:t>
      </w:r>
      <w:r w:rsidR="00BF7047">
        <w:rPr>
          <w:rFonts w:ascii="Arial" w:hAnsi="Arial" w:cs="Arial"/>
          <w:color w:val="000000" w:themeColor="text1"/>
        </w:rPr>
        <w:t>18</w:t>
      </w:r>
      <w:r w:rsidR="00BF7047" w:rsidRPr="003D5C0C">
        <w:rPr>
          <w:rFonts w:ascii="Arial" w:hAnsi="Arial" w:cs="Arial"/>
          <w:color w:val="000000" w:themeColor="text1"/>
        </w:rPr>
        <w:t xml:space="preserve"> new dwellings per 1000 (3</w:t>
      </w:r>
      <w:r w:rsidR="00BF7047">
        <w:rPr>
          <w:rFonts w:ascii="Arial" w:hAnsi="Arial" w:cs="Arial"/>
          <w:color w:val="000000" w:themeColor="text1"/>
        </w:rPr>
        <w:t>10</w:t>
      </w:r>
      <w:r w:rsidR="00BF7047" w:rsidRPr="003D5C0C">
        <w:rPr>
          <w:rFonts w:ascii="Arial" w:hAnsi="Arial" w:cs="Arial"/>
          <w:color w:val="000000" w:themeColor="text1"/>
        </w:rPr>
        <w:t xml:space="preserve">/326) - only </w:t>
      </w:r>
      <w:r w:rsidR="00BF7047">
        <w:rPr>
          <w:rFonts w:ascii="Arial" w:hAnsi="Arial" w:cs="Arial"/>
          <w:color w:val="000000" w:themeColor="text1"/>
        </w:rPr>
        <w:t>5</w:t>
      </w:r>
      <w:r w:rsidR="00BF7047" w:rsidRPr="003D5C0C">
        <w:rPr>
          <w:rFonts w:ascii="Arial" w:hAnsi="Arial" w:cs="Arial"/>
          <w:color w:val="000000" w:themeColor="text1"/>
        </w:rPr>
        <w:t xml:space="preserve">% of English authorities’ housing </w:t>
      </w:r>
      <w:r w:rsidR="00BF7047" w:rsidRPr="003D5C0C">
        <w:rPr>
          <w:rFonts w:ascii="Arial" w:eastAsiaTheme="minorHAnsi" w:hAnsi="Arial" w:cs="Arial"/>
          <w:color w:val="000000" w:themeColor="text1"/>
          <w:lang w:eastAsia="en-US"/>
        </w:rPr>
        <w:t xml:space="preserve">requirement </w:t>
      </w:r>
      <w:r w:rsidR="00BF7047" w:rsidRPr="003D5C0C">
        <w:rPr>
          <w:rFonts w:ascii="Arial" w:hAnsi="Arial" w:cs="Arial"/>
          <w:color w:val="000000" w:themeColor="text1"/>
        </w:rPr>
        <w:t>is greater relative to the existing housing stock</w:t>
      </w:r>
      <w:bookmarkStart w:id="3" w:name="_Hlk42239428"/>
      <w:r w:rsidR="00BF7047" w:rsidRPr="003D5C0C">
        <w:rPr>
          <w:rFonts w:ascii="Arial" w:hAnsi="Arial" w:cs="Arial"/>
          <w:color w:val="000000" w:themeColor="text1"/>
        </w:rPr>
        <w:t xml:space="preserve">.  </w:t>
      </w:r>
      <w:r>
        <w:rPr>
          <w:rFonts w:ascii="Arial" w:hAnsi="Arial" w:cs="Arial"/>
          <w:color w:val="000000" w:themeColor="text1"/>
        </w:rPr>
        <w:t>Yet</w:t>
      </w:r>
      <w:r w:rsidR="00BF7047" w:rsidRPr="003D5C0C">
        <w:rPr>
          <w:rFonts w:ascii="Arial" w:hAnsi="Arial" w:cs="Arial"/>
          <w:color w:val="000000" w:themeColor="text1"/>
        </w:rPr>
        <w:t xml:space="preserve"> Epsom has a forecast household formation as at the year 2031 of just 37</w:t>
      </w:r>
      <w:r w:rsidR="00BF7047">
        <w:rPr>
          <w:rFonts w:ascii="Arial" w:hAnsi="Arial" w:cs="Arial"/>
          <w:color w:val="000000" w:themeColor="text1"/>
        </w:rPr>
        <w:t>,</w:t>
      </w:r>
      <w:r w:rsidR="00BF7047" w:rsidRPr="003D5C0C">
        <w:rPr>
          <w:rFonts w:ascii="Arial" w:hAnsi="Arial" w:cs="Arial"/>
          <w:color w:val="000000" w:themeColor="text1"/>
        </w:rPr>
        <w:t>96</w:t>
      </w:r>
      <w:r w:rsidR="00BF7047">
        <w:rPr>
          <w:rFonts w:ascii="Arial" w:hAnsi="Arial" w:cs="Arial"/>
          <w:color w:val="000000" w:themeColor="text1"/>
        </w:rPr>
        <w:t xml:space="preserve">7 </w:t>
      </w:r>
      <w:r w:rsidR="00BF7047" w:rsidRPr="003D5C0C">
        <w:rPr>
          <w:rFonts w:ascii="Arial" w:hAnsi="Arial" w:cs="Arial"/>
          <w:color w:val="000000" w:themeColor="text1"/>
        </w:rPr>
        <w:t>(3</w:t>
      </w:r>
      <w:r w:rsidR="00BF7047">
        <w:rPr>
          <w:rFonts w:ascii="Arial" w:hAnsi="Arial" w:cs="Arial"/>
          <w:color w:val="000000" w:themeColor="text1"/>
        </w:rPr>
        <w:t>7</w:t>
      </w:r>
      <w:r w:rsidR="00BF7047" w:rsidRPr="003D5C0C">
        <w:rPr>
          <w:rFonts w:ascii="Arial" w:hAnsi="Arial" w:cs="Arial"/>
          <w:color w:val="000000" w:themeColor="text1"/>
        </w:rPr>
        <w:t xml:space="preserve">/326) - only 11% of authorities have a lower forecast rate of household formation.  </w:t>
      </w:r>
    </w:p>
    <w:bookmarkEnd w:id="3"/>
    <w:p w14:paraId="20664EE8" w14:textId="77777777" w:rsidR="00BF7047" w:rsidRPr="003D5C0C" w:rsidRDefault="00BF7047" w:rsidP="00BF7047">
      <w:pPr>
        <w:spacing w:line="480" w:lineRule="auto"/>
        <w:jc w:val="both"/>
        <w:rPr>
          <w:rFonts w:ascii="Arial" w:hAnsi="Arial" w:cs="Arial"/>
          <w:color w:val="000000" w:themeColor="text1"/>
        </w:rPr>
      </w:pPr>
    </w:p>
    <w:p w14:paraId="4ED99C32" w14:textId="340C1BFA" w:rsidR="000560C3" w:rsidRPr="003D5C0C" w:rsidRDefault="000560C3" w:rsidP="006633FA">
      <w:pPr>
        <w:spacing w:line="480" w:lineRule="auto"/>
        <w:jc w:val="both"/>
        <w:rPr>
          <w:rFonts w:ascii="Arial" w:hAnsi="Arial" w:cs="Arial"/>
          <w:color w:val="000000" w:themeColor="text1"/>
        </w:rPr>
      </w:pPr>
      <w:r w:rsidRPr="003D5C0C">
        <w:rPr>
          <w:rFonts w:ascii="Arial" w:hAnsi="Arial" w:cs="Arial"/>
          <w:b/>
          <w:bCs/>
          <w:color w:val="000000" w:themeColor="text1"/>
        </w:rPr>
        <w:t xml:space="preserve">Unpacking the statistics of the </w:t>
      </w:r>
      <w:r w:rsidR="00770BFD" w:rsidRPr="003D5C0C">
        <w:rPr>
          <w:rFonts w:ascii="Arial" w:hAnsi="Arial" w:cs="Arial"/>
          <w:b/>
          <w:bCs/>
          <w:color w:val="000000" w:themeColor="text1"/>
        </w:rPr>
        <w:t>S</w:t>
      </w:r>
      <w:r w:rsidRPr="003D5C0C">
        <w:rPr>
          <w:rFonts w:ascii="Arial" w:hAnsi="Arial" w:cs="Arial"/>
          <w:b/>
          <w:bCs/>
          <w:color w:val="000000" w:themeColor="text1"/>
        </w:rPr>
        <w:t xml:space="preserve">tandard </w:t>
      </w:r>
      <w:r w:rsidR="00770BFD" w:rsidRPr="003D5C0C">
        <w:rPr>
          <w:rFonts w:ascii="Arial" w:hAnsi="Arial" w:cs="Arial"/>
          <w:b/>
          <w:bCs/>
          <w:color w:val="000000" w:themeColor="text1"/>
        </w:rPr>
        <w:t>M</w:t>
      </w:r>
      <w:r w:rsidRPr="003D5C0C">
        <w:rPr>
          <w:rFonts w:ascii="Arial" w:hAnsi="Arial" w:cs="Arial"/>
          <w:b/>
          <w:bCs/>
          <w:color w:val="000000" w:themeColor="text1"/>
        </w:rPr>
        <w:t>ethod</w:t>
      </w:r>
      <w:r w:rsidR="00422DB5" w:rsidRPr="003D5C0C">
        <w:rPr>
          <w:rFonts w:ascii="Arial" w:hAnsi="Arial" w:cs="Arial"/>
          <w:b/>
          <w:bCs/>
          <w:color w:val="000000" w:themeColor="text1"/>
        </w:rPr>
        <w:t xml:space="preserve">: a log-log model </w:t>
      </w:r>
      <w:r w:rsidR="00F62BC1" w:rsidRPr="003D5C0C">
        <w:rPr>
          <w:rFonts w:ascii="Arial" w:hAnsi="Arial" w:cs="Arial"/>
          <w:b/>
          <w:bCs/>
          <w:color w:val="000000" w:themeColor="text1"/>
        </w:rPr>
        <w:t>of</w:t>
      </w:r>
      <w:r w:rsidR="00422DB5" w:rsidRPr="003D5C0C">
        <w:rPr>
          <w:rFonts w:ascii="Arial" w:hAnsi="Arial" w:cs="Arial"/>
          <w:b/>
          <w:bCs/>
          <w:color w:val="000000" w:themeColor="text1"/>
        </w:rPr>
        <w:t xml:space="preserve"> housing </w:t>
      </w:r>
      <w:r w:rsidR="006E335E" w:rsidRPr="003D5C0C">
        <w:rPr>
          <w:rFonts w:ascii="Arial" w:eastAsiaTheme="minorHAnsi" w:hAnsi="Arial" w:cs="Arial"/>
          <w:b/>
          <w:bCs/>
          <w:color w:val="000000" w:themeColor="text1"/>
          <w:lang w:eastAsia="en-US"/>
        </w:rPr>
        <w:t>requirement</w:t>
      </w:r>
      <w:r w:rsidR="006E335E" w:rsidRPr="003D5C0C">
        <w:rPr>
          <w:rFonts w:ascii="Arial" w:eastAsiaTheme="minorHAnsi" w:hAnsi="Arial" w:cs="Arial"/>
          <w:color w:val="000000" w:themeColor="text1"/>
          <w:lang w:eastAsia="en-US"/>
        </w:rPr>
        <w:t xml:space="preserve"> </w:t>
      </w:r>
      <w:r w:rsidR="00422DB5" w:rsidRPr="003D5C0C">
        <w:rPr>
          <w:rFonts w:ascii="Arial" w:hAnsi="Arial" w:cs="Arial"/>
          <w:b/>
          <w:bCs/>
          <w:color w:val="000000" w:themeColor="text1"/>
        </w:rPr>
        <w:t>elasticity</w:t>
      </w:r>
    </w:p>
    <w:p w14:paraId="36E40336" w14:textId="7E23B1DC" w:rsidR="0040791F" w:rsidRPr="003D5C0C" w:rsidRDefault="00B36931" w:rsidP="006633FA">
      <w:pPr>
        <w:spacing w:line="480" w:lineRule="auto"/>
        <w:jc w:val="both"/>
        <w:rPr>
          <w:rFonts w:ascii="Arial" w:hAnsi="Arial" w:cs="Arial"/>
          <w:bCs/>
          <w:color w:val="000000" w:themeColor="text1"/>
        </w:rPr>
      </w:pPr>
      <w:r w:rsidRPr="003D5C0C">
        <w:rPr>
          <w:rFonts w:ascii="Arial" w:hAnsi="Arial" w:cs="Arial"/>
          <w:color w:val="000000" w:themeColor="text1"/>
        </w:rPr>
        <w:lastRenderedPageBreak/>
        <w:t xml:space="preserve">The analysis presented above reveals </w:t>
      </w:r>
      <w:r w:rsidR="00F62BC1" w:rsidRPr="003D5C0C">
        <w:rPr>
          <w:rFonts w:ascii="Arial" w:hAnsi="Arial" w:cs="Arial"/>
          <w:color w:val="000000" w:themeColor="text1"/>
        </w:rPr>
        <w:t>a</w:t>
      </w:r>
      <w:r w:rsidRPr="003D5C0C">
        <w:rPr>
          <w:rFonts w:ascii="Arial" w:hAnsi="Arial" w:cs="Arial"/>
          <w:color w:val="000000" w:themeColor="text1"/>
        </w:rPr>
        <w:t xml:space="preserve"> scale of ambiguity resulting from the Standard Method that is perhaps mo</w:t>
      </w:r>
      <w:r w:rsidR="00895DF8" w:rsidRPr="003D5C0C">
        <w:rPr>
          <w:rFonts w:ascii="Arial" w:hAnsi="Arial" w:cs="Arial"/>
          <w:color w:val="000000" w:themeColor="text1"/>
        </w:rPr>
        <w:t>re</w:t>
      </w:r>
      <w:r w:rsidRPr="003D5C0C">
        <w:rPr>
          <w:rFonts w:ascii="Arial" w:hAnsi="Arial" w:cs="Arial"/>
          <w:color w:val="000000" w:themeColor="text1"/>
        </w:rPr>
        <w:t xml:space="preserve"> likely to result in legal contestation of local authorities’ 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rPr>
        <w:t>assessments</w:t>
      </w:r>
      <w:r w:rsidR="00895DF8" w:rsidRPr="003D5C0C">
        <w:rPr>
          <w:rFonts w:ascii="Arial" w:hAnsi="Arial" w:cs="Arial"/>
          <w:color w:val="000000" w:themeColor="text1"/>
        </w:rPr>
        <w:t xml:space="preserve"> than new development</w:t>
      </w:r>
      <w:r w:rsidRPr="003D5C0C">
        <w:rPr>
          <w:rFonts w:ascii="Arial" w:hAnsi="Arial" w:cs="Arial"/>
          <w:color w:val="000000" w:themeColor="text1"/>
        </w:rPr>
        <w:t xml:space="preserve">.  </w:t>
      </w:r>
      <w:r w:rsidR="0040791F" w:rsidRPr="003D5C0C">
        <w:rPr>
          <w:rFonts w:ascii="Arial" w:hAnsi="Arial" w:cs="Arial"/>
          <w:bCs/>
          <w:color w:val="000000" w:themeColor="text1"/>
        </w:rPr>
        <w:t xml:space="preserve">Even the Ministry </w:t>
      </w:r>
      <w:r w:rsidR="00A66E57" w:rsidRPr="003D5C0C">
        <w:rPr>
          <w:rFonts w:ascii="Arial" w:hAnsi="Arial" w:cs="Arial"/>
          <w:bCs/>
          <w:color w:val="000000" w:themeColor="text1"/>
        </w:rPr>
        <w:t xml:space="preserve">of </w:t>
      </w:r>
      <w:r w:rsidR="0040791F" w:rsidRPr="003D5C0C">
        <w:rPr>
          <w:rFonts w:ascii="Arial" w:hAnsi="Arial" w:cs="Arial"/>
          <w:bCs/>
          <w:color w:val="000000" w:themeColor="text1"/>
        </w:rPr>
        <w:t>Housing</w:t>
      </w:r>
      <w:r w:rsidR="00A66E57" w:rsidRPr="003D5C0C">
        <w:rPr>
          <w:rFonts w:ascii="Arial" w:hAnsi="Arial" w:cs="Arial"/>
          <w:bCs/>
          <w:color w:val="000000" w:themeColor="text1"/>
        </w:rPr>
        <w:t>,</w:t>
      </w:r>
      <w:r w:rsidR="0040791F" w:rsidRPr="003D5C0C">
        <w:rPr>
          <w:rFonts w:ascii="Arial" w:hAnsi="Arial" w:cs="Arial"/>
          <w:bCs/>
          <w:color w:val="000000" w:themeColor="text1"/>
        </w:rPr>
        <w:t xml:space="preserve"> Communities and Local Government has come to acknowledge </w:t>
      </w:r>
      <w:r w:rsidRPr="003D5C0C">
        <w:rPr>
          <w:rFonts w:ascii="Arial" w:hAnsi="Arial" w:cs="Arial"/>
          <w:bCs/>
          <w:color w:val="000000" w:themeColor="text1"/>
        </w:rPr>
        <w:t>th</w:t>
      </w:r>
      <w:r w:rsidR="00961A82" w:rsidRPr="003D5C0C">
        <w:rPr>
          <w:rFonts w:ascii="Arial" w:hAnsi="Arial" w:cs="Arial"/>
          <w:bCs/>
          <w:color w:val="000000" w:themeColor="text1"/>
        </w:rPr>
        <w:t>e</w:t>
      </w:r>
      <w:r w:rsidRPr="003D5C0C">
        <w:rPr>
          <w:rFonts w:ascii="Arial" w:hAnsi="Arial" w:cs="Arial"/>
          <w:bCs/>
          <w:color w:val="000000" w:themeColor="text1"/>
        </w:rPr>
        <w:t xml:space="preserve"> S</w:t>
      </w:r>
      <w:r w:rsidR="0040791F" w:rsidRPr="003D5C0C">
        <w:rPr>
          <w:rFonts w:ascii="Arial" w:hAnsi="Arial" w:cs="Arial"/>
          <w:bCs/>
          <w:color w:val="000000" w:themeColor="text1"/>
        </w:rPr>
        <w:t xml:space="preserve">tandard </w:t>
      </w:r>
      <w:r w:rsidR="00961A82" w:rsidRPr="003D5C0C">
        <w:rPr>
          <w:rFonts w:ascii="Arial" w:hAnsi="Arial" w:cs="Arial"/>
          <w:bCs/>
          <w:color w:val="000000" w:themeColor="text1"/>
        </w:rPr>
        <w:t>M</w:t>
      </w:r>
      <w:r w:rsidR="0040791F" w:rsidRPr="003D5C0C">
        <w:rPr>
          <w:rFonts w:ascii="Arial" w:hAnsi="Arial" w:cs="Arial"/>
          <w:bCs/>
          <w:color w:val="000000" w:themeColor="text1"/>
        </w:rPr>
        <w:t>ethodolog</w:t>
      </w:r>
      <w:r w:rsidR="00961A82" w:rsidRPr="003D5C0C">
        <w:rPr>
          <w:rFonts w:ascii="Arial" w:hAnsi="Arial" w:cs="Arial"/>
          <w:bCs/>
          <w:color w:val="000000" w:themeColor="text1"/>
        </w:rPr>
        <w:t xml:space="preserve">y’s </w:t>
      </w:r>
      <w:r w:rsidR="0040791F" w:rsidRPr="003D5C0C">
        <w:rPr>
          <w:rFonts w:ascii="Arial" w:hAnsi="Arial" w:cs="Arial"/>
          <w:bCs/>
          <w:color w:val="000000" w:themeColor="text1"/>
        </w:rPr>
        <w:t>deficiencies and has signalled a review of the approach:</w:t>
      </w:r>
    </w:p>
    <w:p w14:paraId="645BFD5D" w14:textId="77777777" w:rsidR="0040791F" w:rsidRPr="003D5C0C" w:rsidRDefault="0040791F" w:rsidP="006633FA">
      <w:pPr>
        <w:autoSpaceDE w:val="0"/>
        <w:autoSpaceDN w:val="0"/>
        <w:adjustRightInd w:val="0"/>
        <w:spacing w:after="46" w:line="480" w:lineRule="auto"/>
        <w:ind w:left="851" w:right="851"/>
        <w:jc w:val="both"/>
        <w:rPr>
          <w:rFonts w:ascii="Arial" w:hAnsi="Arial" w:cs="Arial"/>
          <w:bCs/>
          <w:color w:val="000000" w:themeColor="text1"/>
        </w:rPr>
      </w:pPr>
    </w:p>
    <w:p w14:paraId="3813D551" w14:textId="77777777" w:rsidR="0040791F" w:rsidRPr="003D5C0C" w:rsidRDefault="0040791F" w:rsidP="006633FA">
      <w:pPr>
        <w:autoSpaceDE w:val="0"/>
        <w:autoSpaceDN w:val="0"/>
        <w:adjustRightInd w:val="0"/>
        <w:spacing w:after="46" w:line="480" w:lineRule="auto"/>
        <w:ind w:left="851" w:right="851"/>
        <w:jc w:val="both"/>
        <w:rPr>
          <w:rFonts w:ascii="Arial" w:hAnsi="Arial" w:cs="Arial"/>
          <w:color w:val="000000" w:themeColor="text1"/>
        </w:rPr>
      </w:pPr>
      <w:r w:rsidRPr="003D5C0C">
        <w:rPr>
          <w:rFonts w:ascii="Arial" w:hAnsi="Arial" w:cs="Arial"/>
          <w:bCs/>
          <w:color w:val="000000" w:themeColor="text1"/>
        </w:rPr>
        <w:t xml:space="preserve">“Reviewing the formula for calculating Local Housing Need </w:t>
      </w:r>
      <w:r w:rsidRPr="003D5C0C">
        <w:rPr>
          <w:rFonts w:ascii="Arial" w:hAnsi="Arial" w:cs="Arial"/>
          <w:color w:val="000000" w:themeColor="text1"/>
        </w:rPr>
        <w:t xml:space="preserve">– we will introduce a new approach which encourages greater building within and near to urban areas and makes sure the country is planning for the delivery of 300,000 new homes a year” (MHCLG, 2020: 5). </w:t>
      </w:r>
    </w:p>
    <w:p w14:paraId="6BEB59EB" w14:textId="77777777" w:rsidR="0040791F" w:rsidRPr="003D5C0C" w:rsidRDefault="0040791F" w:rsidP="006633FA">
      <w:pPr>
        <w:spacing w:line="480" w:lineRule="auto"/>
        <w:jc w:val="both"/>
        <w:rPr>
          <w:rFonts w:ascii="Arial" w:hAnsi="Arial" w:cs="Arial"/>
          <w:bCs/>
          <w:color w:val="000000" w:themeColor="text1"/>
        </w:rPr>
      </w:pPr>
    </w:p>
    <w:p w14:paraId="3EE56FE0" w14:textId="1F77E232" w:rsidR="0040791F" w:rsidRPr="003D5C0C" w:rsidRDefault="0040791F" w:rsidP="006633FA">
      <w:pPr>
        <w:spacing w:line="480" w:lineRule="auto"/>
        <w:jc w:val="both"/>
        <w:rPr>
          <w:rFonts w:ascii="Arial" w:hAnsi="Arial" w:cs="Arial"/>
          <w:bCs/>
          <w:color w:val="000000" w:themeColor="text1"/>
        </w:rPr>
      </w:pPr>
      <w:r w:rsidRPr="003D5C0C">
        <w:rPr>
          <w:rFonts w:ascii="Arial" w:hAnsi="Arial" w:cs="Arial"/>
          <w:bCs/>
          <w:color w:val="000000" w:themeColor="text1"/>
        </w:rPr>
        <w:t xml:space="preserve">If the goal is, as the statement above suggests, to favour urban brownfield (previously developed) land for new development the </w:t>
      </w:r>
      <w:r w:rsidR="00961A82" w:rsidRPr="003D5C0C">
        <w:rPr>
          <w:rFonts w:ascii="Arial" w:hAnsi="Arial" w:cs="Arial"/>
          <w:bCs/>
          <w:color w:val="000000" w:themeColor="text1"/>
        </w:rPr>
        <w:t>S</w:t>
      </w:r>
      <w:r w:rsidRPr="003D5C0C">
        <w:rPr>
          <w:rFonts w:ascii="Arial" w:hAnsi="Arial" w:cs="Arial"/>
          <w:bCs/>
          <w:color w:val="000000" w:themeColor="text1"/>
        </w:rPr>
        <w:t xml:space="preserve">tandard </w:t>
      </w:r>
      <w:r w:rsidR="00961A82" w:rsidRPr="003D5C0C">
        <w:rPr>
          <w:rFonts w:ascii="Arial" w:hAnsi="Arial" w:cs="Arial"/>
          <w:bCs/>
          <w:color w:val="000000" w:themeColor="text1"/>
        </w:rPr>
        <w:t>M</w:t>
      </w:r>
      <w:r w:rsidRPr="003D5C0C">
        <w:rPr>
          <w:rFonts w:ascii="Arial" w:hAnsi="Arial" w:cs="Arial"/>
          <w:bCs/>
          <w:color w:val="000000" w:themeColor="text1"/>
        </w:rPr>
        <w:t xml:space="preserve">ethod is not the appropriate method to achieve this.  Many of the towns and cities in the north </w:t>
      </w:r>
      <w:r w:rsidR="00961A82" w:rsidRPr="003D5C0C">
        <w:rPr>
          <w:rFonts w:ascii="Arial" w:hAnsi="Arial" w:cs="Arial"/>
          <w:bCs/>
          <w:color w:val="000000" w:themeColor="text1"/>
        </w:rPr>
        <w:t xml:space="preserve">and midlands </w:t>
      </w:r>
      <w:r w:rsidRPr="003D5C0C">
        <w:rPr>
          <w:rFonts w:ascii="Arial" w:hAnsi="Arial" w:cs="Arial"/>
          <w:bCs/>
          <w:color w:val="000000" w:themeColor="text1"/>
        </w:rPr>
        <w:t xml:space="preserve">of England which have significant brownfield sites and would potentially welcome new development as part of a suite of measures to encourage urban regeneration have 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bCs/>
          <w:color w:val="000000" w:themeColor="text1"/>
        </w:rPr>
        <w:t>figures that are low (bottom decile) relative to the rest of England both in absolute terms and proportionate to the size of the existing housing stock</w:t>
      </w:r>
      <w:r w:rsidR="004A6693" w:rsidRPr="003D5C0C">
        <w:rPr>
          <w:rFonts w:ascii="Arial" w:hAnsi="Arial" w:cs="Arial"/>
          <w:bCs/>
          <w:color w:val="000000" w:themeColor="text1"/>
        </w:rPr>
        <w:t xml:space="preserve">.  Many of these towns are precisely those that have been caricatured as ‘left behind’ </w:t>
      </w:r>
      <w:r w:rsidR="00BC62BE">
        <w:rPr>
          <w:rFonts w:ascii="Arial" w:hAnsi="Arial" w:cs="Arial"/>
          <w:bCs/>
          <w:color w:val="000000" w:themeColor="text1"/>
        </w:rPr>
        <w:t>–</w:t>
      </w:r>
      <w:r w:rsidRPr="003D5C0C">
        <w:rPr>
          <w:rFonts w:ascii="Arial" w:hAnsi="Arial" w:cs="Arial"/>
          <w:bCs/>
          <w:color w:val="000000" w:themeColor="text1"/>
        </w:rPr>
        <w:t xml:space="preserve">Blackburn with Darwen, Blackpool, Darlington, Hartlepool, Redcar and Cleveland.  </w:t>
      </w:r>
    </w:p>
    <w:p w14:paraId="547A5E9D" w14:textId="758C855F" w:rsidR="00B36931" w:rsidRPr="003D5C0C" w:rsidRDefault="00B36931" w:rsidP="006633FA">
      <w:pPr>
        <w:spacing w:line="480" w:lineRule="auto"/>
        <w:jc w:val="both"/>
        <w:rPr>
          <w:rFonts w:ascii="Arial" w:hAnsi="Arial" w:cs="Arial"/>
          <w:bCs/>
          <w:color w:val="000000" w:themeColor="text1"/>
        </w:rPr>
      </w:pPr>
    </w:p>
    <w:p w14:paraId="4A5733E7" w14:textId="3D005423" w:rsidR="00B36931" w:rsidRPr="003D5C0C" w:rsidRDefault="00B36931" w:rsidP="006633FA">
      <w:pPr>
        <w:spacing w:line="480" w:lineRule="auto"/>
        <w:jc w:val="both"/>
        <w:rPr>
          <w:rFonts w:ascii="Arial" w:hAnsi="Arial" w:cs="Arial"/>
          <w:bCs/>
          <w:color w:val="000000" w:themeColor="text1"/>
        </w:rPr>
      </w:pPr>
      <w:r w:rsidRPr="003D5C0C">
        <w:rPr>
          <w:rFonts w:ascii="Arial" w:hAnsi="Arial" w:cs="Arial"/>
          <w:bCs/>
          <w:color w:val="000000" w:themeColor="text1"/>
        </w:rPr>
        <w:t>So why does the Standard Method produce such a</w:t>
      </w:r>
      <w:r w:rsidR="00EB33A7" w:rsidRPr="003D5C0C">
        <w:rPr>
          <w:rFonts w:ascii="Arial" w:hAnsi="Arial" w:cs="Arial"/>
          <w:bCs/>
          <w:color w:val="000000" w:themeColor="text1"/>
        </w:rPr>
        <w:t>n</w:t>
      </w:r>
      <w:r w:rsidRPr="003D5C0C">
        <w:rPr>
          <w:rFonts w:ascii="Arial" w:hAnsi="Arial" w:cs="Arial"/>
          <w:bCs/>
          <w:color w:val="000000" w:themeColor="text1"/>
        </w:rPr>
        <w:t xml:space="preserve"> anomalous </w:t>
      </w:r>
      <w:r w:rsidR="00895DF8" w:rsidRPr="003D5C0C">
        <w:rPr>
          <w:rFonts w:ascii="Arial" w:hAnsi="Arial" w:cs="Arial"/>
          <w:bCs/>
          <w:color w:val="000000" w:themeColor="text1"/>
        </w:rPr>
        <w:t xml:space="preserve">distribution of housing </w:t>
      </w:r>
      <w:r w:rsidR="006E335E" w:rsidRPr="003D5C0C">
        <w:rPr>
          <w:rFonts w:ascii="Arial" w:eastAsiaTheme="minorHAnsi" w:hAnsi="Arial" w:cs="Arial"/>
          <w:color w:val="000000" w:themeColor="text1"/>
          <w:lang w:eastAsia="en-US"/>
        </w:rPr>
        <w:t>requirement</w:t>
      </w:r>
      <w:r w:rsidR="00895DF8" w:rsidRPr="003D5C0C">
        <w:rPr>
          <w:rFonts w:ascii="Arial" w:hAnsi="Arial" w:cs="Arial"/>
          <w:bCs/>
          <w:color w:val="000000" w:themeColor="text1"/>
        </w:rPr>
        <w:t>?</w:t>
      </w:r>
    </w:p>
    <w:p w14:paraId="21D98584" w14:textId="30E3DEA3" w:rsidR="00895DF8" w:rsidRPr="003D5C0C" w:rsidRDefault="00895DF8" w:rsidP="006633FA">
      <w:pPr>
        <w:spacing w:line="480" w:lineRule="auto"/>
        <w:jc w:val="both"/>
        <w:rPr>
          <w:rFonts w:ascii="Arial" w:hAnsi="Arial" w:cs="Arial"/>
          <w:bCs/>
          <w:color w:val="000000" w:themeColor="text1"/>
        </w:rPr>
      </w:pPr>
    </w:p>
    <w:p w14:paraId="47CC2C4A" w14:textId="6CE183E8" w:rsidR="00312533" w:rsidRPr="003D5C0C" w:rsidRDefault="00312533" w:rsidP="006633FA">
      <w:pPr>
        <w:spacing w:line="480" w:lineRule="auto"/>
        <w:jc w:val="both"/>
        <w:rPr>
          <w:rFonts w:ascii="Arial" w:hAnsi="Arial" w:cs="Arial"/>
          <w:color w:val="000000" w:themeColor="text1"/>
        </w:rPr>
      </w:pPr>
      <w:r w:rsidRPr="003D5C0C">
        <w:rPr>
          <w:rFonts w:ascii="Arial" w:hAnsi="Arial" w:cs="Arial"/>
          <w:color w:val="000000" w:themeColor="text1"/>
        </w:rPr>
        <w:lastRenderedPageBreak/>
        <w:t xml:space="preserve">In order to understand </w:t>
      </w:r>
      <w:r w:rsidR="00770BFD" w:rsidRPr="003D5C0C">
        <w:rPr>
          <w:rFonts w:ascii="Arial" w:hAnsi="Arial" w:cs="Arial"/>
          <w:color w:val="000000" w:themeColor="text1"/>
        </w:rPr>
        <w:t>the mechanics of the S</w:t>
      </w:r>
      <w:r w:rsidR="008C4E47" w:rsidRPr="003D5C0C">
        <w:rPr>
          <w:rFonts w:ascii="Arial" w:hAnsi="Arial" w:cs="Arial"/>
          <w:color w:val="000000" w:themeColor="text1"/>
        </w:rPr>
        <w:t xml:space="preserve">tandard </w:t>
      </w:r>
      <w:r w:rsidR="00770BFD" w:rsidRPr="003D5C0C">
        <w:rPr>
          <w:rFonts w:ascii="Arial" w:hAnsi="Arial" w:cs="Arial"/>
          <w:color w:val="000000" w:themeColor="text1"/>
        </w:rPr>
        <w:t>Method</w:t>
      </w:r>
      <w:r w:rsidR="008C4E47" w:rsidRPr="003D5C0C">
        <w:rPr>
          <w:rFonts w:ascii="Arial" w:hAnsi="Arial" w:cs="Arial"/>
          <w:color w:val="000000" w:themeColor="text1"/>
        </w:rPr>
        <w:t xml:space="preserve"> </w:t>
      </w:r>
      <w:r w:rsidRPr="003D5C0C">
        <w:rPr>
          <w:rFonts w:ascii="Arial" w:hAnsi="Arial" w:cs="Arial"/>
          <w:color w:val="000000" w:themeColor="text1"/>
        </w:rPr>
        <w:t xml:space="preserve">we </w:t>
      </w:r>
      <w:r w:rsidR="00FD11C4" w:rsidRPr="003D5C0C">
        <w:rPr>
          <w:rFonts w:ascii="Arial" w:hAnsi="Arial" w:cs="Arial"/>
          <w:color w:val="000000" w:themeColor="text1"/>
        </w:rPr>
        <w:t xml:space="preserve">present an </w:t>
      </w:r>
      <w:r w:rsidRPr="003D5C0C">
        <w:rPr>
          <w:rFonts w:ascii="Arial" w:hAnsi="Arial" w:cs="Arial"/>
          <w:color w:val="000000" w:themeColor="text1"/>
        </w:rPr>
        <w:t>analys</w:t>
      </w:r>
      <w:r w:rsidR="00FD11C4" w:rsidRPr="003D5C0C">
        <w:rPr>
          <w:rFonts w:ascii="Arial" w:hAnsi="Arial" w:cs="Arial"/>
          <w:color w:val="000000" w:themeColor="text1"/>
        </w:rPr>
        <w:t>is</w:t>
      </w:r>
      <w:r w:rsidRPr="003D5C0C">
        <w:rPr>
          <w:rFonts w:ascii="Arial" w:hAnsi="Arial" w:cs="Arial"/>
          <w:color w:val="000000" w:themeColor="text1"/>
        </w:rPr>
        <w:t xml:space="preserve"> </w:t>
      </w:r>
      <w:r w:rsidR="00FD11C4" w:rsidRPr="003D5C0C">
        <w:rPr>
          <w:rFonts w:ascii="Arial" w:hAnsi="Arial" w:cs="Arial"/>
          <w:color w:val="000000" w:themeColor="text1"/>
        </w:rPr>
        <w:t xml:space="preserve">of </w:t>
      </w:r>
      <w:r w:rsidRPr="003D5C0C">
        <w:rPr>
          <w:rFonts w:ascii="Arial" w:hAnsi="Arial" w:cs="Arial"/>
          <w:color w:val="000000" w:themeColor="text1"/>
        </w:rPr>
        <w:t>the contribution</w:t>
      </w:r>
      <w:r w:rsidR="008C4E47" w:rsidRPr="003D5C0C">
        <w:rPr>
          <w:rFonts w:ascii="Arial" w:hAnsi="Arial" w:cs="Arial"/>
          <w:color w:val="000000" w:themeColor="text1"/>
        </w:rPr>
        <w:t>s</w:t>
      </w:r>
      <w:r w:rsidRPr="003D5C0C">
        <w:rPr>
          <w:rFonts w:ascii="Arial" w:hAnsi="Arial" w:cs="Arial"/>
          <w:color w:val="000000" w:themeColor="text1"/>
        </w:rPr>
        <w:t xml:space="preserve"> </w:t>
      </w:r>
      <w:r w:rsidR="00FD11C4" w:rsidRPr="003D5C0C">
        <w:rPr>
          <w:rFonts w:ascii="Arial" w:hAnsi="Arial" w:cs="Arial"/>
          <w:color w:val="000000" w:themeColor="text1"/>
        </w:rPr>
        <w:t xml:space="preserve">made by the </w:t>
      </w:r>
      <w:r w:rsidRPr="003D5C0C">
        <w:rPr>
          <w:rFonts w:ascii="Arial" w:hAnsi="Arial" w:cs="Arial"/>
          <w:color w:val="000000" w:themeColor="text1"/>
        </w:rPr>
        <w:t xml:space="preserve">input variables to the variations </w:t>
      </w:r>
      <w:r w:rsidR="008C4E47" w:rsidRPr="003D5C0C">
        <w:rPr>
          <w:rFonts w:ascii="Arial" w:hAnsi="Arial" w:cs="Arial"/>
          <w:color w:val="000000" w:themeColor="text1"/>
        </w:rPr>
        <w:t xml:space="preserve">in </w:t>
      </w:r>
      <w:r w:rsidR="004A6693" w:rsidRPr="003D5C0C">
        <w:rPr>
          <w:rFonts w:ascii="Arial" w:hAnsi="Arial" w:cs="Arial"/>
          <w:color w:val="000000" w:themeColor="text1"/>
        </w:rPr>
        <w:t xml:space="preserve">the Standard Method’s assessment of </w:t>
      </w:r>
      <w:r w:rsidR="008C4E47" w:rsidRPr="003D5C0C">
        <w:rPr>
          <w:rFonts w:ascii="Arial" w:hAnsi="Arial" w:cs="Arial"/>
          <w:color w:val="000000" w:themeColor="text1"/>
        </w:rPr>
        <w:t xml:space="preserve">housing </w:t>
      </w:r>
      <w:r w:rsidR="006E335E" w:rsidRPr="003D5C0C">
        <w:rPr>
          <w:rFonts w:ascii="Arial" w:eastAsiaTheme="minorHAnsi" w:hAnsi="Arial" w:cs="Arial"/>
          <w:color w:val="000000" w:themeColor="text1"/>
          <w:lang w:eastAsia="en-US"/>
        </w:rPr>
        <w:t xml:space="preserve">requirement </w:t>
      </w:r>
      <w:r w:rsidR="00EB33A7" w:rsidRPr="003D5C0C">
        <w:rPr>
          <w:rFonts w:ascii="Arial" w:hAnsi="Arial" w:cs="Arial"/>
          <w:color w:val="000000" w:themeColor="text1"/>
        </w:rPr>
        <w:t>experienced across local government in England</w:t>
      </w:r>
      <w:r w:rsidR="008C4E47" w:rsidRPr="003D5C0C">
        <w:rPr>
          <w:rFonts w:ascii="Arial" w:hAnsi="Arial" w:cs="Arial"/>
          <w:color w:val="000000" w:themeColor="text1"/>
        </w:rPr>
        <w:t xml:space="preserve">. </w:t>
      </w:r>
      <w:r w:rsidR="003A0A7C" w:rsidRPr="003D5C0C">
        <w:rPr>
          <w:rFonts w:ascii="Arial" w:hAnsi="Arial" w:cs="Arial"/>
          <w:color w:val="000000" w:themeColor="text1"/>
        </w:rPr>
        <w:t xml:space="preserve"> </w:t>
      </w:r>
      <w:r w:rsidRPr="003D5C0C">
        <w:rPr>
          <w:rFonts w:ascii="Arial" w:hAnsi="Arial" w:cs="Arial"/>
          <w:color w:val="000000" w:themeColor="text1"/>
        </w:rPr>
        <w:t>T</w:t>
      </w:r>
      <w:r w:rsidR="00FD11C4" w:rsidRPr="003D5C0C">
        <w:rPr>
          <w:rFonts w:ascii="Arial" w:hAnsi="Arial" w:cs="Arial"/>
          <w:color w:val="000000" w:themeColor="text1"/>
        </w:rPr>
        <w:t xml:space="preserve">o achieve this goal </w:t>
      </w:r>
      <w:r w:rsidR="00422DB5" w:rsidRPr="003D5C0C">
        <w:rPr>
          <w:rFonts w:ascii="Arial" w:hAnsi="Arial" w:cs="Arial"/>
          <w:color w:val="000000" w:themeColor="text1"/>
        </w:rPr>
        <w:t xml:space="preserve">we use a </w:t>
      </w:r>
      <w:r w:rsidRPr="003D5C0C">
        <w:rPr>
          <w:rFonts w:ascii="Arial" w:hAnsi="Arial" w:cs="Arial"/>
          <w:color w:val="000000" w:themeColor="text1"/>
        </w:rPr>
        <w:t>log-log model</w:t>
      </w:r>
      <w:r w:rsidR="004A6693" w:rsidRPr="003D5C0C">
        <w:rPr>
          <w:rFonts w:ascii="Arial" w:hAnsi="Arial" w:cs="Arial"/>
          <w:color w:val="000000" w:themeColor="text1"/>
        </w:rPr>
        <w:t xml:space="preserve"> comprising two levels of analysis.  Firstly, we analyse the relative impact of the two components that constitute the Standard Method, the projected growth in households in a local authority area and the affordability ratio.  Second, we use the same log-log method to unpack the individual variables that comprise these two components of the Standard Method.</w:t>
      </w:r>
    </w:p>
    <w:p w14:paraId="77A9415C" w14:textId="77777777" w:rsidR="00C339A9" w:rsidRPr="003D5C0C" w:rsidRDefault="00C339A9" w:rsidP="006633FA">
      <w:pPr>
        <w:spacing w:line="480" w:lineRule="auto"/>
        <w:jc w:val="both"/>
        <w:rPr>
          <w:rFonts w:ascii="Arial" w:hAnsi="Arial" w:cs="Arial"/>
          <w:color w:val="000000" w:themeColor="text1"/>
        </w:rPr>
      </w:pPr>
    </w:p>
    <w:p w14:paraId="594C4705" w14:textId="43230AD1" w:rsidR="00C339A9" w:rsidRPr="003D5C0C" w:rsidRDefault="00BB1EB7" w:rsidP="006633FA">
      <w:pPr>
        <w:pStyle w:val="ListParagraph"/>
        <w:numPr>
          <w:ilvl w:val="0"/>
          <w:numId w:val="8"/>
        </w:numPr>
        <w:spacing w:line="480" w:lineRule="auto"/>
        <w:jc w:val="both"/>
        <w:rPr>
          <w:rFonts w:ascii="Arial" w:hAnsi="Arial" w:cs="Arial"/>
          <w:bCs/>
          <w:color w:val="000000" w:themeColor="text1"/>
          <w:sz w:val="24"/>
          <w:szCs w:val="24"/>
        </w:rPr>
      </w:pPr>
      <w:r w:rsidRPr="003D5C0C">
        <w:rPr>
          <w:rFonts w:ascii="Arial" w:hAnsi="Arial" w:cs="Arial"/>
          <w:bCs/>
          <w:color w:val="000000" w:themeColor="text1"/>
          <w:sz w:val="24"/>
          <w:szCs w:val="24"/>
        </w:rPr>
        <w:t>First Level Analysis: t</w:t>
      </w:r>
      <w:r w:rsidR="004A6693" w:rsidRPr="003D5C0C">
        <w:rPr>
          <w:rFonts w:ascii="Arial" w:hAnsi="Arial" w:cs="Arial"/>
          <w:bCs/>
          <w:color w:val="000000" w:themeColor="text1"/>
          <w:sz w:val="24"/>
          <w:szCs w:val="24"/>
        </w:rPr>
        <w:t>he log-log approach</w:t>
      </w:r>
      <w:r w:rsidRPr="003D5C0C">
        <w:rPr>
          <w:rFonts w:ascii="Arial" w:hAnsi="Arial" w:cs="Arial"/>
          <w:bCs/>
          <w:color w:val="000000" w:themeColor="text1"/>
          <w:sz w:val="24"/>
          <w:szCs w:val="24"/>
        </w:rPr>
        <w:t xml:space="preserve"> with respect to </w:t>
      </w:r>
      <w:r w:rsidR="00C339A9" w:rsidRPr="003D5C0C">
        <w:rPr>
          <w:rFonts w:ascii="Arial" w:hAnsi="Arial" w:cs="Arial"/>
          <w:bCs/>
          <w:color w:val="000000" w:themeColor="text1"/>
          <w:sz w:val="24"/>
          <w:szCs w:val="24"/>
        </w:rPr>
        <w:t>household projection</w:t>
      </w:r>
      <w:r w:rsidRPr="003D5C0C">
        <w:rPr>
          <w:rFonts w:ascii="Arial" w:hAnsi="Arial" w:cs="Arial"/>
          <w:bCs/>
          <w:color w:val="000000" w:themeColor="text1"/>
          <w:sz w:val="24"/>
          <w:szCs w:val="24"/>
        </w:rPr>
        <w:t>s</w:t>
      </w:r>
      <w:r w:rsidR="00C339A9" w:rsidRPr="003D5C0C">
        <w:rPr>
          <w:rFonts w:ascii="Arial" w:hAnsi="Arial" w:cs="Arial"/>
          <w:bCs/>
          <w:color w:val="000000" w:themeColor="text1"/>
          <w:sz w:val="24"/>
          <w:szCs w:val="24"/>
        </w:rPr>
        <w:t xml:space="preserve"> and </w:t>
      </w:r>
      <w:r w:rsidRPr="003D5C0C">
        <w:rPr>
          <w:rFonts w:ascii="Arial" w:hAnsi="Arial" w:cs="Arial"/>
          <w:bCs/>
          <w:color w:val="000000" w:themeColor="text1"/>
          <w:sz w:val="24"/>
          <w:szCs w:val="24"/>
        </w:rPr>
        <w:t xml:space="preserve">the </w:t>
      </w:r>
      <w:r w:rsidR="00C339A9" w:rsidRPr="003D5C0C">
        <w:rPr>
          <w:rFonts w:ascii="Arial" w:hAnsi="Arial" w:cs="Arial"/>
          <w:bCs/>
          <w:color w:val="000000" w:themeColor="text1"/>
          <w:sz w:val="24"/>
          <w:szCs w:val="24"/>
        </w:rPr>
        <w:t xml:space="preserve">affordability ratio </w:t>
      </w:r>
    </w:p>
    <w:p w14:paraId="3E1DE434" w14:textId="472AFA51" w:rsidR="006B7BCD" w:rsidRPr="003D5C0C" w:rsidRDefault="00EB33A7"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The Standard Method’s estimation of future housing </w:t>
      </w:r>
      <w:r w:rsidR="006E335E" w:rsidRPr="003D5C0C">
        <w:rPr>
          <w:rFonts w:ascii="Arial" w:eastAsiaTheme="minorHAnsi" w:hAnsi="Arial" w:cs="Arial"/>
          <w:color w:val="000000" w:themeColor="text1"/>
          <w:lang w:eastAsia="en-US"/>
        </w:rPr>
        <w:t xml:space="preserve">requirement </w:t>
      </w:r>
      <w:r w:rsidR="006B7BCD" w:rsidRPr="003D5C0C">
        <w:rPr>
          <w:rFonts w:ascii="Arial" w:hAnsi="Arial" w:cs="Arial"/>
          <w:color w:val="000000" w:themeColor="text1"/>
        </w:rPr>
        <w:t xml:space="preserve">is </w:t>
      </w:r>
      <w:r w:rsidRPr="003D5C0C">
        <w:rPr>
          <w:rFonts w:ascii="Arial" w:hAnsi="Arial" w:cs="Arial"/>
          <w:color w:val="000000" w:themeColor="text1"/>
        </w:rPr>
        <w:t xml:space="preserve">a result of </w:t>
      </w:r>
      <w:r w:rsidR="006B7BCD" w:rsidRPr="003D5C0C">
        <w:rPr>
          <w:rFonts w:ascii="Arial" w:hAnsi="Arial" w:cs="Arial"/>
          <w:color w:val="000000" w:themeColor="text1"/>
        </w:rPr>
        <w:t>household projection</w:t>
      </w:r>
      <w:r w:rsidRPr="003D5C0C">
        <w:rPr>
          <w:rFonts w:ascii="Arial" w:hAnsi="Arial" w:cs="Arial"/>
          <w:color w:val="000000" w:themeColor="text1"/>
        </w:rPr>
        <w:t>s</w:t>
      </w:r>
      <w:r w:rsidR="006B7BCD" w:rsidRPr="003D5C0C">
        <w:rPr>
          <w:rFonts w:ascii="Arial" w:hAnsi="Arial" w:cs="Arial"/>
          <w:color w:val="000000" w:themeColor="text1"/>
        </w:rPr>
        <w:t xml:space="preserve"> (</w:t>
      </w:r>
      <w:r w:rsidRPr="003D5C0C">
        <w:rPr>
          <w:rFonts w:ascii="Arial" w:hAnsi="Arial" w:cs="Arial"/>
          <w:color w:val="000000" w:themeColor="text1"/>
        </w:rPr>
        <w:t xml:space="preserve">extrapolated from </w:t>
      </w:r>
      <w:r w:rsidR="006B7BCD" w:rsidRPr="003D5C0C">
        <w:rPr>
          <w:rFonts w:ascii="Arial" w:hAnsi="Arial" w:cs="Arial"/>
          <w:color w:val="000000" w:themeColor="text1"/>
        </w:rPr>
        <w:t>2014-based</w:t>
      </w:r>
      <w:r w:rsidRPr="003D5C0C">
        <w:rPr>
          <w:rFonts w:ascii="Arial" w:hAnsi="Arial" w:cs="Arial"/>
          <w:color w:val="000000" w:themeColor="text1"/>
        </w:rPr>
        <w:t xml:space="preserve"> data</w:t>
      </w:r>
      <w:r w:rsidR="006B7BCD" w:rsidRPr="003D5C0C">
        <w:rPr>
          <w:rFonts w:ascii="Arial" w:hAnsi="Arial" w:cs="Arial"/>
          <w:color w:val="000000" w:themeColor="text1"/>
        </w:rPr>
        <w:t xml:space="preserve">) </w:t>
      </w:r>
      <w:r w:rsidRPr="003D5C0C">
        <w:rPr>
          <w:rFonts w:ascii="Arial" w:hAnsi="Arial" w:cs="Arial"/>
          <w:color w:val="000000" w:themeColor="text1"/>
        </w:rPr>
        <w:t xml:space="preserve">multiplied by </w:t>
      </w:r>
      <w:r w:rsidR="006B7BCD" w:rsidRPr="003D5C0C">
        <w:rPr>
          <w:rFonts w:ascii="Arial" w:hAnsi="Arial" w:cs="Arial"/>
          <w:color w:val="000000" w:themeColor="text1"/>
        </w:rPr>
        <w:t>an affordability adjustment</w:t>
      </w:r>
      <w:r w:rsidR="003A0A7C" w:rsidRPr="003D5C0C">
        <w:rPr>
          <w:rFonts w:ascii="Arial" w:hAnsi="Arial" w:cs="Arial"/>
          <w:color w:val="000000" w:themeColor="text1"/>
        </w:rPr>
        <w:t>.</w:t>
      </w:r>
      <w:r w:rsidRPr="003D5C0C">
        <w:rPr>
          <w:rFonts w:ascii="Arial" w:hAnsi="Arial" w:cs="Arial"/>
          <w:color w:val="000000" w:themeColor="text1"/>
        </w:rPr>
        <w:t xml:space="preserve">  This can be expressed </w:t>
      </w:r>
      <w:r w:rsidR="006B7BCD" w:rsidRPr="003D5C0C">
        <w:rPr>
          <w:rFonts w:ascii="Arial" w:hAnsi="Arial" w:cs="Arial"/>
          <w:color w:val="000000" w:themeColor="text1"/>
        </w:rPr>
        <w:t>mathematically as:</w:t>
      </w:r>
    </w:p>
    <w:p w14:paraId="6C911EC0" w14:textId="77777777" w:rsidR="00EB33A7" w:rsidRPr="003D5C0C" w:rsidRDefault="00EB33A7" w:rsidP="006633FA">
      <w:pPr>
        <w:spacing w:line="480" w:lineRule="auto"/>
        <w:jc w:val="both"/>
        <w:rPr>
          <w:rFonts w:ascii="Arial" w:hAnsi="Arial" w:cs="Arial"/>
          <w:color w:val="000000" w:themeColor="text1"/>
        </w:rPr>
      </w:pPr>
    </w:p>
    <w:p w14:paraId="6DA61E05" w14:textId="40FEDADF" w:rsidR="006B7BCD" w:rsidRPr="003D5C0C" w:rsidRDefault="00E4581F" w:rsidP="006633FA">
      <w:pPr>
        <w:spacing w:before="120" w:after="120" w:line="480" w:lineRule="auto"/>
        <w:jc w:val="both"/>
        <w:rPr>
          <w:rFonts w:ascii="Arial" w:hAnsi="Arial" w:cs="Arial"/>
          <w:color w:val="000000" w:themeColor="text1"/>
        </w:rPr>
      </w:pPr>
      <m:oMathPara>
        <m:oMath>
          <m:r>
            <m:rPr>
              <m:sty m:val="p"/>
            </m:rPr>
            <w:rPr>
              <w:rFonts w:ascii="Cambria Math" w:hAnsi="Cambria Math" w:cs="Arial"/>
              <w:color w:val="000000" w:themeColor="text1"/>
            </w:rPr>
            <m:t>Housing need prediction=household projection growth ×adjustment factor</m:t>
          </m:r>
        </m:oMath>
      </m:oMathPara>
    </w:p>
    <w:p w14:paraId="6F7903F9" w14:textId="77777777" w:rsidR="00EB33A7" w:rsidRPr="003D5C0C" w:rsidRDefault="00EB33A7" w:rsidP="006633FA">
      <w:pPr>
        <w:spacing w:line="480" w:lineRule="auto"/>
        <w:jc w:val="both"/>
        <w:rPr>
          <w:rFonts w:ascii="Arial" w:hAnsi="Arial" w:cs="Arial"/>
          <w:color w:val="000000" w:themeColor="text1"/>
        </w:rPr>
      </w:pPr>
    </w:p>
    <w:p w14:paraId="65DE9499" w14:textId="78C9B8FB" w:rsidR="00961A82" w:rsidRPr="003D5C0C" w:rsidRDefault="00EB33A7" w:rsidP="006633FA">
      <w:pPr>
        <w:spacing w:line="480" w:lineRule="auto"/>
        <w:jc w:val="both"/>
        <w:rPr>
          <w:rFonts w:ascii="Arial" w:hAnsi="Arial" w:cs="Arial"/>
          <w:color w:val="000000" w:themeColor="text1"/>
        </w:rPr>
      </w:pPr>
      <w:r w:rsidRPr="003D5C0C">
        <w:rPr>
          <w:rFonts w:ascii="Arial" w:hAnsi="Arial" w:cs="Arial"/>
          <w:color w:val="000000" w:themeColor="text1"/>
        </w:rPr>
        <w:t>where the</w:t>
      </w:r>
      <w:r w:rsidR="006B7BCD" w:rsidRPr="003D5C0C">
        <w:rPr>
          <w:rFonts w:ascii="Arial" w:hAnsi="Arial" w:cs="Arial"/>
          <w:color w:val="000000" w:themeColor="text1"/>
        </w:rPr>
        <w:t xml:space="preserve"> </w:t>
      </w:r>
      <m:oMath>
        <m:r>
          <m:rPr>
            <m:sty m:val="p"/>
          </m:rPr>
          <w:rPr>
            <w:rFonts w:ascii="Cambria Math" w:hAnsi="Cambria Math" w:cs="Arial"/>
            <w:color w:val="000000" w:themeColor="text1"/>
          </w:rPr>
          <m:t>adjustment factor=1+</m:t>
        </m:r>
        <m:f>
          <m:fPr>
            <m:ctrlPr>
              <w:rPr>
                <w:rFonts w:ascii="Cambria Math" w:hAnsi="Cambria Math" w:cs="Arial"/>
                <w:iCs/>
                <w:color w:val="000000" w:themeColor="text1"/>
              </w:rPr>
            </m:ctrlPr>
          </m:fPr>
          <m:num>
            <m:r>
              <m:rPr>
                <m:sty m:val="p"/>
              </m:rPr>
              <w:rPr>
                <w:rFonts w:ascii="Cambria Math" w:hAnsi="Cambria Math" w:cs="Arial"/>
                <w:color w:val="000000" w:themeColor="text1"/>
              </w:rPr>
              <m:t>local affordability ratio-4</m:t>
            </m:r>
          </m:num>
          <m:den>
            <m:r>
              <m:rPr>
                <m:sty m:val="p"/>
              </m:rPr>
              <w:rPr>
                <w:rFonts w:ascii="Cambria Math" w:hAnsi="Cambria Math" w:cs="Arial"/>
                <w:color w:val="000000" w:themeColor="text1"/>
              </w:rPr>
              <m:t>4</m:t>
            </m:r>
          </m:den>
        </m:f>
        <m:r>
          <m:rPr>
            <m:sty m:val="p"/>
          </m:rPr>
          <w:rPr>
            <w:rFonts w:ascii="Cambria Math" w:hAnsi="Cambria Math" w:cs="Arial"/>
            <w:color w:val="000000" w:themeColor="text1"/>
          </w:rPr>
          <m:t>×0.25</m:t>
        </m:r>
      </m:oMath>
      <w:r w:rsidR="006B7BCD" w:rsidRPr="003D5C0C">
        <w:rPr>
          <w:rFonts w:ascii="Arial" w:hAnsi="Arial" w:cs="Arial"/>
          <w:color w:val="000000" w:themeColor="text1"/>
        </w:rPr>
        <w:t xml:space="preserve"> is in function of affordability ratio. </w:t>
      </w:r>
    </w:p>
    <w:p w14:paraId="2E89665F" w14:textId="77777777" w:rsidR="008C4E47" w:rsidRPr="003D5C0C" w:rsidRDefault="008C4E47" w:rsidP="006633FA">
      <w:pPr>
        <w:spacing w:line="480" w:lineRule="auto"/>
        <w:jc w:val="both"/>
        <w:rPr>
          <w:rFonts w:ascii="Arial" w:hAnsi="Arial" w:cs="Arial"/>
          <w:color w:val="000000" w:themeColor="text1"/>
        </w:rPr>
      </w:pPr>
    </w:p>
    <w:p w14:paraId="0471147D" w14:textId="4F9BAEAA" w:rsidR="000D5AF2" w:rsidRPr="003D5C0C" w:rsidRDefault="00D26641"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The </w:t>
      </w:r>
      <w:r w:rsidR="00EB33A7" w:rsidRPr="003D5C0C">
        <w:rPr>
          <w:rFonts w:ascii="Arial" w:hAnsi="Arial" w:cs="Arial"/>
          <w:color w:val="000000" w:themeColor="text1"/>
        </w:rPr>
        <w:t xml:space="preserve">Standard Method </w:t>
      </w:r>
      <w:r w:rsidRPr="003D5C0C">
        <w:rPr>
          <w:rFonts w:ascii="Arial" w:hAnsi="Arial" w:cs="Arial"/>
          <w:color w:val="000000" w:themeColor="text1"/>
        </w:rPr>
        <w:t xml:space="preserve">models 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rPr>
        <w:t>using a</w:t>
      </w:r>
      <w:r w:rsidR="00EB33A7" w:rsidRPr="003D5C0C">
        <w:rPr>
          <w:rFonts w:ascii="Arial" w:hAnsi="Arial" w:cs="Arial"/>
          <w:color w:val="000000" w:themeColor="text1"/>
        </w:rPr>
        <w:t>n equation of</w:t>
      </w:r>
      <w:r w:rsidRPr="003D5C0C">
        <w:rPr>
          <w:rFonts w:ascii="Arial" w:hAnsi="Arial" w:cs="Arial"/>
          <w:color w:val="000000" w:themeColor="text1"/>
        </w:rPr>
        <w:t xml:space="preserve"> nonlinear form (i.e. z=xy)</w:t>
      </w:r>
      <w:r w:rsidR="00FD2333" w:rsidRPr="003D5C0C">
        <w:rPr>
          <w:rFonts w:ascii="Arial" w:hAnsi="Arial" w:cs="Arial"/>
          <w:color w:val="000000" w:themeColor="text1"/>
        </w:rPr>
        <w:t xml:space="preserve"> in which both </w:t>
      </w:r>
      <w:r w:rsidR="00EB33A7" w:rsidRPr="003D5C0C">
        <w:rPr>
          <w:rFonts w:ascii="Arial" w:hAnsi="Arial" w:cs="Arial"/>
          <w:color w:val="000000" w:themeColor="text1"/>
        </w:rPr>
        <w:t xml:space="preserve">the projected growth in </w:t>
      </w:r>
      <w:r w:rsidR="00FD2333" w:rsidRPr="003D5C0C">
        <w:rPr>
          <w:rFonts w:ascii="Arial" w:hAnsi="Arial" w:cs="Arial"/>
          <w:color w:val="000000" w:themeColor="text1"/>
        </w:rPr>
        <w:t xml:space="preserve">household </w:t>
      </w:r>
      <w:r w:rsidR="00EB33A7" w:rsidRPr="003D5C0C">
        <w:rPr>
          <w:rFonts w:ascii="Arial" w:hAnsi="Arial" w:cs="Arial"/>
          <w:color w:val="000000" w:themeColor="text1"/>
        </w:rPr>
        <w:t>formation</w:t>
      </w:r>
      <w:r w:rsidR="00FD2333" w:rsidRPr="003D5C0C">
        <w:rPr>
          <w:rFonts w:ascii="Arial" w:hAnsi="Arial" w:cs="Arial"/>
          <w:color w:val="000000" w:themeColor="text1"/>
        </w:rPr>
        <w:t xml:space="preserve"> and</w:t>
      </w:r>
      <w:r w:rsidRPr="003D5C0C">
        <w:rPr>
          <w:rFonts w:ascii="Arial" w:hAnsi="Arial" w:cs="Arial"/>
          <w:color w:val="000000" w:themeColor="text1"/>
        </w:rPr>
        <w:t xml:space="preserve"> </w:t>
      </w:r>
      <w:r w:rsidR="00EB33A7" w:rsidRPr="003D5C0C">
        <w:rPr>
          <w:rFonts w:ascii="Arial" w:hAnsi="Arial" w:cs="Arial"/>
          <w:color w:val="000000" w:themeColor="text1"/>
        </w:rPr>
        <w:t xml:space="preserve">the </w:t>
      </w:r>
      <w:r w:rsidR="00FD2333" w:rsidRPr="003D5C0C">
        <w:rPr>
          <w:rFonts w:ascii="Arial" w:hAnsi="Arial" w:cs="Arial"/>
          <w:color w:val="000000" w:themeColor="text1"/>
        </w:rPr>
        <w:t>affordability adjustment (</w:t>
      </w:r>
      <w:r w:rsidR="00EB33A7" w:rsidRPr="003D5C0C">
        <w:rPr>
          <w:rFonts w:ascii="Arial" w:hAnsi="Arial" w:cs="Arial"/>
          <w:color w:val="000000" w:themeColor="text1"/>
        </w:rPr>
        <w:t>as well as the</w:t>
      </w:r>
      <w:r w:rsidR="00FD2333" w:rsidRPr="003D5C0C">
        <w:rPr>
          <w:rFonts w:ascii="Arial" w:hAnsi="Arial" w:cs="Arial"/>
          <w:color w:val="000000" w:themeColor="text1"/>
        </w:rPr>
        <w:t xml:space="preserve"> affordability ratio) are positively and nonlinearly associated with housing </w:t>
      </w:r>
      <w:r w:rsidR="006E335E" w:rsidRPr="003D5C0C">
        <w:rPr>
          <w:rFonts w:ascii="Arial" w:eastAsiaTheme="minorHAnsi" w:hAnsi="Arial" w:cs="Arial"/>
          <w:color w:val="000000" w:themeColor="text1"/>
          <w:lang w:eastAsia="en-US"/>
        </w:rPr>
        <w:t>requirement</w:t>
      </w:r>
      <w:r w:rsidR="00FD2333" w:rsidRPr="003D5C0C">
        <w:rPr>
          <w:rFonts w:ascii="Arial" w:hAnsi="Arial" w:cs="Arial"/>
          <w:color w:val="000000" w:themeColor="text1"/>
        </w:rPr>
        <w:t xml:space="preserve">. </w:t>
      </w:r>
      <w:r w:rsidR="003A0A7C" w:rsidRPr="003D5C0C">
        <w:rPr>
          <w:rFonts w:ascii="Arial" w:hAnsi="Arial" w:cs="Arial"/>
          <w:color w:val="000000" w:themeColor="text1"/>
        </w:rPr>
        <w:t xml:space="preserve"> </w:t>
      </w:r>
      <w:r w:rsidR="006A2DE6" w:rsidRPr="003D5C0C">
        <w:rPr>
          <w:rFonts w:ascii="Arial" w:hAnsi="Arial" w:cs="Arial"/>
          <w:color w:val="000000" w:themeColor="text1"/>
        </w:rPr>
        <w:t>In this context</w:t>
      </w:r>
      <w:r w:rsidR="00D95D5D" w:rsidRPr="003D5C0C">
        <w:rPr>
          <w:rFonts w:ascii="Arial" w:hAnsi="Arial" w:cs="Arial"/>
          <w:color w:val="000000" w:themeColor="text1"/>
        </w:rPr>
        <w:t xml:space="preserve"> the significance of </w:t>
      </w:r>
      <w:r w:rsidR="006A2DE6" w:rsidRPr="003D5C0C">
        <w:rPr>
          <w:rFonts w:ascii="Arial" w:hAnsi="Arial" w:cs="Arial"/>
          <w:color w:val="000000" w:themeColor="text1"/>
        </w:rPr>
        <w:t xml:space="preserve">one </w:t>
      </w:r>
      <w:r w:rsidR="00D95D5D" w:rsidRPr="003D5C0C">
        <w:rPr>
          <w:rFonts w:ascii="Arial" w:hAnsi="Arial" w:cs="Arial"/>
          <w:color w:val="000000" w:themeColor="text1"/>
        </w:rPr>
        <w:t xml:space="preserve">input </w:t>
      </w:r>
      <w:r w:rsidR="00D95D5D" w:rsidRPr="003D5C0C">
        <w:rPr>
          <w:rFonts w:ascii="Arial" w:hAnsi="Arial" w:cs="Arial"/>
          <w:color w:val="000000" w:themeColor="text1"/>
        </w:rPr>
        <w:lastRenderedPageBreak/>
        <w:t xml:space="preserve">variable’s effect on the outcome cannot be rigorously isolated from the other input variables.  </w:t>
      </w:r>
      <w:r w:rsidR="006A2DE6" w:rsidRPr="003D5C0C">
        <w:rPr>
          <w:rFonts w:ascii="Arial" w:hAnsi="Arial" w:cs="Arial"/>
          <w:color w:val="000000" w:themeColor="text1"/>
        </w:rPr>
        <w:t xml:space="preserve">Furthermore, the units and ranges of the variables are very different (e.g. housing </w:t>
      </w:r>
      <w:r w:rsidR="006E335E" w:rsidRPr="003D5C0C">
        <w:rPr>
          <w:rFonts w:ascii="Arial" w:eastAsiaTheme="minorHAnsi" w:hAnsi="Arial" w:cs="Arial"/>
          <w:color w:val="000000" w:themeColor="text1"/>
          <w:lang w:eastAsia="en-US"/>
        </w:rPr>
        <w:t xml:space="preserve">requirement </w:t>
      </w:r>
      <w:r w:rsidR="006A2DE6" w:rsidRPr="003D5C0C">
        <w:rPr>
          <w:rFonts w:ascii="Arial" w:hAnsi="Arial" w:cs="Arial"/>
          <w:color w:val="000000" w:themeColor="text1"/>
        </w:rPr>
        <w:t xml:space="preserve">varies from 0 to thousands </w:t>
      </w:r>
      <w:r w:rsidR="00E4020A" w:rsidRPr="003D5C0C">
        <w:rPr>
          <w:rFonts w:ascii="Arial" w:hAnsi="Arial" w:cs="Arial"/>
          <w:color w:val="000000" w:themeColor="text1"/>
        </w:rPr>
        <w:t xml:space="preserve">of </w:t>
      </w:r>
      <w:r w:rsidR="006A2DE6" w:rsidRPr="003D5C0C">
        <w:rPr>
          <w:rFonts w:ascii="Arial" w:hAnsi="Arial" w:cs="Arial"/>
          <w:color w:val="000000" w:themeColor="text1"/>
        </w:rPr>
        <w:t xml:space="preserve">dwellings </w:t>
      </w:r>
      <w:r w:rsidR="00E4020A" w:rsidRPr="003D5C0C">
        <w:rPr>
          <w:rFonts w:ascii="Arial" w:hAnsi="Arial" w:cs="Arial"/>
          <w:color w:val="000000" w:themeColor="text1"/>
        </w:rPr>
        <w:t xml:space="preserve">whilst the </w:t>
      </w:r>
      <w:r w:rsidR="006A2DE6" w:rsidRPr="003D5C0C">
        <w:rPr>
          <w:rFonts w:ascii="Arial" w:hAnsi="Arial" w:cs="Arial"/>
          <w:color w:val="000000" w:themeColor="text1"/>
        </w:rPr>
        <w:t>affordability ratio varies within 3 to 35)</w:t>
      </w:r>
      <w:r w:rsidR="00965260" w:rsidRPr="003D5C0C">
        <w:rPr>
          <w:rFonts w:ascii="Arial" w:hAnsi="Arial" w:cs="Arial"/>
          <w:color w:val="000000" w:themeColor="text1"/>
        </w:rPr>
        <w:t xml:space="preserve"> and are incomparable when discussing the contributions/weights to the variations in housing </w:t>
      </w:r>
      <w:r w:rsidR="006E335E" w:rsidRPr="003D5C0C">
        <w:rPr>
          <w:rFonts w:ascii="Arial" w:eastAsiaTheme="minorHAnsi" w:hAnsi="Arial" w:cs="Arial"/>
          <w:color w:val="000000" w:themeColor="text1"/>
          <w:lang w:eastAsia="en-US"/>
        </w:rPr>
        <w:t>requirements</w:t>
      </w:r>
      <w:r w:rsidR="00965260" w:rsidRPr="003D5C0C">
        <w:rPr>
          <w:rFonts w:ascii="Arial" w:hAnsi="Arial" w:cs="Arial"/>
          <w:color w:val="000000" w:themeColor="text1"/>
        </w:rPr>
        <w:t xml:space="preserve">. </w:t>
      </w:r>
      <w:r w:rsidR="00D737AC" w:rsidRPr="003D5C0C">
        <w:rPr>
          <w:rFonts w:ascii="Arial" w:hAnsi="Arial" w:cs="Arial"/>
          <w:color w:val="000000" w:themeColor="text1"/>
        </w:rPr>
        <w:t xml:space="preserve"> </w:t>
      </w:r>
      <w:r w:rsidR="00E4020A" w:rsidRPr="003D5C0C">
        <w:rPr>
          <w:rFonts w:ascii="Arial" w:hAnsi="Arial" w:cs="Arial"/>
          <w:color w:val="000000" w:themeColor="text1"/>
        </w:rPr>
        <w:t xml:space="preserve">These features of the Standard Method’s construction mean that it is necessary to take </w:t>
      </w:r>
      <w:r w:rsidR="00965260" w:rsidRPr="003D5C0C">
        <w:rPr>
          <w:rFonts w:ascii="Arial" w:hAnsi="Arial" w:cs="Arial"/>
          <w:color w:val="000000" w:themeColor="text1"/>
        </w:rPr>
        <w:t>a natural log</w:t>
      </w:r>
      <w:r w:rsidR="001A17D5" w:rsidRPr="003D5C0C">
        <w:rPr>
          <w:rFonts w:ascii="Arial" w:hAnsi="Arial" w:cs="Arial"/>
          <w:color w:val="000000" w:themeColor="text1"/>
        </w:rPr>
        <w:t xml:space="preserve">arithmic </w:t>
      </w:r>
      <w:r w:rsidR="00965260" w:rsidRPr="003D5C0C">
        <w:rPr>
          <w:rFonts w:ascii="Arial" w:hAnsi="Arial" w:cs="Arial"/>
          <w:color w:val="000000" w:themeColor="text1"/>
        </w:rPr>
        <w:t xml:space="preserve">transformation </w:t>
      </w:r>
      <w:r w:rsidR="00E4020A" w:rsidRPr="003D5C0C">
        <w:rPr>
          <w:rFonts w:ascii="Arial" w:hAnsi="Arial" w:cs="Arial"/>
          <w:color w:val="000000" w:themeColor="text1"/>
        </w:rPr>
        <w:t>which can be</w:t>
      </w:r>
      <w:r w:rsidR="00E4581F" w:rsidRPr="003D5C0C">
        <w:rPr>
          <w:rFonts w:ascii="Arial" w:hAnsi="Arial" w:cs="Arial"/>
          <w:color w:val="000000" w:themeColor="text1"/>
        </w:rPr>
        <w:t xml:space="preserve"> written in a log-log regression as:</w:t>
      </w:r>
    </w:p>
    <w:p w14:paraId="1262F68D" w14:textId="77777777" w:rsidR="00BB1EB7" w:rsidRPr="003D5C0C" w:rsidRDefault="00BB1EB7" w:rsidP="006633FA">
      <w:pPr>
        <w:spacing w:line="480" w:lineRule="auto"/>
        <w:jc w:val="both"/>
        <w:rPr>
          <w:rFonts w:ascii="Arial" w:hAnsi="Arial" w:cs="Arial"/>
          <w:color w:val="000000" w:themeColor="text1"/>
        </w:rPr>
      </w:pPr>
    </w:p>
    <w:p w14:paraId="64517639" w14:textId="1F6C4B1A" w:rsidR="00E4581F" w:rsidRPr="003D5C0C" w:rsidRDefault="00222823" w:rsidP="00DE2E60">
      <w:pPr>
        <w:spacing w:before="120" w:after="120"/>
        <w:jc w:val="both"/>
        <w:rPr>
          <w:rFonts w:ascii="Arial" w:hAnsi="Arial" w:cs="Arial"/>
          <w:color w:val="000000" w:themeColor="text1"/>
        </w:rPr>
      </w:pPr>
      <m:oMathPara>
        <m:oMath>
          <m:func>
            <m:funcPr>
              <m:ctrlPr>
                <w:rPr>
                  <w:rFonts w:ascii="Cambria Math" w:hAnsi="Cambria Math" w:cs="Arial"/>
                  <w:color w:val="000000" w:themeColor="text1"/>
                </w:rPr>
              </m:ctrlPr>
            </m:funcPr>
            <m:fName>
              <m:r>
                <m:rPr>
                  <m:sty m:val="p"/>
                </m:rPr>
                <w:rPr>
                  <w:rFonts w:ascii="Cambria Math" w:hAnsi="Cambria Math" w:cs="Arial"/>
                  <w:color w:val="000000" w:themeColor="text1"/>
                </w:rPr>
                <m:t>ln</m:t>
              </m:r>
            </m:fName>
            <m:e>
              <m:d>
                <m:dPr>
                  <m:ctrlPr>
                    <w:rPr>
                      <w:rFonts w:ascii="Cambria Math" w:hAnsi="Cambria Math" w:cs="Arial"/>
                      <w:color w:val="000000" w:themeColor="text1"/>
                    </w:rPr>
                  </m:ctrlPr>
                </m:dPr>
                <m:e>
                  <m:r>
                    <m:rPr>
                      <m:sty m:val="p"/>
                    </m:rPr>
                    <w:rPr>
                      <w:rFonts w:ascii="Cambria Math" w:hAnsi="Cambria Math" w:cs="Arial"/>
                      <w:color w:val="000000" w:themeColor="text1"/>
                    </w:rPr>
                    <m:t>Housing need</m:t>
                  </m:r>
                </m:e>
              </m:d>
            </m:e>
          </m:func>
          <m:r>
            <m:rPr>
              <m:sty m:val="p"/>
            </m:rPr>
            <w:rPr>
              <w:rFonts w:ascii="Cambria Math" w:hAnsi="Cambria Math" w:cs="Arial"/>
              <w:color w:val="000000" w:themeColor="text1"/>
            </w:rPr>
            <m:t>=</m:t>
          </m:r>
          <m:sSub>
            <m:sSubPr>
              <m:ctrlPr>
                <w:rPr>
                  <w:rFonts w:ascii="Cambria Math" w:hAnsi="Cambria Math" w:cs="Arial"/>
                  <w:color w:val="000000" w:themeColor="text1"/>
                </w:rPr>
              </m:ctrlPr>
            </m:sSubPr>
            <m:e>
              <m:r>
                <m:rPr>
                  <m:sty m:val="p"/>
                </m:rPr>
                <w:rPr>
                  <w:rFonts w:ascii="Cambria Math" w:hAnsi="Cambria Math" w:cs="Arial"/>
                  <w:color w:val="000000" w:themeColor="text1"/>
                </w:rPr>
                <m:t>β</m:t>
              </m:r>
            </m:e>
            <m:sub>
              <m:r>
                <w:rPr>
                  <w:rFonts w:ascii="Cambria Math" w:hAnsi="Cambria Math" w:cs="Arial"/>
                  <w:color w:val="000000" w:themeColor="text1"/>
                </w:rPr>
                <m:t>0</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m:rPr>
                  <m:sty m:val="p"/>
                </m:rPr>
                <w:rPr>
                  <w:rFonts w:ascii="Cambria Math" w:hAnsi="Cambria Math" w:cs="Arial"/>
                  <w:color w:val="000000" w:themeColor="text1"/>
                </w:rPr>
                <m:t>β</m:t>
              </m:r>
            </m:e>
            <m:sub>
              <m:r>
                <w:rPr>
                  <w:rFonts w:ascii="Cambria Math" w:hAnsi="Cambria Math" w:cs="Arial"/>
                  <w:color w:val="000000" w:themeColor="text1"/>
                </w:rPr>
                <m:t>1</m:t>
              </m:r>
            </m:sub>
          </m:sSub>
          <m:func>
            <m:funcPr>
              <m:ctrlPr>
                <w:rPr>
                  <w:rFonts w:ascii="Cambria Math" w:hAnsi="Cambria Math" w:cs="Arial"/>
                  <w:color w:val="000000" w:themeColor="text1"/>
                </w:rPr>
              </m:ctrlPr>
            </m:funcPr>
            <m:fName>
              <m:r>
                <m:rPr>
                  <m:sty m:val="p"/>
                </m:rPr>
                <w:rPr>
                  <w:rFonts w:ascii="Cambria Math" w:hAnsi="Cambria Math" w:cs="Arial"/>
                  <w:color w:val="000000" w:themeColor="text1"/>
                </w:rPr>
                <m:t>ln</m:t>
              </m:r>
            </m:fName>
            <m:e>
              <m:d>
                <m:dPr>
                  <m:ctrlPr>
                    <w:rPr>
                      <w:rFonts w:ascii="Cambria Math" w:hAnsi="Cambria Math" w:cs="Arial"/>
                      <w:color w:val="000000" w:themeColor="text1"/>
                    </w:rPr>
                  </m:ctrlPr>
                </m:dPr>
                <m:e>
                  <m:r>
                    <m:rPr>
                      <m:sty m:val="p"/>
                    </m:rPr>
                    <w:rPr>
                      <w:rFonts w:ascii="Cambria Math" w:hAnsi="Cambria Math" w:cs="Arial"/>
                      <w:color w:val="000000" w:themeColor="text1"/>
                    </w:rPr>
                    <m:t>household projection growth</m:t>
                  </m:r>
                </m:e>
              </m:d>
            </m:e>
          </m:func>
          <m:r>
            <m:rPr>
              <m:sty m:val="p"/>
            </m:rPr>
            <w:rPr>
              <w:rFonts w:ascii="Cambria Math" w:hAnsi="Cambria Math" w:cs="Arial"/>
              <w:color w:val="000000" w:themeColor="text1"/>
            </w:rPr>
            <m:t>+</m:t>
          </m:r>
          <m:sSub>
            <m:sSubPr>
              <m:ctrlPr>
                <w:rPr>
                  <w:rFonts w:ascii="Cambria Math" w:hAnsi="Cambria Math" w:cs="Arial"/>
                  <w:color w:val="000000" w:themeColor="text1"/>
                </w:rPr>
              </m:ctrlPr>
            </m:sSubPr>
            <m:e>
              <m:r>
                <m:rPr>
                  <m:sty m:val="p"/>
                </m:rPr>
                <w:rPr>
                  <w:rFonts w:ascii="Cambria Math" w:hAnsi="Cambria Math" w:cs="Arial"/>
                  <w:color w:val="000000" w:themeColor="text1"/>
                </w:rPr>
                <m:t>β</m:t>
              </m:r>
            </m:e>
            <m:sub>
              <m:r>
                <w:rPr>
                  <w:rFonts w:ascii="Cambria Math" w:hAnsi="Cambria Math" w:cs="Arial"/>
                  <w:color w:val="000000" w:themeColor="text1"/>
                </w:rPr>
                <m:t>2</m:t>
              </m:r>
            </m:sub>
          </m:sSub>
          <m:func>
            <m:funcPr>
              <m:ctrlPr>
                <w:rPr>
                  <w:rFonts w:ascii="Cambria Math" w:hAnsi="Cambria Math" w:cs="Arial"/>
                  <w:iCs/>
                  <w:color w:val="000000" w:themeColor="text1"/>
                </w:rPr>
              </m:ctrlPr>
            </m:funcPr>
            <m:fName>
              <m:r>
                <m:rPr>
                  <m:sty m:val="p"/>
                </m:rPr>
                <w:rPr>
                  <w:rFonts w:ascii="Cambria Math" w:hAnsi="Cambria Math" w:cs="Arial"/>
                  <w:color w:val="000000" w:themeColor="text1"/>
                </w:rPr>
                <m:t>ln</m:t>
              </m:r>
            </m:fName>
            <m:e>
              <m:d>
                <m:dPr>
                  <m:ctrlPr>
                    <w:rPr>
                      <w:rFonts w:ascii="Cambria Math" w:hAnsi="Cambria Math" w:cs="Arial"/>
                      <w:iCs/>
                      <w:color w:val="000000" w:themeColor="text1"/>
                    </w:rPr>
                  </m:ctrlPr>
                </m:dPr>
                <m:e>
                  <m:r>
                    <m:rPr>
                      <m:sty m:val="p"/>
                    </m:rPr>
                    <w:rPr>
                      <w:rFonts w:ascii="Cambria Math" w:hAnsi="Cambria Math" w:cs="Arial"/>
                      <w:color w:val="000000" w:themeColor="text1"/>
                    </w:rPr>
                    <m:t>affordability ratio</m:t>
                  </m:r>
                </m:e>
              </m:d>
            </m:e>
          </m:func>
          <m:r>
            <m:rPr>
              <m:sty m:val="p"/>
            </m:rPr>
            <w:rPr>
              <w:rFonts w:ascii="Cambria Math" w:hAnsi="Cambria Math" w:cs="Arial"/>
              <w:color w:val="000000" w:themeColor="text1"/>
            </w:rPr>
            <m:t>+ε</m:t>
          </m:r>
        </m:oMath>
      </m:oMathPara>
    </w:p>
    <w:p w14:paraId="0831AC90" w14:textId="77777777" w:rsidR="00BB1EB7" w:rsidRPr="003D5C0C" w:rsidRDefault="00BB1EB7" w:rsidP="006633FA">
      <w:pPr>
        <w:spacing w:line="480" w:lineRule="auto"/>
        <w:jc w:val="both"/>
        <w:rPr>
          <w:rFonts w:ascii="Arial" w:hAnsi="Arial" w:cs="Arial"/>
          <w:color w:val="000000" w:themeColor="text1"/>
        </w:rPr>
      </w:pPr>
    </w:p>
    <w:p w14:paraId="6C352F11" w14:textId="228898BC" w:rsidR="00965260" w:rsidRPr="003D5C0C" w:rsidRDefault="00965260" w:rsidP="006633FA">
      <w:pPr>
        <w:spacing w:line="480" w:lineRule="auto"/>
        <w:jc w:val="both"/>
        <w:rPr>
          <w:rFonts w:ascii="Arial" w:hAnsi="Arial" w:cs="Arial"/>
          <w:color w:val="000000" w:themeColor="text1"/>
        </w:rPr>
      </w:pPr>
      <w:r w:rsidRPr="003D5C0C">
        <w:rPr>
          <w:rFonts w:ascii="Arial" w:hAnsi="Arial" w:cs="Arial"/>
          <w:color w:val="000000" w:themeColor="text1"/>
        </w:rPr>
        <w:t>In principle, a log-transformation is used to trans</w:t>
      </w:r>
      <w:r w:rsidR="00E4020A" w:rsidRPr="003D5C0C">
        <w:rPr>
          <w:rFonts w:ascii="Arial" w:hAnsi="Arial" w:cs="Arial"/>
          <w:color w:val="000000" w:themeColor="text1"/>
        </w:rPr>
        <w:t xml:space="preserve">late </w:t>
      </w:r>
      <w:r w:rsidRPr="003D5C0C">
        <w:rPr>
          <w:rFonts w:ascii="Arial" w:hAnsi="Arial" w:cs="Arial"/>
          <w:color w:val="000000" w:themeColor="text1"/>
        </w:rPr>
        <w:t xml:space="preserve">a </w:t>
      </w:r>
      <w:r w:rsidR="00E4020A" w:rsidRPr="003D5C0C">
        <w:rPr>
          <w:rFonts w:ascii="Arial" w:hAnsi="Arial" w:cs="Arial"/>
          <w:color w:val="000000" w:themeColor="text1"/>
        </w:rPr>
        <w:t>non-linear model</w:t>
      </w:r>
      <w:r w:rsidRPr="003D5C0C">
        <w:rPr>
          <w:rFonts w:ascii="Arial" w:hAnsi="Arial" w:cs="Arial"/>
          <w:color w:val="000000" w:themeColor="text1"/>
        </w:rPr>
        <w:t xml:space="preserve"> into a linear </w:t>
      </w:r>
      <w:r w:rsidR="00D95D5D" w:rsidRPr="003D5C0C">
        <w:rPr>
          <w:rFonts w:ascii="Arial" w:hAnsi="Arial" w:cs="Arial"/>
          <w:color w:val="000000" w:themeColor="text1"/>
        </w:rPr>
        <w:t>model</w:t>
      </w:r>
      <w:r w:rsidR="000D5AF2" w:rsidRPr="003D5C0C">
        <w:rPr>
          <w:rFonts w:ascii="Arial" w:hAnsi="Arial" w:cs="Arial"/>
          <w:color w:val="000000" w:themeColor="text1"/>
        </w:rPr>
        <w:t xml:space="preserve">. </w:t>
      </w:r>
      <w:r w:rsidR="00D737AC" w:rsidRPr="003D5C0C">
        <w:rPr>
          <w:rFonts w:ascii="Arial" w:hAnsi="Arial" w:cs="Arial"/>
          <w:color w:val="000000" w:themeColor="text1"/>
        </w:rPr>
        <w:t xml:space="preserve"> </w:t>
      </w:r>
      <w:r w:rsidR="00E4020A" w:rsidRPr="003D5C0C">
        <w:rPr>
          <w:rFonts w:ascii="Arial" w:hAnsi="Arial" w:cs="Arial"/>
          <w:color w:val="000000" w:themeColor="text1"/>
        </w:rPr>
        <w:t>The lo</w:t>
      </w:r>
      <w:r w:rsidR="000D5AF2" w:rsidRPr="003D5C0C">
        <w:rPr>
          <w:rFonts w:ascii="Arial" w:hAnsi="Arial" w:cs="Arial"/>
          <w:color w:val="000000" w:themeColor="text1"/>
        </w:rPr>
        <w:t>g-transform</w:t>
      </w:r>
      <w:r w:rsidR="00E4020A" w:rsidRPr="003D5C0C">
        <w:rPr>
          <w:rFonts w:ascii="Arial" w:hAnsi="Arial" w:cs="Arial"/>
          <w:color w:val="000000" w:themeColor="text1"/>
        </w:rPr>
        <w:t xml:space="preserve">ation </w:t>
      </w:r>
      <w:r w:rsidR="000D5AF2" w:rsidRPr="003D5C0C">
        <w:rPr>
          <w:rFonts w:ascii="Arial" w:hAnsi="Arial" w:cs="Arial"/>
          <w:color w:val="000000" w:themeColor="text1"/>
        </w:rPr>
        <w:t>does not change the underlying relation</w:t>
      </w:r>
      <w:r w:rsidR="00E4020A" w:rsidRPr="003D5C0C">
        <w:rPr>
          <w:rFonts w:ascii="Arial" w:hAnsi="Arial" w:cs="Arial"/>
          <w:color w:val="000000" w:themeColor="text1"/>
        </w:rPr>
        <w:t>ship</w:t>
      </w:r>
      <w:r w:rsidR="000D5AF2" w:rsidRPr="003D5C0C">
        <w:rPr>
          <w:rFonts w:ascii="Arial" w:hAnsi="Arial" w:cs="Arial"/>
          <w:color w:val="000000" w:themeColor="text1"/>
        </w:rPr>
        <w:t xml:space="preserve"> </w:t>
      </w:r>
      <w:r w:rsidR="00D95D5D" w:rsidRPr="003D5C0C">
        <w:rPr>
          <w:rFonts w:ascii="Arial" w:hAnsi="Arial" w:cs="Arial"/>
          <w:color w:val="000000" w:themeColor="text1"/>
        </w:rPr>
        <w:t xml:space="preserve">between </w:t>
      </w:r>
      <w:r w:rsidR="000D5AF2" w:rsidRPr="003D5C0C">
        <w:rPr>
          <w:rFonts w:ascii="Arial" w:hAnsi="Arial" w:cs="Arial"/>
          <w:color w:val="000000" w:themeColor="text1"/>
        </w:rPr>
        <w:t xml:space="preserve">the dependent and independent variables but </w:t>
      </w:r>
      <w:r w:rsidR="00E4020A" w:rsidRPr="003D5C0C">
        <w:rPr>
          <w:rFonts w:ascii="Arial" w:hAnsi="Arial" w:cs="Arial"/>
          <w:color w:val="000000" w:themeColor="text1"/>
        </w:rPr>
        <w:t xml:space="preserve">it </w:t>
      </w:r>
      <w:r w:rsidR="00BB1EB7" w:rsidRPr="003D5C0C">
        <w:rPr>
          <w:rFonts w:ascii="Arial" w:hAnsi="Arial" w:cs="Arial"/>
          <w:color w:val="000000" w:themeColor="text1"/>
        </w:rPr>
        <w:t xml:space="preserve">does </w:t>
      </w:r>
      <w:r w:rsidR="00E4020A" w:rsidRPr="003D5C0C">
        <w:rPr>
          <w:rFonts w:ascii="Arial" w:hAnsi="Arial" w:cs="Arial"/>
          <w:color w:val="000000" w:themeColor="text1"/>
        </w:rPr>
        <w:t>allow for a</w:t>
      </w:r>
      <w:r w:rsidR="00BB1EB7" w:rsidRPr="003D5C0C">
        <w:rPr>
          <w:rFonts w:ascii="Arial" w:hAnsi="Arial" w:cs="Arial"/>
          <w:color w:val="000000" w:themeColor="text1"/>
        </w:rPr>
        <w:t>n</w:t>
      </w:r>
      <w:r w:rsidR="00E4020A" w:rsidRPr="003D5C0C">
        <w:rPr>
          <w:rFonts w:ascii="Arial" w:hAnsi="Arial" w:cs="Arial"/>
          <w:color w:val="000000" w:themeColor="text1"/>
        </w:rPr>
        <w:t xml:space="preserve"> </w:t>
      </w:r>
      <w:r w:rsidR="000D5AF2" w:rsidRPr="003D5C0C">
        <w:rPr>
          <w:rFonts w:ascii="Arial" w:hAnsi="Arial" w:cs="Arial"/>
          <w:color w:val="000000" w:themeColor="text1"/>
        </w:rPr>
        <w:t>interpretation</w:t>
      </w:r>
      <w:r w:rsidR="00E4020A" w:rsidRPr="003D5C0C">
        <w:rPr>
          <w:rFonts w:ascii="Arial" w:hAnsi="Arial" w:cs="Arial"/>
          <w:color w:val="000000" w:themeColor="text1"/>
        </w:rPr>
        <w:t xml:space="preserve"> of the relative significance of input variables with respect to variations in </w:t>
      </w:r>
      <w:r w:rsidR="00D95D5D" w:rsidRPr="003D5C0C">
        <w:rPr>
          <w:rFonts w:ascii="Arial" w:hAnsi="Arial" w:cs="Arial"/>
          <w:color w:val="000000" w:themeColor="text1"/>
        </w:rPr>
        <w:t xml:space="preserve">the </w:t>
      </w:r>
      <w:r w:rsidR="00E4020A" w:rsidRPr="003D5C0C">
        <w:rPr>
          <w:rFonts w:ascii="Arial" w:hAnsi="Arial" w:cs="Arial"/>
          <w:color w:val="000000" w:themeColor="text1"/>
        </w:rPr>
        <w:t>output variable</w:t>
      </w:r>
      <w:r w:rsidR="000D5AF2" w:rsidRPr="003D5C0C">
        <w:rPr>
          <w:rFonts w:ascii="Arial" w:hAnsi="Arial" w:cs="Arial"/>
          <w:color w:val="000000" w:themeColor="text1"/>
        </w:rPr>
        <w:t xml:space="preserve">. </w:t>
      </w:r>
      <w:r w:rsidR="00E4581F" w:rsidRPr="003D5C0C">
        <w:rPr>
          <w:rFonts w:ascii="Arial" w:hAnsi="Arial" w:cs="Arial"/>
          <w:color w:val="000000" w:themeColor="text1"/>
        </w:rPr>
        <w:t xml:space="preserve">For </w:t>
      </w:r>
      <w:r w:rsidR="00E4020A" w:rsidRPr="003D5C0C">
        <w:rPr>
          <w:rFonts w:ascii="Arial" w:hAnsi="Arial" w:cs="Arial"/>
          <w:color w:val="000000" w:themeColor="text1"/>
        </w:rPr>
        <w:t>example</w:t>
      </w:r>
      <w:r w:rsidR="00E4581F" w:rsidRPr="003D5C0C">
        <w:rPr>
          <w:rFonts w:ascii="Arial" w:hAnsi="Arial" w:cs="Arial"/>
          <w:color w:val="000000" w:themeColor="text1"/>
        </w:rPr>
        <w:t xml:space="preserve">, </w:t>
      </w:r>
      <w:r w:rsidR="00E4020A" w:rsidRPr="003D5C0C">
        <w:rPr>
          <w:rFonts w:ascii="Arial" w:hAnsi="Arial" w:cs="Arial"/>
          <w:color w:val="000000" w:themeColor="text1"/>
        </w:rPr>
        <w:t xml:space="preserve">following the log-log transformation </w:t>
      </w:r>
      <w:r w:rsidR="00E4581F" w:rsidRPr="003D5C0C">
        <w:rPr>
          <w:rFonts w:ascii="Arial" w:hAnsi="Arial" w:cs="Arial"/>
          <w:color w:val="000000" w:themeColor="text1"/>
        </w:rPr>
        <w:t>t</w:t>
      </w:r>
      <w:r w:rsidR="000D5AF2" w:rsidRPr="003D5C0C">
        <w:rPr>
          <w:rFonts w:ascii="Arial" w:hAnsi="Arial" w:cs="Arial"/>
          <w:color w:val="000000" w:themeColor="text1"/>
        </w:rPr>
        <w:t xml:space="preserve">he interpretation of </w:t>
      </w:r>
      <w:r w:rsidR="00E4581F" w:rsidRPr="003D5C0C">
        <w:rPr>
          <w:rFonts w:ascii="Arial" w:hAnsi="Arial" w:cs="Arial"/>
          <w:color w:val="000000" w:themeColor="text1"/>
        </w:rPr>
        <w:t xml:space="preserve">the coefficient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β</m:t>
            </m:r>
          </m:e>
          <m:sub>
            <m:r>
              <w:rPr>
                <w:rFonts w:ascii="Cambria Math" w:hAnsi="Cambria Math" w:cs="Arial"/>
                <w:color w:val="000000" w:themeColor="text1"/>
              </w:rPr>
              <m:t>1</m:t>
            </m:r>
          </m:sub>
        </m:sSub>
      </m:oMath>
      <w:r w:rsidR="000D5AF2" w:rsidRPr="003D5C0C">
        <w:rPr>
          <w:rFonts w:ascii="Arial" w:hAnsi="Arial" w:cs="Arial"/>
          <w:color w:val="000000" w:themeColor="text1"/>
        </w:rPr>
        <w:t xml:space="preserve"> </w:t>
      </w:r>
      <w:r w:rsidR="00D95D5D" w:rsidRPr="003D5C0C">
        <w:rPr>
          <w:rFonts w:ascii="Arial" w:hAnsi="Arial" w:cs="Arial"/>
          <w:color w:val="000000" w:themeColor="text1"/>
        </w:rPr>
        <w:t xml:space="preserve">can be understood as an </w:t>
      </w:r>
      <w:r w:rsidR="000D5AF2" w:rsidRPr="003D5C0C">
        <w:rPr>
          <w:rFonts w:ascii="Arial" w:hAnsi="Arial" w:cs="Arial"/>
          <w:color w:val="000000" w:themeColor="text1"/>
        </w:rPr>
        <w:t xml:space="preserve">expected percentage change in </w:t>
      </w:r>
      <w:r w:rsidR="00D95D5D" w:rsidRPr="003D5C0C">
        <w:rPr>
          <w:rFonts w:ascii="Arial" w:hAnsi="Arial" w:cs="Arial"/>
          <w:color w:val="000000" w:themeColor="text1"/>
        </w:rPr>
        <w:t xml:space="preserve">the </w:t>
      </w:r>
      <w:r w:rsidR="000D5AF2" w:rsidRPr="003D5C0C">
        <w:rPr>
          <w:rFonts w:ascii="Arial" w:hAnsi="Arial" w:cs="Arial"/>
          <w:color w:val="000000" w:themeColor="text1"/>
        </w:rPr>
        <w:t xml:space="preserve">housing </w:t>
      </w:r>
      <w:r w:rsidR="006E335E" w:rsidRPr="003D5C0C">
        <w:rPr>
          <w:rFonts w:ascii="Arial" w:eastAsiaTheme="minorHAnsi" w:hAnsi="Arial" w:cs="Arial"/>
          <w:color w:val="000000" w:themeColor="text1"/>
          <w:lang w:eastAsia="en-US"/>
        </w:rPr>
        <w:t xml:space="preserve">requirement </w:t>
      </w:r>
      <w:r w:rsidR="00D95D5D" w:rsidRPr="003D5C0C">
        <w:rPr>
          <w:rFonts w:ascii="Arial" w:hAnsi="Arial" w:cs="Arial"/>
          <w:color w:val="000000" w:themeColor="text1"/>
        </w:rPr>
        <w:t xml:space="preserve">figures attributable to a given percentage change in </w:t>
      </w:r>
      <w:r w:rsidR="00E4020A" w:rsidRPr="003D5C0C">
        <w:rPr>
          <w:rFonts w:ascii="Arial" w:hAnsi="Arial" w:cs="Arial"/>
          <w:color w:val="000000" w:themeColor="text1"/>
        </w:rPr>
        <w:t>the projected household growth variable</w:t>
      </w:r>
      <w:r w:rsidR="00D95D5D" w:rsidRPr="003D5C0C">
        <w:rPr>
          <w:rFonts w:ascii="Arial" w:hAnsi="Arial" w:cs="Arial"/>
          <w:color w:val="000000" w:themeColor="text1"/>
        </w:rPr>
        <w:t>.  A</w:t>
      </w:r>
      <w:r w:rsidR="00E4581F" w:rsidRPr="003D5C0C">
        <w:rPr>
          <w:rFonts w:ascii="Arial" w:hAnsi="Arial" w:cs="Arial"/>
          <w:color w:val="000000" w:themeColor="text1"/>
        </w:rPr>
        <w:t xml:space="preserve"> similar interpretation also applies to the coefficient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β</m:t>
            </m:r>
          </m:e>
          <m:sub>
            <m:r>
              <w:rPr>
                <w:rFonts w:ascii="Cambria Math" w:hAnsi="Cambria Math" w:cs="Arial"/>
                <w:color w:val="000000" w:themeColor="text1"/>
              </w:rPr>
              <m:t>2</m:t>
            </m:r>
          </m:sub>
        </m:sSub>
      </m:oMath>
      <w:r w:rsidR="00D95D5D" w:rsidRPr="003D5C0C">
        <w:rPr>
          <w:rFonts w:ascii="Arial" w:hAnsi="Arial" w:cs="Arial"/>
          <w:color w:val="000000" w:themeColor="text1"/>
        </w:rPr>
        <w:t xml:space="preserve"> with respect to the affordability ratio</w:t>
      </w:r>
      <w:r w:rsidR="00E4581F" w:rsidRPr="003D5C0C">
        <w:rPr>
          <w:rFonts w:ascii="Arial" w:hAnsi="Arial" w:cs="Arial"/>
          <w:color w:val="000000" w:themeColor="text1"/>
        </w:rPr>
        <w:t xml:space="preserve">. </w:t>
      </w:r>
      <w:r w:rsidR="00D95D5D" w:rsidRPr="003D5C0C">
        <w:rPr>
          <w:rFonts w:ascii="Arial" w:hAnsi="Arial" w:cs="Arial"/>
          <w:color w:val="000000" w:themeColor="text1"/>
        </w:rPr>
        <w:t xml:space="preserve"> This concept is </w:t>
      </w:r>
      <w:r w:rsidR="00E4581F" w:rsidRPr="003D5C0C">
        <w:rPr>
          <w:rFonts w:ascii="Arial" w:hAnsi="Arial" w:cs="Arial"/>
          <w:color w:val="000000" w:themeColor="text1"/>
        </w:rPr>
        <w:t>commonly referred to as ‘elasticity’</w:t>
      </w:r>
      <w:r w:rsidR="00D95D5D" w:rsidRPr="003D5C0C">
        <w:rPr>
          <w:rFonts w:ascii="Arial" w:hAnsi="Arial" w:cs="Arial"/>
          <w:color w:val="000000" w:themeColor="text1"/>
        </w:rPr>
        <w:t>.  Following this terminology</w:t>
      </w:r>
      <w:r w:rsidR="00D737AC" w:rsidRPr="003D5C0C">
        <w:rPr>
          <w:rFonts w:ascii="Arial" w:hAnsi="Arial" w:cs="Arial"/>
          <w:color w:val="000000" w:themeColor="text1"/>
        </w:rPr>
        <w:t>,</w:t>
      </w:r>
      <w:r w:rsidR="00D95D5D" w:rsidRPr="003D5C0C">
        <w:rPr>
          <w:rFonts w:ascii="Arial" w:hAnsi="Arial" w:cs="Arial"/>
          <w:color w:val="000000" w:themeColor="text1"/>
        </w:rPr>
        <w:t xml:space="preserve"> we refer to the </w:t>
      </w:r>
      <w:r w:rsidR="00E4581F" w:rsidRPr="003D5C0C">
        <w:rPr>
          <w:rFonts w:ascii="Arial" w:hAnsi="Arial" w:cs="Arial"/>
          <w:color w:val="000000" w:themeColor="text1"/>
        </w:rPr>
        <w:t xml:space="preserve">coefficients of </w:t>
      </w:r>
      <w:r w:rsidR="00D95D5D" w:rsidRPr="003D5C0C">
        <w:rPr>
          <w:rFonts w:ascii="Arial" w:hAnsi="Arial" w:cs="Arial"/>
          <w:color w:val="000000" w:themeColor="text1"/>
        </w:rPr>
        <w:t xml:space="preserve">the </w:t>
      </w:r>
      <w:r w:rsidR="00DA3494" w:rsidRPr="003D5C0C">
        <w:rPr>
          <w:rFonts w:ascii="Arial" w:hAnsi="Arial" w:cs="Arial"/>
          <w:color w:val="000000" w:themeColor="text1"/>
        </w:rPr>
        <w:t xml:space="preserve">log of household </w:t>
      </w:r>
      <w:r w:rsidR="00D95D5D" w:rsidRPr="003D5C0C">
        <w:rPr>
          <w:rFonts w:ascii="Arial" w:hAnsi="Arial" w:cs="Arial"/>
          <w:color w:val="000000" w:themeColor="text1"/>
        </w:rPr>
        <w:t xml:space="preserve">growth </w:t>
      </w:r>
      <w:r w:rsidR="00DA3494" w:rsidRPr="003D5C0C">
        <w:rPr>
          <w:rFonts w:ascii="Arial" w:hAnsi="Arial" w:cs="Arial"/>
          <w:color w:val="000000" w:themeColor="text1"/>
        </w:rPr>
        <w:t xml:space="preserve">projection and </w:t>
      </w:r>
      <w:r w:rsidR="00D95D5D" w:rsidRPr="003D5C0C">
        <w:rPr>
          <w:rFonts w:ascii="Arial" w:hAnsi="Arial" w:cs="Arial"/>
          <w:color w:val="000000" w:themeColor="text1"/>
        </w:rPr>
        <w:t xml:space="preserve">the </w:t>
      </w:r>
      <w:r w:rsidR="00DA3494" w:rsidRPr="003D5C0C">
        <w:rPr>
          <w:rFonts w:ascii="Arial" w:hAnsi="Arial" w:cs="Arial"/>
          <w:color w:val="000000" w:themeColor="text1"/>
        </w:rPr>
        <w:t xml:space="preserve">log of </w:t>
      </w:r>
      <w:r w:rsidR="00D95D5D" w:rsidRPr="003D5C0C">
        <w:rPr>
          <w:rFonts w:ascii="Arial" w:hAnsi="Arial" w:cs="Arial"/>
          <w:color w:val="000000" w:themeColor="text1"/>
        </w:rPr>
        <w:t xml:space="preserve">the </w:t>
      </w:r>
      <w:r w:rsidR="00DA3494" w:rsidRPr="003D5C0C">
        <w:rPr>
          <w:rFonts w:ascii="Arial" w:hAnsi="Arial" w:cs="Arial"/>
          <w:color w:val="000000" w:themeColor="text1"/>
        </w:rPr>
        <w:t>affordability ratio as the corresponding elasticity measure</w:t>
      </w:r>
      <w:r w:rsidR="00D95D5D" w:rsidRPr="003D5C0C">
        <w:rPr>
          <w:rFonts w:ascii="Arial" w:hAnsi="Arial" w:cs="Arial"/>
          <w:color w:val="000000" w:themeColor="text1"/>
        </w:rPr>
        <w:t>s</w:t>
      </w:r>
      <w:r w:rsidR="00DA3494" w:rsidRPr="003D5C0C">
        <w:rPr>
          <w:rFonts w:ascii="Arial" w:hAnsi="Arial" w:cs="Arial"/>
          <w:color w:val="000000" w:themeColor="text1"/>
        </w:rPr>
        <w:t xml:space="preserve"> </w:t>
      </w:r>
      <w:r w:rsidR="00D95D5D" w:rsidRPr="003D5C0C">
        <w:rPr>
          <w:rFonts w:ascii="Arial" w:hAnsi="Arial" w:cs="Arial"/>
          <w:color w:val="000000" w:themeColor="text1"/>
        </w:rPr>
        <w:t xml:space="preserve">of the Standard Method for </w:t>
      </w:r>
      <w:r w:rsidR="00DA3494" w:rsidRPr="003D5C0C">
        <w:rPr>
          <w:rFonts w:ascii="Arial" w:hAnsi="Arial" w:cs="Arial"/>
          <w:color w:val="000000" w:themeColor="text1"/>
        </w:rPr>
        <w:t xml:space="preserve">housing </w:t>
      </w:r>
      <w:r w:rsidR="006E335E" w:rsidRPr="003D5C0C">
        <w:rPr>
          <w:rFonts w:ascii="Arial" w:eastAsiaTheme="minorHAnsi" w:hAnsi="Arial" w:cs="Arial"/>
          <w:color w:val="000000" w:themeColor="text1"/>
          <w:lang w:eastAsia="en-US"/>
        </w:rPr>
        <w:t>requirement</w:t>
      </w:r>
      <w:r w:rsidR="00DA3494" w:rsidRPr="003D5C0C">
        <w:rPr>
          <w:rFonts w:ascii="Arial" w:hAnsi="Arial" w:cs="Arial"/>
          <w:color w:val="000000" w:themeColor="text1"/>
        </w:rPr>
        <w:t xml:space="preserve">. </w:t>
      </w:r>
      <w:r w:rsidR="00D737AC" w:rsidRPr="003D5C0C">
        <w:rPr>
          <w:rFonts w:ascii="Arial" w:hAnsi="Arial" w:cs="Arial"/>
          <w:color w:val="000000" w:themeColor="text1"/>
        </w:rPr>
        <w:t xml:space="preserve"> </w:t>
      </w:r>
      <w:r w:rsidR="00C21857" w:rsidRPr="003D5C0C">
        <w:rPr>
          <w:rFonts w:ascii="Arial" w:hAnsi="Arial" w:cs="Arial"/>
          <w:color w:val="000000" w:themeColor="text1"/>
        </w:rPr>
        <w:t>A</w:t>
      </w:r>
      <w:r w:rsidR="004C44A7" w:rsidRPr="003D5C0C">
        <w:rPr>
          <w:rFonts w:ascii="Arial" w:hAnsi="Arial" w:cs="Arial"/>
          <w:color w:val="000000" w:themeColor="text1"/>
        </w:rPr>
        <w:t xml:space="preserve">n outcome </w:t>
      </w:r>
      <w:r w:rsidR="00DA3494" w:rsidRPr="003D5C0C">
        <w:rPr>
          <w:rFonts w:ascii="Arial" w:hAnsi="Arial" w:cs="Arial"/>
          <w:color w:val="000000" w:themeColor="text1"/>
        </w:rPr>
        <w:t>variable is</w:t>
      </w:r>
      <w:r w:rsidR="00C21857" w:rsidRPr="003D5C0C">
        <w:rPr>
          <w:rFonts w:ascii="Arial" w:hAnsi="Arial" w:cs="Arial"/>
          <w:color w:val="000000" w:themeColor="text1"/>
        </w:rPr>
        <w:t xml:space="preserve"> typically</w:t>
      </w:r>
      <w:r w:rsidR="00DA3494" w:rsidRPr="003D5C0C">
        <w:rPr>
          <w:rFonts w:ascii="Arial" w:hAnsi="Arial" w:cs="Arial"/>
          <w:color w:val="000000" w:themeColor="text1"/>
        </w:rPr>
        <w:t xml:space="preserve"> said to be elastic (inelastic) </w:t>
      </w:r>
      <w:r w:rsidR="004C44A7" w:rsidRPr="003D5C0C">
        <w:rPr>
          <w:rFonts w:ascii="Arial" w:hAnsi="Arial" w:cs="Arial"/>
          <w:color w:val="000000" w:themeColor="text1"/>
        </w:rPr>
        <w:t xml:space="preserve">to the change in </w:t>
      </w:r>
      <w:r w:rsidR="00C21857" w:rsidRPr="003D5C0C">
        <w:rPr>
          <w:rFonts w:ascii="Arial" w:hAnsi="Arial" w:cs="Arial"/>
          <w:color w:val="000000" w:themeColor="text1"/>
        </w:rPr>
        <w:t xml:space="preserve">an </w:t>
      </w:r>
      <w:r w:rsidR="004C44A7" w:rsidRPr="003D5C0C">
        <w:rPr>
          <w:rFonts w:ascii="Arial" w:hAnsi="Arial" w:cs="Arial"/>
          <w:color w:val="000000" w:themeColor="text1"/>
        </w:rPr>
        <w:t xml:space="preserve">independent variable </w:t>
      </w:r>
      <w:r w:rsidR="00DA3494" w:rsidRPr="003D5C0C">
        <w:rPr>
          <w:rFonts w:ascii="Arial" w:hAnsi="Arial" w:cs="Arial"/>
          <w:color w:val="000000" w:themeColor="text1"/>
        </w:rPr>
        <w:t>when the coefficient is equal to or greater than (less than) one.</w:t>
      </w:r>
    </w:p>
    <w:p w14:paraId="565E23D6" w14:textId="3C75A997" w:rsidR="00165B8D" w:rsidRPr="003D5C0C" w:rsidRDefault="00165B8D" w:rsidP="006633FA">
      <w:pPr>
        <w:spacing w:line="480" w:lineRule="auto"/>
        <w:jc w:val="both"/>
        <w:rPr>
          <w:rFonts w:ascii="Arial" w:hAnsi="Arial" w:cs="Arial"/>
          <w:color w:val="000000" w:themeColor="text1"/>
        </w:rPr>
      </w:pPr>
    </w:p>
    <w:p w14:paraId="60894569" w14:textId="4AB16057" w:rsidR="00FB76E5" w:rsidRPr="003D5C0C" w:rsidRDefault="003573A5" w:rsidP="006633FA">
      <w:pPr>
        <w:spacing w:line="480" w:lineRule="auto"/>
        <w:jc w:val="both"/>
        <w:rPr>
          <w:rFonts w:ascii="Arial" w:hAnsi="Arial" w:cs="Arial"/>
          <w:color w:val="000000" w:themeColor="text1"/>
        </w:rPr>
      </w:pPr>
      <w:r w:rsidRPr="003D5C0C">
        <w:rPr>
          <w:rFonts w:ascii="Arial" w:hAnsi="Arial" w:cs="Arial"/>
          <w:color w:val="000000" w:themeColor="text1"/>
        </w:rPr>
        <w:t>T</w:t>
      </w:r>
      <w:r w:rsidR="007A7648" w:rsidRPr="003D5C0C">
        <w:rPr>
          <w:rFonts w:ascii="Arial" w:hAnsi="Arial" w:cs="Arial"/>
          <w:color w:val="000000" w:themeColor="text1"/>
        </w:rPr>
        <w:t>o estimate the value of the unknown parameters in the log-log model we can undertake an Ordinary Least Squares (</w:t>
      </w:r>
      <w:r w:rsidR="00761B58" w:rsidRPr="003D5C0C">
        <w:rPr>
          <w:rFonts w:ascii="Arial" w:hAnsi="Arial" w:cs="Arial"/>
          <w:color w:val="000000" w:themeColor="text1"/>
        </w:rPr>
        <w:t>OLS</w:t>
      </w:r>
      <w:r w:rsidR="007A7648" w:rsidRPr="003D5C0C">
        <w:rPr>
          <w:rFonts w:ascii="Arial" w:hAnsi="Arial" w:cs="Arial"/>
          <w:color w:val="000000" w:themeColor="text1"/>
        </w:rPr>
        <w:t>)</w:t>
      </w:r>
      <w:r w:rsidR="00761B58" w:rsidRPr="003D5C0C">
        <w:rPr>
          <w:rFonts w:ascii="Arial" w:hAnsi="Arial" w:cs="Arial"/>
          <w:color w:val="000000" w:themeColor="text1"/>
        </w:rPr>
        <w:t xml:space="preserve"> </w:t>
      </w:r>
      <w:r w:rsidRPr="003D5C0C">
        <w:rPr>
          <w:rFonts w:ascii="Arial" w:hAnsi="Arial" w:cs="Arial"/>
          <w:color w:val="000000" w:themeColor="text1"/>
        </w:rPr>
        <w:t xml:space="preserve">regression from the above log-log model </w:t>
      </w:r>
      <w:r w:rsidR="007A7648" w:rsidRPr="003D5C0C">
        <w:rPr>
          <w:rFonts w:ascii="Arial" w:hAnsi="Arial" w:cs="Arial"/>
          <w:color w:val="000000" w:themeColor="text1"/>
        </w:rPr>
        <w:t xml:space="preserve">which </w:t>
      </w:r>
      <w:r w:rsidR="00761B58" w:rsidRPr="003D5C0C">
        <w:rPr>
          <w:rFonts w:ascii="Arial" w:hAnsi="Arial" w:cs="Arial"/>
          <w:color w:val="000000" w:themeColor="text1"/>
        </w:rPr>
        <w:t>yields</w:t>
      </w:r>
      <w:r w:rsidRPr="003D5C0C">
        <w:rPr>
          <w:rFonts w:ascii="Arial" w:hAnsi="Arial" w:cs="Arial"/>
          <w:color w:val="000000" w:themeColor="text1"/>
        </w:rPr>
        <w:t xml:space="preserve"> coefficient estimates</w:t>
      </w:r>
      <w:r w:rsidR="000E3B03" w:rsidRPr="003D5C0C">
        <w:rPr>
          <w:rFonts w:ascii="Arial" w:hAnsi="Arial" w:cs="Arial"/>
          <w:color w:val="000000" w:themeColor="text1"/>
        </w:rPr>
        <w:t xml:space="preserve"> </w:t>
      </w:r>
      <m:oMath>
        <m:sSub>
          <m:sSubPr>
            <m:ctrlPr>
              <w:rPr>
                <w:rFonts w:ascii="Cambria Math" w:hAnsi="Cambria Math" w:cs="Arial"/>
                <w:color w:val="000000" w:themeColor="text1"/>
              </w:rPr>
            </m:ctrlPr>
          </m:sSubPr>
          <m:e>
            <m:acc>
              <m:accPr>
                <m:ctrlPr>
                  <w:rPr>
                    <w:rFonts w:ascii="Cambria Math" w:hAnsi="Cambria Math" w:cs="Arial"/>
                    <w:color w:val="000000" w:themeColor="text1"/>
                  </w:rPr>
                </m:ctrlPr>
              </m:accPr>
              <m:e>
                <m:r>
                  <m:rPr>
                    <m:sty m:val="p"/>
                  </m:rPr>
                  <w:rPr>
                    <w:rFonts w:ascii="Cambria Math" w:hAnsi="Cambria Math" w:cs="Arial"/>
                    <w:color w:val="000000" w:themeColor="text1"/>
                  </w:rPr>
                  <m:t>β</m:t>
                </m:r>
              </m:e>
            </m:acc>
          </m:e>
          <m:sub>
            <m:r>
              <w:rPr>
                <w:rFonts w:ascii="Cambria Math" w:hAnsi="Cambria Math" w:cs="Arial"/>
                <w:color w:val="000000" w:themeColor="text1"/>
              </w:rPr>
              <m:t>1</m:t>
            </m:r>
          </m:sub>
        </m:sSub>
        <m:r>
          <w:rPr>
            <w:rFonts w:ascii="Cambria Math" w:hAnsi="Cambria Math" w:cs="Arial"/>
            <w:color w:val="000000" w:themeColor="text1"/>
          </w:rPr>
          <m:t>=0.88</m:t>
        </m:r>
      </m:oMath>
      <w:r w:rsidR="000E3B03" w:rsidRPr="003D5C0C">
        <w:rPr>
          <w:rFonts w:ascii="Arial" w:hAnsi="Arial" w:cs="Arial"/>
          <w:color w:val="000000" w:themeColor="text1"/>
        </w:rPr>
        <w:t xml:space="preserve"> (p-value = 0.00) and </w:t>
      </w:r>
      <m:oMath>
        <m:sSub>
          <m:sSubPr>
            <m:ctrlPr>
              <w:rPr>
                <w:rFonts w:ascii="Cambria Math" w:hAnsi="Cambria Math" w:cs="Arial"/>
                <w:color w:val="000000" w:themeColor="text1"/>
              </w:rPr>
            </m:ctrlPr>
          </m:sSubPr>
          <m:e>
            <m:acc>
              <m:accPr>
                <m:ctrlPr>
                  <w:rPr>
                    <w:rFonts w:ascii="Cambria Math" w:hAnsi="Cambria Math" w:cs="Arial"/>
                    <w:color w:val="000000" w:themeColor="text1"/>
                  </w:rPr>
                </m:ctrlPr>
              </m:accPr>
              <m:e>
                <m:r>
                  <m:rPr>
                    <m:sty m:val="p"/>
                  </m:rPr>
                  <w:rPr>
                    <w:rFonts w:ascii="Cambria Math" w:hAnsi="Cambria Math" w:cs="Arial"/>
                    <w:color w:val="000000" w:themeColor="text1"/>
                  </w:rPr>
                  <m:t>β</m:t>
                </m:r>
              </m:e>
            </m:acc>
          </m:e>
          <m:sub>
            <m:r>
              <w:rPr>
                <w:rFonts w:ascii="Cambria Math" w:hAnsi="Cambria Math" w:cs="Arial"/>
                <w:color w:val="000000" w:themeColor="text1"/>
              </w:rPr>
              <m:t>2</m:t>
            </m:r>
          </m:sub>
        </m:sSub>
        <m:r>
          <w:rPr>
            <w:rFonts w:ascii="Cambria Math" w:hAnsi="Cambria Math" w:cs="Arial"/>
            <w:color w:val="000000" w:themeColor="text1"/>
          </w:rPr>
          <m:t>=0.34</m:t>
        </m:r>
      </m:oMath>
      <w:r w:rsidR="000E3B03" w:rsidRPr="003D5C0C">
        <w:rPr>
          <w:rFonts w:ascii="Arial" w:hAnsi="Arial" w:cs="Arial"/>
          <w:color w:val="000000" w:themeColor="text1"/>
        </w:rPr>
        <w:t xml:space="preserve"> (p-value = 0.00).</w:t>
      </w:r>
      <w:r w:rsidR="00D737AC" w:rsidRPr="003D5C0C">
        <w:rPr>
          <w:rFonts w:ascii="Arial" w:hAnsi="Arial" w:cs="Arial"/>
          <w:color w:val="000000" w:themeColor="text1"/>
        </w:rPr>
        <w:t xml:space="preserve"> </w:t>
      </w:r>
      <w:r w:rsidR="000E3B03" w:rsidRPr="003D5C0C">
        <w:rPr>
          <w:rFonts w:ascii="Arial" w:hAnsi="Arial" w:cs="Arial"/>
          <w:color w:val="000000" w:themeColor="text1"/>
        </w:rPr>
        <w:t xml:space="preserve"> </w:t>
      </w:r>
      <w:r w:rsidR="00761B58" w:rsidRPr="003D5C0C">
        <w:rPr>
          <w:rFonts w:ascii="Arial" w:hAnsi="Arial" w:cs="Arial"/>
          <w:color w:val="000000" w:themeColor="text1"/>
        </w:rPr>
        <w:t xml:space="preserve">Both </w:t>
      </w:r>
      <w:r w:rsidR="007A7648" w:rsidRPr="003D5C0C">
        <w:rPr>
          <w:rFonts w:ascii="Arial" w:hAnsi="Arial" w:cs="Arial"/>
          <w:color w:val="000000" w:themeColor="text1"/>
        </w:rPr>
        <w:t xml:space="preserve">the </w:t>
      </w:r>
      <w:r w:rsidR="00761B58" w:rsidRPr="003D5C0C">
        <w:rPr>
          <w:rFonts w:ascii="Arial" w:hAnsi="Arial" w:cs="Arial"/>
          <w:color w:val="000000" w:themeColor="text1"/>
        </w:rPr>
        <w:t xml:space="preserve">log of </w:t>
      </w:r>
      <w:r w:rsidR="007A7648" w:rsidRPr="003D5C0C">
        <w:rPr>
          <w:rFonts w:ascii="Arial" w:hAnsi="Arial" w:cs="Arial"/>
          <w:color w:val="000000" w:themeColor="text1"/>
        </w:rPr>
        <w:t xml:space="preserve">the </w:t>
      </w:r>
      <w:r w:rsidR="00761B58" w:rsidRPr="003D5C0C">
        <w:rPr>
          <w:rFonts w:ascii="Arial" w:hAnsi="Arial" w:cs="Arial"/>
          <w:color w:val="000000" w:themeColor="text1"/>
        </w:rPr>
        <w:t xml:space="preserve">household </w:t>
      </w:r>
      <w:r w:rsidR="007A7648" w:rsidRPr="003D5C0C">
        <w:rPr>
          <w:rFonts w:ascii="Arial" w:hAnsi="Arial" w:cs="Arial"/>
          <w:color w:val="000000" w:themeColor="text1"/>
        </w:rPr>
        <w:t xml:space="preserve">growth </w:t>
      </w:r>
      <w:r w:rsidR="00761B58" w:rsidRPr="003D5C0C">
        <w:rPr>
          <w:rFonts w:ascii="Arial" w:hAnsi="Arial" w:cs="Arial"/>
          <w:color w:val="000000" w:themeColor="text1"/>
        </w:rPr>
        <w:t xml:space="preserve">projection and </w:t>
      </w:r>
      <w:r w:rsidR="007A7648" w:rsidRPr="003D5C0C">
        <w:rPr>
          <w:rFonts w:ascii="Arial" w:hAnsi="Arial" w:cs="Arial"/>
          <w:color w:val="000000" w:themeColor="text1"/>
        </w:rPr>
        <w:t xml:space="preserve">the </w:t>
      </w:r>
      <w:r w:rsidR="00761B58" w:rsidRPr="003D5C0C">
        <w:rPr>
          <w:rFonts w:ascii="Arial" w:hAnsi="Arial" w:cs="Arial"/>
          <w:color w:val="000000" w:themeColor="text1"/>
        </w:rPr>
        <w:t xml:space="preserve">log of affordability ratio are positively (and linearly) associated with the log of </w:t>
      </w:r>
      <w:r w:rsidR="007A7648" w:rsidRPr="003D5C0C">
        <w:rPr>
          <w:rFonts w:ascii="Arial" w:hAnsi="Arial" w:cs="Arial"/>
          <w:color w:val="000000" w:themeColor="text1"/>
        </w:rPr>
        <w:t xml:space="preserve">assessed </w:t>
      </w:r>
      <w:r w:rsidR="00761B58" w:rsidRPr="003D5C0C">
        <w:rPr>
          <w:rFonts w:ascii="Arial" w:hAnsi="Arial" w:cs="Arial"/>
          <w:color w:val="000000" w:themeColor="text1"/>
        </w:rPr>
        <w:t xml:space="preserve">housing </w:t>
      </w:r>
      <w:r w:rsidR="006E335E" w:rsidRPr="003D5C0C">
        <w:rPr>
          <w:rFonts w:ascii="Arial" w:eastAsiaTheme="minorHAnsi" w:hAnsi="Arial" w:cs="Arial"/>
          <w:color w:val="000000" w:themeColor="text1"/>
          <w:lang w:eastAsia="en-US"/>
        </w:rPr>
        <w:t>requirement</w:t>
      </w:r>
      <w:r w:rsidR="00761B58" w:rsidRPr="003D5C0C">
        <w:rPr>
          <w:rFonts w:ascii="Arial" w:hAnsi="Arial" w:cs="Arial"/>
          <w:color w:val="000000" w:themeColor="text1"/>
        </w:rPr>
        <w:t xml:space="preserve">. By holding all other inputs constant, a 1% increase in </w:t>
      </w:r>
      <w:r w:rsidR="007A7648" w:rsidRPr="003D5C0C">
        <w:rPr>
          <w:rFonts w:ascii="Arial" w:hAnsi="Arial" w:cs="Arial"/>
          <w:color w:val="000000" w:themeColor="text1"/>
        </w:rPr>
        <w:t xml:space="preserve">the </w:t>
      </w:r>
      <w:r w:rsidR="00761B58" w:rsidRPr="003D5C0C">
        <w:rPr>
          <w:rFonts w:ascii="Arial" w:hAnsi="Arial" w:cs="Arial"/>
          <w:color w:val="000000" w:themeColor="text1"/>
        </w:rPr>
        <w:t xml:space="preserve">household </w:t>
      </w:r>
      <w:r w:rsidR="007A7648" w:rsidRPr="003D5C0C">
        <w:rPr>
          <w:rFonts w:ascii="Arial" w:hAnsi="Arial" w:cs="Arial"/>
          <w:color w:val="000000" w:themeColor="text1"/>
        </w:rPr>
        <w:t xml:space="preserve">growth </w:t>
      </w:r>
      <w:r w:rsidR="00761B58" w:rsidRPr="003D5C0C">
        <w:rPr>
          <w:rFonts w:ascii="Arial" w:hAnsi="Arial" w:cs="Arial"/>
          <w:color w:val="000000" w:themeColor="text1"/>
        </w:rPr>
        <w:t>projection will increase</w:t>
      </w:r>
      <w:r w:rsidR="007A7648" w:rsidRPr="003D5C0C">
        <w:rPr>
          <w:rFonts w:ascii="Arial" w:hAnsi="Arial" w:cs="Arial"/>
          <w:color w:val="000000" w:themeColor="text1"/>
        </w:rPr>
        <w:t xml:space="preserve"> the assessment of</w:t>
      </w:r>
      <w:r w:rsidR="00761B58" w:rsidRPr="003D5C0C">
        <w:rPr>
          <w:rFonts w:ascii="Arial" w:hAnsi="Arial" w:cs="Arial"/>
          <w:color w:val="000000" w:themeColor="text1"/>
        </w:rPr>
        <w:t xml:space="preserve"> housing </w:t>
      </w:r>
      <w:r w:rsidR="006E335E" w:rsidRPr="003D5C0C">
        <w:rPr>
          <w:rFonts w:ascii="Arial" w:eastAsiaTheme="minorHAnsi" w:hAnsi="Arial" w:cs="Arial"/>
          <w:color w:val="000000" w:themeColor="text1"/>
          <w:lang w:eastAsia="en-US"/>
        </w:rPr>
        <w:t xml:space="preserve">requirement </w:t>
      </w:r>
      <w:r w:rsidR="00761B58" w:rsidRPr="003D5C0C">
        <w:rPr>
          <w:rFonts w:ascii="Arial" w:hAnsi="Arial" w:cs="Arial"/>
          <w:color w:val="000000" w:themeColor="text1"/>
        </w:rPr>
        <w:t xml:space="preserve">by </w:t>
      </w:r>
      <w:r w:rsidR="00602551">
        <w:rPr>
          <w:rFonts w:ascii="Arial" w:hAnsi="Arial" w:cs="Arial"/>
          <w:color w:val="000000" w:themeColor="text1"/>
        </w:rPr>
        <w:t>0.88</w:t>
      </w:r>
      <w:r w:rsidR="00761B58" w:rsidRPr="003D5C0C">
        <w:rPr>
          <w:rFonts w:ascii="Arial" w:hAnsi="Arial" w:cs="Arial"/>
          <w:color w:val="000000" w:themeColor="text1"/>
        </w:rPr>
        <w:t xml:space="preserve">%. </w:t>
      </w:r>
      <w:r w:rsidR="00D737AC" w:rsidRPr="003D5C0C">
        <w:rPr>
          <w:rFonts w:ascii="Arial" w:hAnsi="Arial" w:cs="Arial"/>
          <w:color w:val="000000" w:themeColor="text1"/>
        </w:rPr>
        <w:t xml:space="preserve"> </w:t>
      </w:r>
      <w:r w:rsidR="007A7648" w:rsidRPr="003D5C0C">
        <w:rPr>
          <w:rFonts w:ascii="Arial" w:hAnsi="Arial" w:cs="Arial"/>
          <w:color w:val="000000" w:themeColor="text1"/>
        </w:rPr>
        <w:t xml:space="preserve">Similarly, </w:t>
      </w:r>
      <w:r w:rsidR="00761B58" w:rsidRPr="003D5C0C">
        <w:rPr>
          <w:rFonts w:ascii="Arial" w:hAnsi="Arial" w:cs="Arial"/>
          <w:color w:val="000000" w:themeColor="text1"/>
        </w:rPr>
        <w:t xml:space="preserve">by holding all other inputs constant, a 1% increase in </w:t>
      </w:r>
      <w:r w:rsidR="007A7648" w:rsidRPr="003D5C0C">
        <w:rPr>
          <w:rFonts w:ascii="Arial" w:hAnsi="Arial" w:cs="Arial"/>
          <w:color w:val="000000" w:themeColor="text1"/>
        </w:rPr>
        <w:t xml:space="preserve">the </w:t>
      </w:r>
      <w:r w:rsidR="00761B58" w:rsidRPr="003D5C0C">
        <w:rPr>
          <w:rFonts w:ascii="Arial" w:hAnsi="Arial" w:cs="Arial"/>
          <w:color w:val="000000" w:themeColor="text1"/>
        </w:rPr>
        <w:t>affordability ratio increase</w:t>
      </w:r>
      <w:r w:rsidR="007A7648" w:rsidRPr="003D5C0C">
        <w:rPr>
          <w:rFonts w:ascii="Arial" w:hAnsi="Arial" w:cs="Arial"/>
          <w:color w:val="000000" w:themeColor="text1"/>
        </w:rPr>
        <w:t>s the assessment of</w:t>
      </w:r>
      <w:r w:rsidR="00761B58" w:rsidRPr="003D5C0C">
        <w:rPr>
          <w:rFonts w:ascii="Arial" w:hAnsi="Arial" w:cs="Arial"/>
          <w:color w:val="000000" w:themeColor="text1"/>
        </w:rPr>
        <w:t xml:space="preserve"> housing </w:t>
      </w:r>
      <w:r w:rsidR="006E335E" w:rsidRPr="003D5C0C">
        <w:rPr>
          <w:rFonts w:ascii="Arial" w:eastAsiaTheme="minorHAnsi" w:hAnsi="Arial" w:cs="Arial"/>
          <w:color w:val="000000" w:themeColor="text1"/>
          <w:lang w:eastAsia="en-US"/>
        </w:rPr>
        <w:t xml:space="preserve">requirement </w:t>
      </w:r>
      <w:r w:rsidR="00761B58" w:rsidRPr="003D5C0C">
        <w:rPr>
          <w:rFonts w:ascii="Arial" w:hAnsi="Arial" w:cs="Arial"/>
          <w:color w:val="000000" w:themeColor="text1"/>
        </w:rPr>
        <w:t xml:space="preserve">by </w:t>
      </w:r>
      <w:r w:rsidR="00602551">
        <w:rPr>
          <w:rFonts w:ascii="Arial" w:hAnsi="Arial" w:cs="Arial"/>
          <w:color w:val="000000" w:themeColor="text1"/>
        </w:rPr>
        <w:t>0.34</w:t>
      </w:r>
      <w:r w:rsidR="00761B58" w:rsidRPr="003D5C0C">
        <w:rPr>
          <w:rFonts w:ascii="Arial" w:hAnsi="Arial" w:cs="Arial"/>
          <w:color w:val="000000" w:themeColor="text1"/>
        </w:rPr>
        <w:t>%.</w:t>
      </w:r>
      <w:r w:rsidR="00D737AC" w:rsidRPr="003D5C0C">
        <w:rPr>
          <w:rFonts w:ascii="Arial" w:hAnsi="Arial" w:cs="Arial"/>
          <w:color w:val="000000" w:themeColor="text1"/>
        </w:rPr>
        <w:t xml:space="preserve"> </w:t>
      </w:r>
      <w:r w:rsidR="00761B58" w:rsidRPr="003D5C0C">
        <w:rPr>
          <w:rFonts w:ascii="Arial" w:hAnsi="Arial" w:cs="Arial"/>
          <w:color w:val="000000" w:themeColor="text1"/>
        </w:rPr>
        <w:t xml:space="preserve"> </w:t>
      </w:r>
      <w:r w:rsidR="007A7648" w:rsidRPr="003D5C0C">
        <w:rPr>
          <w:rFonts w:ascii="Arial" w:hAnsi="Arial" w:cs="Arial"/>
          <w:color w:val="000000" w:themeColor="text1"/>
        </w:rPr>
        <w:t xml:space="preserve">The Standard Method’s assessment of housing </w:t>
      </w:r>
      <w:r w:rsidR="006E335E" w:rsidRPr="003D5C0C">
        <w:rPr>
          <w:rFonts w:ascii="Arial" w:eastAsiaTheme="minorHAnsi" w:hAnsi="Arial" w:cs="Arial"/>
          <w:color w:val="000000" w:themeColor="text1"/>
          <w:lang w:eastAsia="en-US"/>
        </w:rPr>
        <w:t xml:space="preserve">requirement </w:t>
      </w:r>
      <w:r w:rsidR="007A7648" w:rsidRPr="003D5C0C">
        <w:rPr>
          <w:rFonts w:ascii="Arial" w:hAnsi="Arial" w:cs="Arial"/>
          <w:color w:val="000000" w:themeColor="text1"/>
        </w:rPr>
        <w:t>is</w:t>
      </w:r>
      <w:r w:rsidR="00761B58" w:rsidRPr="003D5C0C">
        <w:rPr>
          <w:rFonts w:ascii="Arial" w:hAnsi="Arial" w:cs="Arial"/>
          <w:color w:val="000000" w:themeColor="text1"/>
        </w:rPr>
        <w:t xml:space="preserve"> more </w:t>
      </w:r>
      <w:r w:rsidR="007A7648" w:rsidRPr="003D5C0C">
        <w:rPr>
          <w:rFonts w:ascii="Arial" w:hAnsi="Arial" w:cs="Arial"/>
          <w:color w:val="000000" w:themeColor="text1"/>
        </w:rPr>
        <w:t>responsive (</w:t>
      </w:r>
      <w:r w:rsidR="00761B58" w:rsidRPr="003D5C0C">
        <w:rPr>
          <w:rFonts w:ascii="Arial" w:hAnsi="Arial" w:cs="Arial"/>
          <w:color w:val="000000" w:themeColor="text1"/>
        </w:rPr>
        <w:t>elastic</w:t>
      </w:r>
      <w:r w:rsidR="007A7648" w:rsidRPr="003D5C0C">
        <w:rPr>
          <w:rFonts w:ascii="Arial" w:hAnsi="Arial" w:cs="Arial"/>
          <w:color w:val="000000" w:themeColor="text1"/>
        </w:rPr>
        <w:t>)</w:t>
      </w:r>
      <w:r w:rsidR="00761B58" w:rsidRPr="003D5C0C">
        <w:rPr>
          <w:rFonts w:ascii="Arial" w:hAnsi="Arial" w:cs="Arial"/>
          <w:color w:val="000000" w:themeColor="text1"/>
        </w:rPr>
        <w:t xml:space="preserve"> </w:t>
      </w:r>
      <w:r w:rsidR="004C44A7" w:rsidRPr="003D5C0C">
        <w:rPr>
          <w:rFonts w:ascii="Arial" w:hAnsi="Arial" w:cs="Arial"/>
          <w:color w:val="000000" w:themeColor="text1"/>
        </w:rPr>
        <w:t xml:space="preserve">to the </w:t>
      </w:r>
      <w:r w:rsidR="007A7648" w:rsidRPr="003D5C0C">
        <w:rPr>
          <w:rFonts w:ascii="Arial" w:hAnsi="Arial" w:cs="Arial"/>
          <w:color w:val="000000" w:themeColor="text1"/>
        </w:rPr>
        <w:t xml:space="preserve">projection of </w:t>
      </w:r>
      <w:r w:rsidR="004C44A7" w:rsidRPr="003D5C0C">
        <w:rPr>
          <w:rFonts w:ascii="Arial" w:hAnsi="Arial" w:cs="Arial"/>
          <w:color w:val="000000" w:themeColor="text1"/>
        </w:rPr>
        <w:t xml:space="preserve">household growth </w:t>
      </w:r>
      <w:r w:rsidR="00761B58" w:rsidRPr="003D5C0C">
        <w:rPr>
          <w:rFonts w:ascii="Arial" w:hAnsi="Arial" w:cs="Arial"/>
          <w:color w:val="000000" w:themeColor="text1"/>
        </w:rPr>
        <w:t xml:space="preserve">than </w:t>
      </w:r>
      <w:r w:rsidR="004C44A7" w:rsidRPr="003D5C0C">
        <w:rPr>
          <w:rFonts w:ascii="Arial" w:hAnsi="Arial" w:cs="Arial"/>
          <w:color w:val="000000" w:themeColor="text1"/>
        </w:rPr>
        <w:t xml:space="preserve">the </w:t>
      </w:r>
      <w:r w:rsidR="00761B58" w:rsidRPr="003D5C0C">
        <w:rPr>
          <w:rFonts w:ascii="Arial" w:hAnsi="Arial" w:cs="Arial"/>
          <w:color w:val="000000" w:themeColor="text1"/>
        </w:rPr>
        <w:t xml:space="preserve">affordability ratio. </w:t>
      </w:r>
    </w:p>
    <w:p w14:paraId="6D9FDFD3" w14:textId="77777777" w:rsidR="0017176D" w:rsidRPr="003D5C0C" w:rsidRDefault="0017176D" w:rsidP="006633FA">
      <w:pPr>
        <w:spacing w:line="480" w:lineRule="auto"/>
        <w:jc w:val="both"/>
        <w:rPr>
          <w:rFonts w:ascii="Arial" w:hAnsi="Arial" w:cs="Arial"/>
          <w:color w:val="000000" w:themeColor="text1"/>
        </w:rPr>
      </w:pPr>
    </w:p>
    <w:p w14:paraId="52E91738" w14:textId="74F5C9DA" w:rsidR="00C80A28" w:rsidRPr="003D5C0C" w:rsidRDefault="00FB76E5"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The relationship between </w:t>
      </w:r>
      <w:r w:rsidR="007A7648" w:rsidRPr="003D5C0C">
        <w:rPr>
          <w:rFonts w:ascii="Arial" w:hAnsi="Arial" w:cs="Arial"/>
          <w:color w:val="000000" w:themeColor="text1"/>
        </w:rPr>
        <w:t xml:space="preserve">the assessment of </w:t>
      </w:r>
      <w:r w:rsidRPr="003D5C0C">
        <w:rPr>
          <w:rFonts w:ascii="Arial" w:hAnsi="Arial" w:cs="Arial"/>
          <w:color w:val="000000" w:themeColor="text1"/>
        </w:rPr>
        <w:t xml:space="preserve">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rPr>
        <w:t xml:space="preserve">with </w:t>
      </w:r>
      <w:r w:rsidR="007A7648" w:rsidRPr="003D5C0C">
        <w:rPr>
          <w:rFonts w:ascii="Arial" w:hAnsi="Arial" w:cs="Arial"/>
          <w:color w:val="000000" w:themeColor="text1"/>
        </w:rPr>
        <w:t xml:space="preserve">the projected growth in </w:t>
      </w:r>
      <w:r w:rsidRPr="003D5C0C">
        <w:rPr>
          <w:rFonts w:ascii="Arial" w:hAnsi="Arial" w:cs="Arial"/>
          <w:color w:val="000000" w:themeColor="text1"/>
        </w:rPr>
        <w:t>household</w:t>
      </w:r>
      <w:r w:rsidR="007A7648" w:rsidRPr="003D5C0C">
        <w:rPr>
          <w:rFonts w:ascii="Arial" w:hAnsi="Arial" w:cs="Arial"/>
          <w:color w:val="000000" w:themeColor="text1"/>
        </w:rPr>
        <w:t>s</w:t>
      </w:r>
      <w:r w:rsidRPr="003D5C0C">
        <w:rPr>
          <w:rFonts w:ascii="Arial" w:hAnsi="Arial" w:cs="Arial"/>
          <w:color w:val="000000" w:themeColor="text1"/>
        </w:rPr>
        <w:t xml:space="preserve"> and affordability ratio can be </w:t>
      </w:r>
      <w:r w:rsidR="000B7EF9" w:rsidRPr="003D5C0C">
        <w:rPr>
          <w:rFonts w:ascii="Arial" w:hAnsi="Arial" w:cs="Arial"/>
          <w:color w:val="000000" w:themeColor="text1"/>
        </w:rPr>
        <w:t>illustrate</w:t>
      </w:r>
      <w:r w:rsidRPr="003D5C0C">
        <w:rPr>
          <w:rFonts w:ascii="Arial" w:hAnsi="Arial" w:cs="Arial"/>
          <w:color w:val="000000" w:themeColor="text1"/>
        </w:rPr>
        <w:t>d in a two-by-two matrix</w:t>
      </w:r>
      <w:r w:rsidR="000C4180" w:rsidRPr="003D5C0C">
        <w:rPr>
          <w:rFonts w:ascii="Arial" w:hAnsi="Arial" w:cs="Arial"/>
          <w:color w:val="000000" w:themeColor="text1"/>
        </w:rPr>
        <w:t xml:space="preserve"> </w:t>
      </w:r>
      <w:r w:rsidR="007A7648" w:rsidRPr="003D5C0C">
        <w:rPr>
          <w:rFonts w:ascii="Arial" w:hAnsi="Arial" w:cs="Arial"/>
          <w:color w:val="000000" w:themeColor="text1"/>
        </w:rPr>
        <w:t>as set out in</w:t>
      </w:r>
      <w:r w:rsidR="000C4180" w:rsidRPr="003D5C0C">
        <w:rPr>
          <w:rFonts w:ascii="Arial" w:hAnsi="Arial" w:cs="Arial"/>
          <w:color w:val="000000" w:themeColor="text1"/>
        </w:rPr>
        <w:t xml:space="preserve"> Figure 5</w:t>
      </w:r>
      <w:r w:rsidRPr="003D5C0C">
        <w:rPr>
          <w:rFonts w:ascii="Arial" w:hAnsi="Arial" w:cs="Arial"/>
          <w:color w:val="000000" w:themeColor="text1"/>
        </w:rPr>
        <w:t xml:space="preserve">. </w:t>
      </w:r>
      <w:r w:rsidR="00D737AC" w:rsidRPr="003D5C0C">
        <w:rPr>
          <w:rFonts w:ascii="Arial" w:hAnsi="Arial" w:cs="Arial"/>
          <w:color w:val="000000" w:themeColor="text1"/>
        </w:rPr>
        <w:t xml:space="preserve"> </w:t>
      </w:r>
      <w:r w:rsidR="00D031FD" w:rsidRPr="003D5C0C">
        <w:rPr>
          <w:rFonts w:ascii="Arial" w:hAnsi="Arial" w:cs="Arial"/>
          <w:color w:val="000000" w:themeColor="text1"/>
        </w:rPr>
        <w:t>The matrix c</w:t>
      </w:r>
      <w:r w:rsidR="000B7EF9" w:rsidRPr="003D5C0C">
        <w:rPr>
          <w:rFonts w:ascii="Arial" w:hAnsi="Arial" w:cs="Arial"/>
          <w:color w:val="000000" w:themeColor="text1"/>
        </w:rPr>
        <w:t>onsider</w:t>
      </w:r>
      <w:r w:rsidR="00D031FD" w:rsidRPr="003D5C0C">
        <w:rPr>
          <w:rFonts w:ascii="Arial" w:hAnsi="Arial" w:cs="Arial"/>
          <w:color w:val="000000" w:themeColor="text1"/>
        </w:rPr>
        <w:t>s</w:t>
      </w:r>
      <w:r w:rsidR="000B7EF9" w:rsidRPr="003D5C0C">
        <w:rPr>
          <w:rFonts w:ascii="Arial" w:hAnsi="Arial" w:cs="Arial"/>
          <w:color w:val="000000" w:themeColor="text1"/>
        </w:rPr>
        <w:t xml:space="preserve"> </w:t>
      </w:r>
      <w:r w:rsidR="00F22993" w:rsidRPr="003D5C0C">
        <w:rPr>
          <w:rFonts w:ascii="Arial" w:hAnsi="Arial" w:cs="Arial"/>
          <w:color w:val="000000" w:themeColor="text1"/>
        </w:rPr>
        <w:t>low and high level</w:t>
      </w:r>
      <w:r w:rsidR="007A7648" w:rsidRPr="003D5C0C">
        <w:rPr>
          <w:rFonts w:ascii="Arial" w:hAnsi="Arial" w:cs="Arial"/>
          <w:color w:val="000000" w:themeColor="text1"/>
        </w:rPr>
        <w:t>s</w:t>
      </w:r>
      <w:r w:rsidR="00F22993" w:rsidRPr="003D5C0C">
        <w:rPr>
          <w:rFonts w:ascii="Arial" w:hAnsi="Arial" w:cs="Arial"/>
          <w:color w:val="000000" w:themeColor="text1"/>
        </w:rPr>
        <w:t xml:space="preserve"> of </w:t>
      </w:r>
      <w:r w:rsidR="007A7648" w:rsidRPr="003D5C0C">
        <w:rPr>
          <w:rFonts w:ascii="Arial" w:hAnsi="Arial" w:cs="Arial"/>
          <w:color w:val="000000" w:themeColor="text1"/>
        </w:rPr>
        <w:t xml:space="preserve">the </w:t>
      </w:r>
      <w:r w:rsidR="00F22993" w:rsidRPr="003D5C0C">
        <w:rPr>
          <w:rFonts w:ascii="Arial" w:hAnsi="Arial" w:cs="Arial"/>
          <w:color w:val="000000" w:themeColor="text1"/>
        </w:rPr>
        <w:t>affordability ratio</w:t>
      </w:r>
      <w:r w:rsidR="000B7EF9" w:rsidRPr="003D5C0C">
        <w:rPr>
          <w:rFonts w:ascii="Arial" w:hAnsi="Arial" w:cs="Arial"/>
          <w:color w:val="000000" w:themeColor="text1"/>
        </w:rPr>
        <w:t xml:space="preserve"> in </w:t>
      </w:r>
      <w:r w:rsidR="0059122A" w:rsidRPr="003D5C0C">
        <w:rPr>
          <w:rFonts w:ascii="Arial" w:hAnsi="Arial" w:cs="Arial"/>
          <w:color w:val="000000" w:themeColor="text1"/>
        </w:rPr>
        <w:t xml:space="preserve">the </w:t>
      </w:r>
      <w:r w:rsidR="000B7EF9" w:rsidRPr="003D5C0C">
        <w:rPr>
          <w:rFonts w:ascii="Arial" w:hAnsi="Arial" w:cs="Arial"/>
          <w:color w:val="000000" w:themeColor="text1"/>
        </w:rPr>
        <w:t xml:space="preserve">row vector and </w:t>
      </w:r>
      <w:r w:rsidR="00F22993" w:rsidRPr="003D5C0C">
        <w:rPr>
          <w:rFonts w:ascii="Arial" w:hAnsi="Arial" w:cs="Arial"/>
          <w:color w:val="000000" w:themeColor="text1"/>
        </w:rPr>
        <w:t>low and high level</w:t>
      </w:r>
      <w:r w:rsidR="0059122A" w:rsidRPr="003D5C0C">
        <w:rPr>
          <w:rFonts w:ascii="Arial" w:hAnsi="Arial" w:cs="Arial"/>
          <w:color w:val="000000" w:themeColor="text1"/>
        </w:rPr>
        <w:t xml:space="preserve">s of projected </w:t>
      </w:r>
      <w:r w:rsidR="00F22993" w:rsidRPr="003D5C0C">
        <w:rPr>
          <w:rFonts w:ascii="Arial" w:hAnsi="Arial" w:cs="Arial"/>
          <w:color w:val="000000" w:themeColor="text1"/>
        </w:rPr>
        <w:t>household</w:t>
      </w:r>
      <w:r w:rsidR="0059122A" w:rsidRPr="003D5C0C">
        <w:rPr>
          <w:rFonts w:ascii="Arial" w:hAnsi="Arial" w:cs="Arial"/>
          <w:color w:val="000000" w:themeColor="text1"/>
        </w:rPr>
        <w:t xml:space="preserve"> growth in the </w:t>
      </w:r>
      <w:r w:rsidR="000B7EF9" w:rsidRPr="003D5C0C">
        <w:rPr>
          <w:rFonts w:ascii="Arial" w:hAnsi="Arial" w:cs="Arial"/>
          <w:color w:val="000000" w:themeColor="text1"/>
        </w:rPr>
        <w:t>column vecto</w:t>
      </w:r>
      <w:r w:rsidR="00F22993" w:rsidRPr="003D5C0C">
        <w:rPr>
          <w:rFonts w:ascii="Arial" w:hAnsi="Arial" w:cs="Arial"/>
          <w:color w:val="000000" w:themeColor="text1"/>
        </w:rPr>
        <w:t>r</w:t>
      </w:r>
      <w:r w:rsidR="00D031FD" w:rsidRPr="003D5C0C">
        <w:rPr>
          <w:rFonts w:ascii="Arial" w:hAnsi="Arial" w:cs="Arial"/>
          <w:color w:val="000000" w:themeColor="text1"/>
        </w:rPr>
        <w:t>.</w:t>
      </w:r>
      <w:r w:rsidR="00F22993" w:rsidRPr="003D5C0C">
        <w:rPr>
          <w:rFonts w:ascii="Arial" w:hAnsi="Arial" w:cs="Arial"/>
          <w:color w:val="000000" w:themeColor="text1"/>
        </w:rPr>
        <w:t xml:space="preserve"> </w:t>
      </w:r>
      <w:r w:rsidR="00D737AC" w:rsidRPr="003D5C0C">
        <w:rPr>
          <w:rFonts w:ascii="Arial" w:hAnsi="Arial" w:cs="Arial"/>
          <w:color w:val="000000" w:themeColor="text1"/>
        </w:rPr>
        <w:t xml:space="preserve"> </w:t>
      </w:r>
      <w:r w:rsidR="00D031FD" w:rsidRPr="003D5C0C">
        <w:rPr>
          <w:rFonts w:ascii="Arial" w:hAnsi="Arial" w:cs="Arial"/>
          <w:color w:val="000000" w:themeColor="text1"/>
        </w:rPr>
        <w:t>I</w:t>
      </w:r>
      <w:r w:rsidR="00F22993" w:rsidRPr="003D5C0C">
        <w:rPr>
          <w:rFonts w:ascii="Arial" w:hAnsi="Arial" w:cs="Arial"/>
          <w:color w:val="000000" w:themeColor="text1"/>
        </w:rPr>
        <w:t xml:space="preserve">t </w:t>
      </w:r>
      <w:r w:rsidR="00596FC8" w:rsidRPr="003D5C0C">
        <w:rPr>
          <w:rFonts w:ascii="Arial" w:hAnsi="Arial" w:cs="Arial"/>
          <w:color w:val="000000" w:themeColor="text1"/>
        </w:rPr>
        <w:t xml:space="preserve">follows that the Standard Method of housing </w:t>
      </w:r>
      <w:r w:rsidR="006E335E" w:rsidRPr="003D5C0C">
        <w:rPr>
          <w:rFonts w:ascii="Arial" w:eastAsiaTheme="minorHAnsi" w:hAnsi="Arial" w:cs="Arial"/>
          <w:color w:val="000000" w:themeColor="text1"/>
          <w:lang w:eastAsia="en-US"/>
        </w:rPr>
        <w:t xml:space="preserve">requirement </w:t>
      </w:r>
      <w:r w:rsidR="00596FC8" w:rsidRPr="003D5C0C">
        <w:rPr>
          <w:rFonts w:ascii="Arial" w:hAnsi="Arial" w:cs="Arial"/>
          <w:color w:val="000000" w:themeColor="text1"/>
        </w:rPr>
        <w:t xml:space="preserve">will be </w:t>
      </w:r>
      <w:r w:rsidR="00D031FD" w:rsidRPr="003D5C0C">
        <w:rPr>
          <w:rFonts w:ascii="Arial" w:hAnsi="Arial" w:cs="Arial"/>
          <w:color w:val="000000" w:themeColor="text1"/>
        </w:rPr>
        <w:t xml:space="preserve">relatively </w:t>
      </w:r>
      <w:r w:rsidR="00F22993" w:rsidRPr="003D5C0C">
        <w:rPr>
          <w:rFonts w:ascii="Arial" w:hAnsi="Arial" w:cs="Arial"/>
          <w:color w:val="000000" w:themeColor="text1"/>
        </w:rPr>
        <w:t>high</w:t>
      </w:r>
      <w:r w:rsidR="00596FC8" w:rsidRPr="003D5C0C">
        <w:rPr>
          <w:rFonts w:ascii="Arial" w:hAnsi="Arial" w:cs="Arial"/>
          <w:color w:val="000000" w:themeColor="text1"/>
        </w:rPr>
        <w:t xml:space="preserve"> when the</w:t>
      </w:r>
      <w:r w:rsidR="00F22993" w:rsidRPr="003D5C0C">
        <w:rPr>
          <w:rFonts w:ascii="Arial" w:hAnsi="Arial" w:cs="Arial"/>
          <w:color w:val="000000" w:themeColor="text1"/>
        </w:rPr>
        <w:t xml:space="preserve"> </w:t>
      </w:r>
      <w:r w:rsidR="00596FC8" w:rsidRPr="003D5C0C">
        <w:rPr>
          <w:rFonts w:ascii="Arial" w:hAnsi="Arial" w:cs="Arial"/>
          <w:color w:val="000000" w:themeColor="text1"/>
        </w:rPr>
        <w:t xml:space="preserve">growth in projected </w:t>
      </w:r>
      <w:r w:rsidR="00F22993" w:rsidRPr="003D5C0C">
        <w:rPr>
          <w:rFonts w:ascii="Arial" w:hAnsi="Arial" w:cs="Arial"/>
          <w:color w:val="000000" w:themeColor="text1"/>
        </w:rPr>
        <w:t>household</w:t>
      </w:r>
      <w:r w:rsidR="00596FC8" w:rsidRPr="003D5C0C">
        <w:rPr>
          <w:rFonts w:ascii="Arial" w:hAnsi="Arial" w:cs="Arial"/>
          <w:color w:val="000000" w:themeColor="text1"/>
        </w:rPr>
        <w:t xml:space="preserve">s </w:t>
      </w:r>
      <w:r w:rsidR="00F22993" w:rsidRPr="003D5C0C">
        <w:rPr>
          <w:rFonts w:ascii="Arial" w:hAnsi="Arial" w:cs="Arial"/>
          <w:color w:val="000000" w:themeColor="text1"/>
        </w:rPr>
        <w:t xml:space="preserve">and </w:t>
      </w:r>
      <w:r w:rsidR="00596FC8" w:rsidRPr="003D5C0C">
        <w:rPr>
          <w:rFonts w:ascii="Arial" w:hAnsi="Arial" w:cs="Arial"/>
          <w:color w:val="000000" w:themeColor="text1"/>
        </w:rPr>
        <w:t xml:space="preserve">the </w:t>
      </w:r>
      <w:r w:rsidR="00F22993" w:rsidRPr="003D5C0C">
        <w:rPr>
          <w:rFonts w:ascii="Arial" w:hAnsi="Arial" w:cs="Arial"/>
          <w:color w:val="000000" w:themeColor="text1"/>
        </w:rPr>
        <w:t>affordability ratio are high</w:t>
      </w:r>
      <w:r w:rsidR="00596FC8" w:rsidRPr="003D5C0C">
        <w:rPr>
          <w:rFonts w:ascii="Arial" w:hAnsi="Arial" w:cs="Arial"/>
          <w:color w:val="000000" w:themeColor="text1"/>
        </w:rPr>
        <w:t xml:space="preserve"> in combination</w:t>
      </w:r>
      <w:r w:rsidR="00D031FD" w:rsidRPr="003D5C0C">
        <w:rPr>
          <w:rFonts w:ascii="Arial" w:hAnsi="Arial" w:cs="Arial"/>
          <w:color w:val="000000" w:themeColor="text1"/>
        </w:rPr>
        <w:t xml:space="preserve"> (denote H-H</w:t>
      </w:r>
      <w:r w:rsidR="00596FC8" w:rsidRPr="003D5C0C">
        <w:rPr>
          <w:rFonts w:ascii="Arial" w:hAnsi="Arial" w:cs="Arial"/>
          <w:color w:val="000000" w:themeColor="text1"/>
        </w:rPr>
        <w:t xml:space="preserve">).  Conversely, assessed housing </w:t>
      </w:r>
      <w:r w:rsidR="006E335E" w:rsidRPr="003D5C0C">
        <w:rPr>
          <w:rFonts w:ascii="Arial" w:eastAsiaTheme="minorHAnsi" w:hAnsi="Arial" w:cs="Arial"/>
          <w:color w:val="000000" w:themeColor="text1"/>
          <w:lang w:eastAsia="en-US"/>
        </w:rPr>
        <w:t xml:space="preserve">requirement </w:t>
      </w:r>
      <w:r w:rsidR="00596FC8" w:rsidRPr="003D5C0C">
        <w:rPr>
          <w:rFonts w:ascii="Arial" w:hAnsi="Arial" w:cs="Arial"/>
          <w:color w:val="000000" w:themeColor="text1"/>
        </w:rPr>
        <w:t xml:space="preserve">will be </w:t>
      </w:r>
      <w:r w:rsidR="00D031FD" w:rsidRPr="003D5C0C">
        <w:rPr>
          <w:rFonts w:ascii="Arial" w:hAnsi="Arial" w:cs="Arial"/>
          <w:color w:val="000000" w:themeColor="text1"/>
        </w:rPr>
        <w:t xml:space="preserve">relatively low </w:t>
      </w:r>
      <w:r w:rsidR="00596FC8" w:rsidRPr="003D5C0C">
        <w:rPr>
          <w:rFonts w:ascii="Arial" w:hAnsi="Arial" w:cs="Arial"/>
          <w:color w:val="000000" w:themeColor="text1"/>
        </w:rPr>
        <w:t>when both the</w:t>
      </w:r>
      <w:r w:rsidR="00D031FD" w:rsidRPr="003D5C0C">
        <w:rPr>
          <w:rFonts w:ascii="Arial" w:hAnsi="Arial" w:cs="Arial"/>
          <w:color w:val="000000" w:themeColor="text1"/>
        </w:rPr>
        <w:t xml:space="preserve"> </w:t>
      </w:r>
      <w:r w:rsidR="00596FC8" w:rsidRPr="003D5C0C">
        <w:rPr>
          <w:rFonts w:ascii="Arial" w:hAnsi="Arial" w:cs="Arial"/>
          <w:color w:val="000000" w:themeColor="text1"/>
        </w:rPr>
        <w:t xml:space="preserve">projected </w:t>
      </w:r>
      <w:r w:rsidR="00D031FD" w:rsidRPr="003D5C0C">
        <w:rPr>
          <w:rFonts w:ascii="Arial" w:hAnsi="Arial" w:cs="Arial"/>
          <w:color w:val="000000" w:themeColor="text1"/>
        </w:rPr>
        <w:t xml:space="preserve">growth </w:t>
      </w:r>
      <w:r w:rsidR="00596FC8" w:rsidRPr="003D5C0C">
        <w:rPr>
          <w:rFonts w:ascii="Arial" w:hAnsi="Arial" w:cs="Arial"/>
          <w:color w:val="000000" w:themeColor="text1"/>
        </w:rPr>
        <w:t xml:space="preserve">in household formation </w:t>
      </w:r>
      <w:r w:rsidR="00D031FD" w:rsidRPr="003D5C0C">
        <w:rPr>
          <w:rFonts w:ascii="Arial" w:hAnsi="Arial" w:cs="Arial"/>
          <w:color w:val="000000" w:themeColor="text1"/>
        </w:rPr>
        <w:t xml:space="preserve">and </w:t>
      </w:r>
      <w:r w:rsidR="00596FC8" w:rsidRPr="003D5C0C">
        <w:rPr>
          <w:rFonts w:ascii="Arial" w:hAnsi="Arial" w:cs="Arial"/>
          <w:color w:val="000000" w:themeColor="text1"/>
        </w:rPr>
        <w:t xml:space="preserve">the </w:t>
      </w:r>
      <w:r w:rsidR="00D031FD" w:rsidRPr="003D5C0C">
        <w:rPr>
          <w:rFonts w:ascii="Arial" w:hAnsi="Arial" w:cs="Arial"/>
          <w:color w:val="000000" w:themeColor="text1"/>
        </w:rPr>
        <w:t xml:space="preserve">affordability </w:t>
      </w:r>
      <w:r w:rsidR="00596FC8" w:rsidRPr="003D5C0C">
        <w:rPr>
          <w:rFonts w:ascii="Arial" w:hAnsi="Arial" w:cs="Arial"/>
          <w:color w:val="000000" w:themeColor="text1"/>
        </w:rPr>
        <w:t xml:space="preserve">ratio </w:t>
      </w:r>
      <w:r w:rsidR="00D031FD" w:rsidRPr="003D5C0C">
        <w:rPr>
          <w:rFonts w:ascii="Arial" w:hAnsi="Arial" w:cs="Arial"/>
          <w:color w:val="000000" w:themeColor="text1"/>
        </w:rPr>
        <w:t>are low (L-L)</w:t>
      </w:r>
      <w:r w:rsidR="00F22993" w:rsidRPr="003D5C0C">
        <w:rPr>
          <w:rFonts w:ascii="Arial" w:hAnsi="Arial" w:cs="Arial"/>
          <w:color w:val="000000" w:themeColor="text1"/>
        </w:rPr>
        <w:t xml:space="preserve">. </w:t>
      </w:r>
      <w:r w:rsidR="00C40EBB" w:rsidRPr="003D5C0C">
        <w:rPr>
          <w:rFonts w:ascii="Arial" w:hAnsi="Arial" w:cs="Arial"/>
          <w:color w:val="000000" w:themeColor="text1"/>
        </w:rPr>
        <w:t xml:space="preserve"> </w:t>
      </w:r>
      <w:r w:rsidR="00D031FD" w:rsidRPr="003D5C0C">
        <w:rPr>
          <w:rFonts w:ascii="Arial" w:hAnsi="Arial" w:cs="Arial"/>
          <w:color w:val="000000" w:themeColor="text1"/>
        </w:rPr>
        <w:t xml:space="preserve">When affordability ratio is low but household projection growth is high (L-H), or the other way around (H-L), the housing </w:t>
      </w:r>
      <w:r w:rsidR="006E335E" w:rsidRPr="003D5C0C">
        <w:rPr>
          <w:rFonts w:ascii="Arial" w:eastAsiaTheme="minorHAnsi" w:hAnsi="Arial" w:cs="Arial"/>
          <w:color w:val="000000" w:themeColor="text1"/>
          <w:lang w:eastAsia="en-US"/>
        </w:rPr>
        <w:t xml:space="preserve">requirement </w:t>
      </w:r>
      <w:r w:rsidR="00D031FD" w:rsidRPr="003D5C0C">
        <w:rPr>
          <w:rFonts w:ascii="Arial" w:hAnsi="Arial" w:cs="Arial"/>
          <w:color w:val="000000" w:themeColor="text1"/>
        </w:rPr>
        <w:t xml:space="preserve">prediction </w:t>
      </w:r>
      <w:r w:rsidR="00596FC8" w:rsidRPr="003D5C0C">
        <w:rPr>
          <w:rFonts w:ascii="Arial" w:hAnsi="Arial" w:cs="Arial"/>
          <w:color w:val="000000" w:themeColor="text1"/>
        </w:rPr>
        <w:t xml:space="preserve">will be </w:t>
      </w:r>
      <w:r w:rsidR="00D031FD" w:rsidRPr="003D5C0C">
        <w:rPr>
          <w:rFonts w:ascii="Arial" w:hAnsi="Arial" w:cs="Arial"/>
          <w:color w:val="000000" w:themeColor="text1"/>
        </w:rPr>
        <w:t>moderate.</w:t>
      </w:r>
      <w:r w:rsidR="00D737AC" w:rsidRPr="003D5C0C">
        <w:rPr>
          <w:rFonts w:ascii="Arial" w:hAnsi="Arial" w:cs="Arial"/>
          <w:color w:val="000000" w:themeColor="text1"/>
        </w:rPr>
        <w:t xml:space="preserve"> </w:t>
      </w:r>
      <w:r w:rsidR="00D031FD" w:rsidRPr="003D5C0C">
        <w:rPr>
          <w:rFonts w:ascii="Arial" w:hAnsi="Arial" w:cs="Arial"/>
          <w:color w:val="000000" w:themeColor="text1"/>
        </w:rPr>
        <w:t xml:space="preserve"> </w:t>
      </w:r>
      <w:r w:rsidR="004C44A7" w:rsidRPr="003D5C0C">
        <w:rPr>
          <w:rFonts w:ascii="Arial" w:hAnsi="Arial" w:cs="Arial"/>
          <w:color w:val="000000" w:themeColor="text1"/>
        </w:rPr>
        <w:t xml:space="preserve">Moreover, since </w:t>
      </w:r>
      <w:r w:rsidR="00596FC8" w:rsidRPr="003D5C0C">
        <w:rPr>
          <w:rFonts w:ascii="Arial" w:hAnsi="Arial" w:cs="Arial"/>
          <w:color w:val="000000" w:themeColor="text1"/>
        </w:rPr>
        <w:t xml:space="preserve">the assessment of </w:t>
      </w:r>
      <w:r w:rsidR="0049194E" w:rsidRPr="003D5C0C">
        <w:rPr>
          <w:rFonts w:ascii="Arial" w:hAnsi="Arial" w:cs="Arial"/>
          <w:color w:val="000000" w:themeColor="text1"/>
        </w:rPr>
        <w:t xml:space="preserve">housing </w:t>
      </w:r>
      <w:r w:rsidR="006E335E" w:rsidRPr="003D5C0C">
        <w:rPr>
          <w:rFonts w:ascii="Arial" w:eastAsiaTheme="minorHAnsi" w:hAnsi="Arial" w:cs="Arial"/>
          <w:color w:val="000000" w:themeColor="text1"/>
          <w:lang w:eastAsia="en-US"/>
        </w:rPr>
        <w:t xml:space="preserve">requirement </w:t>
      </w:r>
      <w:r w:rsidR="0049194E" w:rsidRPr="003D5C0C">
        <w:rPr>
          <w:rFonts w:ascii="Arial" w:hAnsi="Arial" w:cs="Arial"/>
          <w:color w:val="000000" w:themeColor="text1"/>
        </w:rPr>
        <w:t xml:space="preserve">is </w:t>
      </w:r>
      <w:r w:rsidR="00DC2E51" w:rsidRPr="003D5C0C">
        <w:rPr>
          <w:rFonts w:ascii="Arial" w:hAnsi="Arial" w:cs="Arial"/>
          <w:color w:val="000000" w:themeColor="text1"/>
        </w:rPr>
        <w:t xml:space="preserve">more responsive to the change in </w:t>
      </w:r>
      <w:r w:rsidR="00596FC8" w:rsidRPr="003D5C0C">
        <w:rPr>
          <w:rFonts w:ascii="Arial" w:hAnsi="Arial" w:cs="Arial"/>
          <w:color w:val="000000" w:themeColor="text1"/>
        </w:rPr>
        <w:t xml:space="preserve">the projected growth in </w:t>
      </w:r>
      <w:r w:rsidR="00DC2E51" w:rsidRPr="003D5C0C">
        <w:rPr>
          <w:rFonts w:ascii="Arial" w:hAnsi="Arial" w:cs="Arial"/>
          <w:color w:val="000000" w:themeColor="text1"/>
        </w:rPr>
        <w:t>household</w:t>
      </w:r>
      <w:r w:rsidR="00596FC8" w:rsidRPr="003D5C0C">
        <w:rPr>
          <w:rFonts w:ascii="Arial" w:hAnsi="Arial" w:cs="Arial"/>
          <w:color w:val="000000" w:themeColor="text1"/>
        </w:rPr>
        <w:t>s</w:t>
      </w:r>
      <w:r w:rsidR="00DC2E51" w:rsidRPr="003D5C0C">
        <w:rPr>
          <w:rFonts w:ascii="Arial" w:hAnsi="Arial" w:cs="Arial"/>
          <w:color w:val="000000" w:themeColor="text1"/>
        </w:rPr>
        <w:t xml:space="preserve"> than to change</w:t>
      </w:r>
      <w:r w:rsidR="00596FC8" w:rsidRPr="003D5C0C">
        <w:rPr>
          <w:rFonts w:ascii="Arial" w:hAnsi="Arial" w:cs="Arial"/>
          <w:color w:val="000000" w:themeColor="text1"/>
        </w:rPr>
        <w:t>s</w:t>
      </w:r>
      <w:r w:rsidR="00DC2E51" w:rsidRPr="003D5C0C">
        <w:rPr>
          <w:rFonts w:ascii="Arial" w:hAnsi="Arial" w:cs="Arial"/>
          <w:color w:val="000000" w:themeColor="text1"/>
        </w:rPr>
        <w:t xml:space="preserve"> in </w:t>
      </w:r>
      <w:r w:rsidR="00596FC8" w:rsidRPr="003D5C0C">
        <w:rPr>
          <w:rFonts w:ascii="Arial" w:hAnsi="Arial" w:cs="Arial"/>
          <w:color w:val="000000" w:themeColor="text1"/>
        </w:rPr>
        <w:t xml:space="preserve">the </w:t>
      </w:r>
      <w:r w:rsidR="00DC2E51" w:rsidRPr="003D5C0C">
        <w:rPr>
          <w:rFonts w:ascii="Arial" w:hAnsi="Arial" w:cs="Arial"/>
          <w:color w:val="000000" w:themeColor="text1"/>
        </w:rPr>
        <w:lastRenderedPageBreak/>
        <w:t>affordability ratio</w:t>
      </w:r>
      <w:r w:rsidR="004C44A7" w:rsidRPr="003D5C0C">
        <w:rPr>
          <w:rFonts w:ascii="Arial" w:hAnsi="Arial" w:cs="Arial"/>
          <w:color w:val="000000" w:themeColor="text1"/>
        </w:rPr>
        <w:t>, th</w:t>
      </w:r>
      <w:r w:rsidR="00596FC8" w:rsidRPr="003D5C0C">
        <w:rPr>
          <w:rFonts w:ascii="Arial" w:hAnsi="Arial" w:cs="Arial"/>
          <w:color w:val="000000" w:themeColor="text1"/>
        </w:rPr>
        <w:t xml:space="preserve">ose local authorities that experience </w:t>
      </w:r>
      <w:r w:rsidR="00DC2E51" w:rsidRPr="003D5C0C">
        <w:rPr>
          <w:rFonts w:ascii="Arial" w:hAnsi="Arial" w:cs="Arial"/>
          <w:color w:val="000000" w:themeColor="text1"/>
        </w:rPr>
        <w:t xml:space="preserve">(L-H) state on average might yield higher housing </w:t>
      </w:r>
      <w:r w:rsidR="006E335E" w:rsidRPr="003D5C0C">
        <w:rPr>
          <w:rFonts w:ascii="Arial" w:eastAsiaTheme="minorHAnsi" w:hAnsi="Arial" w:cs="Arial"/>
          <w:color w:val="000000" w:themeColor="text1"/>
          <w:lang w:eastAsia="en-US"/>
        </w:rPr>
        <w:t xml:space="preserve">requirement </w:t>
      </w:r>
      <w:r w:rsidR="00DC2E51" w:rsidRPr="003D5C0C">
        <w:rPr>
          <w:rFonts w:ascii="Arial" w:hAnsi="Arial" w:cs="Arial"/>
          <w:color w:val="000000" w:themeColor="text1"/>
        </w:rPr>
        <w:t>than th</w:t>
      </w:r>
      <w:r w:rsidR="00596FC8" w:rsidRPr="003D5C0C">
        <w:rPr>
          <w:rFonts w:ascii="Arial" w:hAnsi="Arial" w:cs="Arial"/>
          <w:color w:val="000000" w:themeColor="text1"/>
        </w:rPr>
        <w:t xml:space="preserve">ose where </w:t>
      </w:r>
      <w:r w:rsidR="00DC2E51" w:rsidRPr="003D5C0C">
        <w:rPr>
          <w:rFonts w:ascii="Arial" w:hAnsi="Arial" w:cs="Arial"/>
          <w:color w:val="000000" w:themeColor="text1"/>
        </w:rPr>
        <w:t>(H-L)</w:t>
      </w:r>
      <w:r w:rsidR="00596FC8" w:rsidRPr="003D5C0C">
        <w:rPr>
          <w:rFonts w:ascii="Arial" w:hAnsi="Arial" w:cs="Arial"/>
          <w:color w:val="000000" w:themeColor="text1"/>
        </w:rPr>
        <w:t xml:space="preserve"> prevail. </w:t>
      </w:r>
    </w:p>
    <w:p w14:paraId="7E37F27E" w14:textId="77777777" w:rsidR="00DE2E60" w:rsidRDefault="00DE2E60" w:rsidP="00DE2E60">
      <w:pPr>
        <w:pStyle w:val="Caption"/>
        <w:keepNext/>
        <w:rPr>
          <w:rFonts w:ascii="Arial" w:hAnsi="Arial" w:cs="Arial"/>
          <w:color w:val="000000" w:themeColor="text1"/>
          <w:sz w:val="24"/>
          <w:szCs w:val="24"/>
        </w:rPr>
      </w:pPr>
    </w:p>
    <w:p w14:paraId="4BA99F7D" w14:textId="64043AA9" w:rsidR="00DE2E60" w:rsidRPr="002A4036" w:rsidRDefault="00DE2E60" w:rsidP="00DE2E60">
      <w:pPr>
        <w:jc w:val="both"/>
        <w:rPr>
          <w:rFonts w:ascii="Arial" w:hAnsi="Arial" w:cs="Arial"/>
          <w:b/>
          <w:color w:val="000000" w:themeColor="text1"/>
        </w:rPr>
      </w:pPr>
    </w:p>
    <w:p w14:paraId="114B45FB" w14:textId="3821E022" w:rsidR="002A4036" w:rsidRDefault="002A4036" w:rsidP="00CB3C37">
      <w:pPr>
        <w:jc w:val="center"/>
        <w:rPr>
          <w:rFonts w:ascii="Arial" w:hAnsi="Arial" w:cs="Arial"/>
          <w:b/>
          <w:color w:val="000000" w:themeColor="text1"/>
        </w:rPr>
      </w:pPr>
      <w:r w:rsidRPr="002A4036">
        <w:rPr>
          <w:rFonts w:ascii="Arial" w:hAnsi="Arial" w:cs="Arial"/>
          <w:b/>
          <w:color w:val="000000" w:themeColor="text1"/>
        </w:rPr>
        <w:t>FIGURE FIVE ABOUT HERE</w:t>
      </w:r>
    </w:p>
    <w:p w14:paraId="06A055F1" w14:textId="2219C4D4" w:rsidR="00602551" w:rsidRDefault="00602551">
      <w:pPr>
        <w:rPr>
          <w:rFonts w:ascii="Arial" w:hAnsi="Arial" w:cs="Arial"/>
          <w:b/>
          <w:color w:val="000000" w:themeColor="text1"/>
        </w:rPr>
      </w:pPr>
    </w:p>
    <w:p w14:paraId="7854AD68" w14:textId="09B979E1" w:rsidR="00C339A9" w:rsidRPr="003D5C0C" w:rsidRDefault="00C339A9" w:rsidP="006633FA">
      <w:pPr>
        <w:spacing w:line="480" w:lineRule="auto"/>
        <w:jc w:val="both"/>
        <w:rPr>
          <w:rFonts w:ascii="Arial" w:hAnsi="Arial" w:cs="Arial"/>
          <w:color w:val="000000" w:themeColor="text1"/>
        </w:rPr>
      </w:pPr>
    </w:p>
    <w:p w14:paraId="0F6F5B7A" w14:textId="6537A795" w:rsidR="00C339A9" w:rsidRPr="003D5C0C" w:rsidRDefault="00422DB5" w:rsidP="006633FA">
      <w:pPr>
        <w:pStyle w:val="ListParagraph"/>
        <w:numPr>
          <w:ilvl w:val="0"/>
          <w:numId w:val="8"/>
        </w:numPr>
        <w:spacing w:line="480" w:lineRule="auto"/>
        <w:jc w:val="both"/>
        <w:rPr>
          <w:rFonts w:ascii="Arial" w:hAnsi="Arial" w:cs="Arial"/>
          <w:bCs/>
          <w:color w:val="000000" w:themeColor="text1"/>
          <w:sz w:val="24"/>
          <w:szCs w:val="24"/>
        </w:rPr>
      </w:pPr>
      <w:r w:rsidRPr="003D5C0C">
        <w:rPr>
          <w:rFonts w:ascii="Arial" w:hAnsi="Arial" w:cs="Arial"/>
          <w:bCs/>
          <w:color w:val="000000" w:themeColor="text1"/>
          <w:sz w:val="24"/>
          <w:szCs w:val="24"/>
        </w:rPr>
        <w:t>Second Level Analysis: the log-log approach with respect to the i</w:t>
      </w:r>
      <w:r w:rsidR="004A2292" w:rsidRPr="003D5C0C">
        <w:rPr>
          <w:rFonts w:ascii="Arial" w:hAnsi="Arial" w:cs="Arial"/>
          <w:bCs/>
          <w:color w:val="000000" w:themeColor="text1"/>
          <w:sz w:val="24"/>
          <w:szCs w:val="24"/>
        </w:rPr>
        <w:t xml:space="preserve">nput variables </w:t>
      </w:r>
      <w:r w:rsidRPr="003D5C0C">
        <w:rPr>
          <w:rFonts w:ascii="Arial" w:hAnsi="Arial" w:cs="Arial"/>
          <w:bCs/>
          <w:color w:val="000000" w:themeColor="text1"/>
          <w:sz w:val="24"/>
          <w:szCs w:val="24"/>
        </w:rPr>
        <w:t xml:space="preserve">to </w:t>
      </w:r>
      <w:r w:rsidR="004A2292" w:rsidRPr="003D5C0C">
        <w:rPr>
          <w:rFonts w:ascii="Arial" w:hAnsi="Arial" w:cs="Arial"/>
          <w:bCs/>
          <w:color w:val="000000" w:themeColor="text1"/>
          <w:sz w:val="24"/>
          <w:szCs w:val="24"/>
        </w:rPr>
        <w:t>household projection</w:t>
      </w:r>
      <w:r w:rsidRPr="003D5C0C">
        <w:rPr>
          <w:rFonts w:ascii="Arial" w:hAnsi="Arial" w:cs="Arial"/>
          <w:bCs/>
          <w:color w:val="000000" w:themeColor="text1"/>
          <w:sz w:val="24"/>
          <w:szCs w:val="24"/>
        </w:rPr>
        <w:t>s</w:t>
      </w:r>
      <w:r w:rsidR="004A2292" w:rsidRPr="003D5C0C">
        <w:rPr>
          <w:rFonts w:ascii="Arial" w:hAnsi="Arial" w:cs="Arial"/>
          <w:bCs/>
          <w:color w:val="000000" w:themeColor="text1"/>
          <w:sz w:val="24"/>
          <w:szCs w:val="24"/>
        </w:rPr>
        <w:t xml:space="preserve"> and affordability ratio</w:t>
      </w:r>
      <w:r w:rsidR="00C339A9" w:rsidRPr="003D5C0C">
        <w:rPr>
          <w:rFonts w:ascii="Arial" w:hAnsi="Arial" w:cs="Arial"/>
          <w:bCs/>
          <w:color w:val="000000" w:themeColor="text1"/>
          <w:sz w:val="24"/>
          <w:szCs w:val="24"/>
        </w:rPr>
        <w:t xml:space="preserve"> </w:t>
      </w:r>
    </w:p>
    <w:p w14:paraId="7DD9E47F" w14:textId="53F9E08C" w:rsidR="00C339A9" w:rsidRPr="003D5C0C" w:rsidRDefault="00596FC8"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To dissect the Standard Method further we must consider the range of variables that individually comprise the two general categories that define the </w:t>
      </w:r>
      <w:r w:rsidR="00930610" w:rsidRPr="003D5C0C">
        <w:rPr>
          <w:rFonts w:ascii="Arial" w:hAnsi="Arial" w:cs="Arial"/>
          <w:color w:val="000000" w:themeColor="text1"/>
        </w:rPr>
        <w:t>Standard Method</w:t>
      </w:r>
      <w:r w:rsidRPr="003D5C0C">
        <w:rPr>
          <w:rFonts w:ascii="Arial" w:hAnsi="Arial" w:cs="Arial"/>
          <w:color w:val="000000" w:themeColor="text1"/>
        </w:rPr>
        <w:t xml:space="preserve">. </w:t>
      </w:r>
      <w:r w:rsidR="00C40EBB" w:rsidRPr="003D5C0C">
        <w:rPr>
          <w:rFonts w:ascii="Arial" w:hAnsi="Arial" w:cs="Arial"/>
          <w:color w:val="000000" w:themeColor="text1"/>
        </w:rPr>
        <w:t xml:space="preserve"> </w:t>
      </w:r>
      <w:r w:rsidRPr="003D5C0C">
        <w:rPr>
          <w:rFonts w:ascii="Arial" w:hAnsi="Arial" w:cs="Arial"/>
          <w:color w:val="000000" w:themeColor="text1"/>
        </w:rPr>
        <w:t>T</w:t>
      </w:r>
      <w:r w:rsidR="004A2292" w:rsidRPr="003D5C0C">
        <w:rPr>
          <w:rFonts w:ascii="Arial" w:hAnsi="Arial" w:cs="Arial"/>
          <w:color w:val="000000" w:themeColor="text1"/>
        </w:rPr>
        <w:t xml:space="preserve">he </w:t>
      </w:r>
      <w:r w:rsidRPr="003D5C0C">
        <w:rPr>
          <w:rFonts w:ascii="Arial" w:hAnsi="Arial" w:cs="Arial"/>
          <w:color w:val="000000" w:themeColor="text1"/>
        </w:rPr>
        <w:t xml:space="preserve">two </w:t>
      </w:r>
      <w:r w:rsidR="004A2292" w:rsidRPr="003D5C0C">
        <w:rPr>
          <w:rFonts w:ascii="Arial" w:hAnsi="Arial" w:cs="Arial"/>
          <w:color w:val="000000" w:themeColor="text1"/>
        </w:rPr>
        <w:t>constituents</w:t>
      </w:r>
      <w:r w:rsidRPr="003D5C0C">
        <w:rPr>
          <w:rFonts w:ascii="Arial" w:hAnsi="Arial" w:cs="Arial"/>
          <w:color w:val="000000" w:themeColor="text1"/>
        </w:rPr>
        <w:t xml:space="preserve"> of the Standard Method (the </w:t>
      </w:r>
      <w:r w:rsidR="008159EA" w:rsidRPr="003D5C0C">
        <w:rPr>
          <w:rFonts w:ascii="Arial" w:hAnsi="Arial" w:cs="Arial"/>
          <w:color w:val="000000" w:themeColor="text1"/>
        </w:rPr>
        <w:t>projected growth in household formation and affordability ratio) are themselves co</w:t>
      </w:r>
      <w:r w:rsidR="004A2292" w:rsidRPr="003D5C0C">
        <w:rPr>
          <w:rFonts w:ascii="Arial" w:hAnsi="Arial" w:cs="Arial"/>
          <w:color w:val="000000" w:themeColor="text1"/>
        </w:rPr>
        <w:t>mprised</w:t>
      </w:r>
      <w:r w:rsidR="008159EA" w:rsidRPr="003D5C0C">
        <w:rPr>
          <w:rFonts w:ascii="Arial" w:hAnsi="Arial" w:cs="Arial"/>
          <w:color w:val="000000" w:themeColor="text1"/>
        </w:rPr>
        <w:t xml:space="preserve"> of</w:t>
      </w:r>
      <w:r w:rsidR="004A2292" w:rsidRPr="003D5C0C">
        <w:rPr>
          <w:rFonts w:ascii="Arial" w:hAnsi="Arial" w:cs="Arial"/>
          <w:color w:val="000000" w:themeColor="text1"/>
        </w:rPr>
        <w:t xml:space="preserve"> </w:t>
      </w:r>
      <w:r w:rsidR="008159EA" w:rsidRPr="003D5C0C">
        <w:rPr>
          <w:rFonts w:ascii="Arial" w:hAnsi="Arial" w:cs="Arial"/>
          <w:color w:val="000000" w:themeColor="text1"/>
        </w:rPr>
        <w:t xml:space="preserve">a number of </w:t>
      </w:r>
      <w:r w:rsidR="004A2292" w:rsidRPr="003D5C0C">
        <w:rPr>
          <w:rFonts w:ascii="Arial" w:hAnsi="Arial" w:cs="Arial"/>
          <w:color w:val="000000" w:themeColor="text1"/>
        </w:rPr>
        <w:t xml:space="preserve">socio-economic variables. </w:t>
      </w:r>
      <w:r w:rsidR="00C40EBB" w:rsidRPr="003D5C0C">
        <w:rPr>
          <w:rFonts w:ascii="Arial" w:hAnsi="Arial" w:cs="Arial"/>
          <w:color w:val="000000" w:themeColor="text1"/>
        </w:rPr>
        <w:t xml:space="preserve"> </w:t>
      </w:r>
      <w:r w:rsidR="004A2292" w:rsidRPr="003D5C0C">
        <w:rPr>
          <w:rFonts w:ascii="Arial" w:hAnsi="Arial" w:cs="Arial"/>
          <w:color w:val="000000" w:themeColor="text1"/>
        </w:rPr>
        <w:t xml:space="preserve">The affordability </w:t>
      </w:r>
      <w:r w:rsidR="008159EA" w:rsidRPr="003D5C0C">
        <w:rPr>
          <w:rFonts w:ascii="Arial" w:hAnsi="Arial" w:cs="Arial"/>
          <w:color w:val="000000" w:themeColor="text1"/>
        </w:rPr>
        <w:t xml:space="preserve">measure </w:t>
      </w:r>
      <w:r w:rsidR="004A2292" w:rsidRPr="003D5C0C">
        <w:rPr>
          <w:rFonts w:ascii="Arial" w:hAnsi="Arial" w:cs="Arial"/>
          <w:color w:val="000000" w:themeColor="text1"/>
        </w:rPr>
        <w:t>i</w:t>
      </w:r>
      <w:r w:rsidR="008159EA" w:rsidRPr="003D5C0C">
        <w:rPr>
          <w:rFonts w:ascii="Arial" w:hAnsi="Arial" w:cs="Arial"/>
          <w:color w:val="000000" w:themeColor="text1"/>
        </w:rPr>
        <w:t xml:space="preserve">s determined by a ratio of </w:t>
      </w:r>
      <w:r w:rsidR="004A2292" w:rsidRPr="003D5C0C">
        <w:rPr>
          <w:rFonts w:ascii="Arial" w:hAnsi="Arial" w:cs="Arial"/>
          <w:color w:val="000000" w:themeColor="text1"/>
        </w:rPr>
        <w:t>median hous</w:t>
      </w:r>
      <w:r w:rsidR="00D70687" w:rsidRPr="003D5C0C">
        <w:rPr>
          <w:rFonts w:ascii="Arial" w:hAnsi="Arial" w:cs="Arial"/>
          <w:color w:val="000000" w:themeColor="text1"/>
        </w:rPr>
        <w:t>e</w:t>
      </w:r>
      <w:r w:rsidR="004A2292" w:rsidRPr="003D5C0C">
        <w:rPr>
          <w:rFonts w:ascii="Arial" w:hAnsi="Arial" w:cs="Arial"/>
          <w:color w:val="000000" w:themeColor="text1"/>
        </w:rPr>
        <w:t xml:space="preserve"> price</w:t>
      </w:r>
      <w:r w:rsidR="008159EA" w:rsidRPr="003D5C0C">
        <w:rPr>
          <w:rFonts w:ascii="Arial" w:hAnsi="Arial" w:cs="Arial"/>
          <w:color w:val="000000" w:themeColor="text1"/>
        </w:rPr>
        <w:t xml:space="preserve">s </w:t>
      </w:r>
      <w:r w:rsidR="004A2292" w:rsidRPr="003D5C0C">
        <w:rPr>
          <w:rFonts w:ascii="Arial" w:hAnsi="Arial" w:cs="Arial"/>
          <w:color w:val="000000" w:themeColor="text1"/>
        </w:rPr>
        <w:t xml:space="preserve">to median </w:t>
      </w:r>
      <w:r w:rsidR="008159EA" w:rsidRPr="003D5C0C">
        <w:rPr>
          <w:rFonts w:ascii="Arial" w:hAnsi="Arial" w:cs="Arial"/>
          <w:color w:val="000000" w:themeColor="text1"/>
        </w:rPr>
        <w:t>workplace-</w:t>
      </w:r>
      <w:r w:rsidR="004A2292" w:rsidRPr="003D5C0C">
        <w:rPr>
          <w:rFonts w:ascii="Arial" w:hAnsi="Arial" w:cs="Arial"/>
          <w:color w:val="000000" w:themeColor="text1"/>
        </w:rPr>
        <w:t xml:space="preserve">based earnings. </w:t>
      </w:r>
      <w:r w:rsidR="00C40EBB" w:rsidRPr="003D5C0C">
        <w:rPr>
          <w:rFonts w:ascii="Arial" w:hAnsi="Arial" w:cs="Arial"/>
          <w:color w:val="000000" w:themeColor="text1"/>
        </w:rPr>
        <w:t xml:space="preserve"> </w:t>
      </w:r>
      <w:r w:rsidR="008159EA" w:rsidRPr="003D5C0C">
        <w:rPr>
          <w:rFonts w:ascii="Arial" w:hAnsi="Arial" w:cs="Arial"/>
          <w:color w:val="000000" w:themeColor="text1"/>
        </w:rPr>
        <w:t>T</w:t>
      </w:r>
      <w:r w:rsidR="004A2292" w:rsidRPr="003D5C0C">
        <w:rPr>
          <w:rFonts w:ascii="Arial" w:hAnsi="Arial" w:cs="Arial"/>
          <w:color w:val="000000" w:themeColor="text1"/>
        </w:rPr>
        <w:t xml:space="preserve">he </w:t>
      </w:r>
      <w:r w:rsidR="008159EA" w:rsidRPr="003D5C0C">
        <w:rPr>
          <w:rFonts w:ascii="Arial" w:hAnsi="Arial" w:cs="Arial"/>
          <w:color w:val="000000" w:themeColor="text1"/>
        </w:rPr>
        <w:t xml:space="preserve">projected growth in </w:t>
      </w:r>
      <w:r w:rsidR="004A2292" w:rsidRPr="003D5C0C">
        <w:rPr>
          <w:rFonts w:ascii="Arial" w:hAnsi="Arial" w:cs="Arial"/>
          <w:color w:val="000000" w:themeColor="text1"/>
        </w:rPr>
        <w:t>household</w:t>
      </w:r>
      <w:r w:rsidR="008159EA" w:rsidRPr="003D5C0C">
        <w:rPr>
          <w:rFonts w:ascii="Arial" w:hAnsi="Arial" w:cs="Arial"/>
          <w:color w:val="000000" w:themeColor="text1"/>
        </w:rPr>
        <w:t>s</w:t>
      </w:r>
      <w:r w:rsidR="004A2292" w:rsidRPr="003D5C0C">
        <w:rPr>
          <w:rFonts w:ascii="Arial" w:hAnsi="Arial" w:cs="Arial"/>
          <w:color w:val="000000" w:themeColor="text1"/>
        </w:rPr>
        <w:t xml:space="preserve"> is </w:t>
      </w:r>
      <w:r w:rsidRPr="003D5C0C">
        <w:rPr>
          <w:rFonts w:ascii="Arial" w:hAnsi="Arial" w:cs="Arial"/>
          <w:color w:val="000000" w:themeColor="text1"/>
        </w:rPr>
        <w:t xml:space="preserve">comprised of </w:t>
      </w:r>
      <w:r w:rsidR="004A2292" w:rsidRPr="003D5C0C">
        <w:rPr>
          <w:rFonts w:ascii="Arial" w:hAnsi="Arial" w:cs="Arial"/>
          <w:color w:val="000000" w:themeColor="text1"/>
        </w:rPr>
        <w:t xml:space="preserve">various inputs </w:t>
      </w:r>
      <w:r w:rsidR="008159EA" w:rsidRPr="003D5C0C">
        <w:rPr>
          <w:rFonts w:ascii="Arial" w:hAnsi="Arial" w:cs="Arial"/>
          <w:color w:val="000000" w:themeColor="text1"/>
        </w:rPr>
        <w:t>including</w:t>
      </w:r>
      <w:r w:rsidR="004A2292" w:rsidRPr="003D5C0C">
        <w:rPr>
          <w:rFonts w:ascii="Arial" w:hAnsi="Arial" w:cs="Arial"/>
          <w:color w:val="000000" w:themeColor="text1"/>
        </w:rPr>
        <w:t xml:space="preserve"> population projections, net-migration</w:t>
      </w:r>
      <w:r w:rsidR="00011F84">
        <w:rPr>
          <w:rFonts w:ascii="Arial" w:hAnsi="Arial" w:cs="Arial"/>
          <w:color w:val="000000" w:themeColor="text1"/>
        </w:rPr>
        <w:t xml:space="preserve"> rate</w:t>
      </w:r>
      <w:r w:rsidR="004A2292" w:rsidRPr="003D5C0C">
        <w:rPr>
          <w:rFonts w:ascii="Arial" w:hAnsi="Arial" w:cs="Arial"/>
          <w:color w:val="000000" w:themeColor="text1"/>
        </w:rPr>
        <w:t>, births, deaths, fertility rate</w:t>
      </w:r>
      <w:r w:rsidR="008159EA" w:rsidRPr="003D5C0C">
        <w:rPr>
          <w:rFonts w:ascii="Arial" w:hAnsi="Arial" w:cs="Arial"/>
          <w:color w:val="000000" w:themeColor="text1"/>
        </w:rPr>
        <w:t xml:space="preserve"> and the </w:t>
      </w:r>
      <w:r w:rsidR="004A2292" w:rsidRPr="003D5C0C">
        <w:rPr>
          <w:rFonts w:ascii="Arial" w:hAnsi="Arial" w:cs="Arial"/>
          <w:color w:val="000000" w:themeColor="text1"/>
        </w:rPr>
        <w:t>crude death rate</w:t>
      </w:r>
      <w:r w:rsidR="008159EA" w:rsidRPr="003D5C0C">
        <w:rPr>
          <w:rFonts w:ascii="Arial" w:hAnsi="Arial" w:cs="Arial"/>
          <w:color w:val="000000" w:themeColor="text1"/>
        </w:rPr>
        <w:t>.</w:t>
      </w:r>
      <w:r w:rsidR="004A2292" w:rsidRPr="003D5C0C">
        <w:rPr>
          <w:rFonts w:ascii="Arial" w:hAnsi="Arial" w:cs="Arial"/>
          <w:color w:val="000000" w:themeColor="text1"/>
        </w:rPr>
        <w:t xml:space="preserve"> </w:t>
      </w:r>
      <w:r w:rsidR="00D737AC" w:rsidRPr="003D5C0C">
        <w:rPr>
          <w:rFonts w:ascii="Arial" w:hAnsi="Arial" w:cs="Arial"/>
          <w:color w:val="000000" w:themeColor="text1"/>
        </w:rPr>
        <w:t xml:space="preserve"> </w:t>
      </w:r>
      <w:r w:rsidR="004A2292" w:rsidRPr="003D5C0C">
        <w:rPr>
          <w:rFonts w:ascii="Arial" w:hAnsi="Arial" w:cs="Arial"/>
          <w:color w:val="000000" w:themeColor="text1"/>
        </w:rPr>
        <w:t xml:space="preserve">In order to assess how important </w:t>
      </w:r>
      <w:r w:rsidR="008159EA" w:rsidRPr="003D5C0C">
        <w:rPr>
          <w:rFonts w:ascii="Arial" w:hAnsi="Arial" w:cs="Arial"/>
          <w:color w:val="000000" w:themeColor="text1"/>
        </w:rPr>
        <w:t xml:space="preserve">each of these constituent variables is to the </w:t>
      </w:r>
      <w:r w:rsidR="004A2292" w:rsidRPr="003D5C0C">
        <w:rPr>
          <w:rFonts w:ascii="Arial" w:hAnsi="Arial" w:cs="Arial"/>
          <w:color w:val="000000" w:themeColor="text1"/>
        </w:rPr>
        <w:t xml:space="preserve">variations </w:t>
      </w:r>
      <w:r w:rsidR="008159EA" w:rsidRPr="003D5C0C">
        <w:rPr>
          <w:rFonts w:ascii="Arial" w:hAnsi="Arial" w:cs="Arial"/>
          <w:color w:val="000000" w:themeColor="text1"/>
        </w:rPr>
        <w:t>in</w:t>
      </w:r>
      <w:r w:rsidR="004A2292" w:rsidRPr="003D5C0C">
        <w:rPr>
          <w:rFonts w:ascii="Arial" w:hAnsi="Arial" w:cs="Arial"/>
          <w:color w:val="000000" w:themeColor="text1"/>
        </w:rPr>
        <w:t xml:space="preserve"> </w:t>
      </w:r>
      <w:r w:rsidR="008159EA" w:rsidRPr="003D5C0C">
        <w:rPr>
          <w:rFonts w:ascii="Arial" w:hAnsi="Arial" w:cs="Arial"/>
          <w:color w:val="000000" w:themeColor="text1"/>
        </w:rPr>
        <w:t xml:space="preserve">assessments of </w:t>
      </w:r>
      <w:r w:rsidR="004A2292" w:rsidRPr="003D5C0C">
        <w:rPr>
          <w:rFonts w:ascii="Arial" w:hAnsi="Arial" w:cs="Arial"/>
          <w:color w:val="000000" w:themeColor="text1"/>
        </w:rPr>
        <w:t xml:space="preserve">housing </w:t>
      </w:r>
      <w:r w:rsidR="006E335E" w:rsidRPr="003D5C0C">
        <w:rPr>
          <w:rFonts w:ascii="Arial" w:eastAsiaTheme="minorHAnsi" w:hAnsi="Arial" w:cs="Arial"/>
          <w:color w:val="000000" w:themeColor="text1"/>
          <w:lang w:eastAsia="en-US"/>
        </w:rPr>
        <w:t xml:space="preserve">requirement </w:t>
      </w:r>
      <w:r w:rsidR="004A2292" w:rsidRPr="003D5C0C">
        <w:rPr>
          <w:rFonts w:ascii="Arial" w:hAnsi="Arial" w:cs="Arial"/>
          <w:color w:val="000000" w:themeColor="text1"/>
        </w:rPr>
        <w:t xml:space="preserve">we model the housing </w:t>
      </w:r>
      <w:r w:rsidR="006E335E" w:rsidRPr="003D5C0C">
        <w:rPr>
          <w:rFonts w:ascii="Arial" w:eastAsiaTheme="minorHAnsi" w:hAnsi="Arial" w:cs="Arial"/>
          <w:color w:val="000000" w:themeColor="text1"/>
          <w:lang w:eastAsia="en-US"/>
        </w:rPr>
        <w:t xml:space="preserve">requirement </w:t>
      </w:r>
      <w:r w:rsidR="004A2292" w:rsidRPr="003D5C0C">
        <w:rPr>
          <w:rFonts w:ascii="Arial" w:hAnsi="Arial" w:cs="Arial"/>
          <w:color w:val="000000" w:themeColor="text1"/>
        </w:rPr>
        <w:t xml:space="preserve">prediction by </w:t>
      </w:r>
      <w:r w:rsidR="008159EA" w:rsidRPr="003D5C0C">
        <w:rPr>
          <w:rFonts w:ascii="Arial" w:hAnsi="Arial" w:cs="Arial"/>
          <w:color w:val="000000" w:themeColor="text1"/>
        </w:rPr>
        <w:t xml:space="preserve">the </w:t>
      </w:r>
      <w:r w:rsidR="004A2292" w:rsidRPr="003D5C0C">
        <w:rPr>
          <w:rFonts w:ascii="Arial" w:hAnsi="Arial" w:cs="Arial"/>
          <w:color w:val="000000" w:themeColor="text1"/>
        </w:rPr>
        <w:t xml:space="preserve">log-log model using </w:t>
      </w:r>
      <w:r w:rsidR="008159EA" w:rsidRPr="003D5C0C">
        <w:rPr>
          <w:rFonts w:ascii="Arial" w:hAnsi="Arial" w:cs="Arial"/>
          <w:color w:val="000000" w:themeColor="text1"/>
        </w:rPr>
        <w:t xml:space="preserve">each of the </w:t>
      </w:r>
      <w:r w:rsidR="004A2292" w:rsidRPr="003D5C0C">
        <w:rPr>
          <w:rFonts w:ascii="Arial" w:hAnsi="Arial" w:cs="Arial"/>
          <w:color w:val="000000" w:themeColor="text1"/>
        </w:rPr>
        <w:t xml:space="preserve">input variables </w:t>
      </w:r>
      <w:r w:rsidR="008159EA" w:rsidRPr="003D5C0C">
        <w:rPr>
          <w:rFonts w:ascii="Arial" w:hAnsi="Arial" w:cs="Arial"/>
          <w:color w:val="000000" w:themeColor="text1"/>
        </w:rPr>
        <w:t xml:space="preserve">that comprise the </w:t>
      </w:r>
      <w:r w:rsidR="004A2292" w:rsidRPr="003D5C0C">
        <w:rPr>
          <w:rFonts w:ascii="Arial" w:hAnsi="Arial" w:cs="Arial"/>
          <w:color w:val="000000" w:themeColor="text1"/>
        </w:rPr>
        <w:t xml:space="preserve">affordability ratio and </w:t>
      </w:r>
      <w:r w:rsidR="008159EA" w:rsidRPr="003D5C0C">
        <w:rPr>
          <w:rFonts w:ascii="Arial" w:hAnsi="Arial" w:cs="Arial"/>
          <w:color w:val="000000" w:themeColor="text1"/>
        </w:rPr>
        <w:t xml:space="preserve">the projected growth in </w:t>
      </w:r>
      <w:r w:rsidR="004A2292" w:rsidRPr="003D5C0C">
        <w:rPr>
          <w:rFonts w:ascii="Arial" w:hAnsi="Arial" w:cs="Arial"/>
          <w:color w:val="000000" w:themeColor="text1"/>
        </w:rPr>
        <w:t xml:space="preserve">household </w:t>
      </w:r>
      <w:r w:rsidR="008159EA" w:rsidRPr="003D5C0C">
        <w:rPr>
          <w:rFonts w:ascii="Arial" w:hAnsi="Arial" w:cs="Arial"/>
          <w:color w:val="000000" w:themeColor="text1"/>
        </w:rPr>
        <w:t xml:space="preserve">formation: </w:t>
      </w:r>
      <w:r w:rsidR="00D70687" w:rsidRPr="003D5C0C">
        <w:rPr>
          <w:rFonts w:ascii="Arial" w:hAnsi="Arial" w:cs="Arial"/>
          <w:color w:val="000000" w:themeColor="text1"/>
        </w:rPr>
        <w:t>median house price</w:t>
      </w:r>
      <w:r w:rsidR="008159EA" w:rsidRPr="003D5C0C">
        <w:rPr>
          <w:rFonts w:ascii="Arial" w:hAnsi="Arial" w:cs="Arial"/>
          <w:color w:val="000000" w:themeColor="text1"/>
        </w:rPr>
        <w:t>s</w:t>
      </w:r>
      <w:r w:rsidR="00D70687" w:rsidRPr="003D5C0C">
        <w:rPr>
          <w:rFonts w:ascii="Arial" w:hAnsi="Arial" w:cs="Arial"/>
          <w:color w:val="000000" w:themeColor="text1"/>
        </w:rPr>
        <w:t xml:space="preserve">, median </w:t>
      </w:r>
      <w:r w:rsidR="008159EA" w:rsidRPr="003D5C0C">
        <w:rPr>
          <w:rFonts w:ascii="Arial" w:hAnsi="Arial" w:cs="Arial"/>
          <w:color w:val="000000" w:themeColor="text1"/>
        </w:rPr>
        <w:t>workplace-</w:t>
      </w:r>
      <w:r w:rsidR="00D70687" w:rsidRPr="003D5C0C">
        <w:rPr>
          <w:rFonts w:ascii="Arial" w:hAnsi="Arial" w:cs="Arial"/>
          <w:color w:val="000000" w:themeColor="text1"/>
        </w:rPr>
        <w:t>based earnings, population projection (2014-based), net-migration</w:t>
      </w:r>
      <w:r w:rsidR="00011F84">
        <w:rPr>
          <w:rFonts w:ascii="Arial" w:hAnsi="Arial" w:cs="Arial"/>
          <w:color w:val="000000" w:themeColor="text1"/>
        </w:rPr>
        <w:t xml:space="preserve"> rate</w:t>
      </w:r>
      <w:r w:rsidR="00D70687" w:rsidRPr="003D5C0C">
        <w:rPr>
          <w:rFonts w:ascii="Arial" w:hAnsi="Arial" w:cs="Arial"/>
          <w:color w:val="000000" w:themeColor="text1"/>
        </w:rPr>
        <w:t>, total fertility rate and crude death rate</w:t>
      </w:r>
      <w:r w:rsidR="00D70687" w:rsidRPr="003D5C0C">
        <w:rPr>
          <w:rStyle w:val="FootnoteReference"/>
          <w:rFonts w:ascii="Arial" w:hAnsi="Arial" w:cs="Arial"/>
          <w:color w:val="000000" w:themeColor="text1"/>
        </w:rPr>
        <w:footnoteReference w:id="1"/>
      </w:r>
      <w:r w:rsidR="008159EA" w:rsidRPr="003D5C0C">
        <w:rPr>
          <w:rFonts w:ascii="Arial" w:hAnsi="Arial" w:cs="Arial"/>
          <w:color w:val="000000" w:themeColor="text1"/>
        </w:rPr>
        <w:t xml:space="preserve">.  The log-log model is </w:t>
      </w:r>
      <w:r w:rsidR="00D70687" w:rsidRPr="003D5C0C">
        <w:rPr>
          <w:rFonts w:ascii="Arial" w:hAnsi="Arial" w:cs="Arial"/>
          <w:color w:val="000000" w:themeColor="text1"/>
        </w:rPr>
        <w:t>formulated as:</w:t>
      </w:r>
    </w:p>
    <w:p w14:paraId="2B1FD7C5" w14:textId="3F88FD5E" w:rsidR="00C339A9" w:rsidRPr="003D5C0C" w:rsidRDefault="00222823" w:rsidP="00DE2E60">
      <w:pPr>
        <w:spacing w:before="120" w:after="120"/>
        <w:jc w:val="both"/>
        <w:rPr>
          <w:rFonts w:ascii="Arial" w:hAnsi="Arial" w:cs="Arial"/>
          <w:color w:val="000000" w:themeColor="text1"/>
        </w:rPr>
      </w:pPr>
      <m:oMathPara>
        <m:oMath>
          <m:func>
            <m:funcPr>
              <m:ctrlPr>
                <w:rPr>
                  <w:rFonts w:ascii="Cambria Math" w:hAnsi="Cambria Math" w:cs="Arial"/>
                  <w:color w:val="000000" w:themeColor="text1"/>
                </w:rPr>
              </m:ctrlPr>
            </m:funcPr>
            <m:fName>
              <m:r>
                <m:rPr>
                  <m:sty m:val="p"/>
                </m:rPr>
                <w:rPr>
                  <w:rFonts w:ascii="Cambria Math" w:hAnsi="Cambria Math" w:cs="Arial"/>
                  <w:color w:val="000000" w:themeColor="text1"/>
                </w:rPr>
                <m:t>ln</m:t>
              </m:r>
            </m:fName>
            <m:e>
              <m:d>
                <m:dPr>
                  <m:ctrlPr>
                    <w:rPr>
                      <w:rFonts w:ascii="Cambria Math" w:hAnsi="Cambria Math" w:cs="Arial"/>
                      <w:color w:val="000000" w:themeColor="text1"/>
                    </w:rPr>
                  </m:ctrlPr>
                </m:dPr>
                <m:e>
                  <m:r>
                    <m:rPr>
                      <m:sty m:val="p"/>
                    </m:rPr>
                    <w:rPr>
                      <w:rFonts w:ascii="Cambria Math" w:hAnsi="Cambria Math" w:cs="Arial"/>
                      <w:color w:val="000000" w:themeColor="text1"/>
                    </w:rPr>
                    <m:t xml:space="preserve">Housing </m:t>
                  </m:r>
                  <m:r>
                    <m:rPr>
                      <m:sty m:val="p"/>
                    </m:rPr>
                    <w:rPr>
                      <w:rFonts w:ascii="Cambria Math" w:eastAsiaTheme="minorHAnsi" w:hAnsi="Cambria Math" w:cs="Arial"/>
                      <w:color w:val="000000" w:themeColor="text1"/>
                      <w:lang w:eastAsia="en-US"/>
                    </w:rPr>
                    <m:t>requirement</m:t>
                  </m:r>
                </m:e>
              </m:d>
            </m:e>
          </m:func>
          <m:r>
            <m:rPr>
              <m:sty m:val="p"/>
            </m:rPr>
            <w:rPr>
              <w:rFonts w:ascii="Cambria Math" w:hAnsi="Cambria Math" w:cs="Arial"/>
              <w:color w:val="000000" w:themeColor="text1"/>
            </w:rPr>
            <m:t>=</m:t>
          </m:r>
          <m:sSub>
            <m:sSubPr>
              <m:ctrlPr>
                <w:rPr>
                  <w:rFonts w:ascii="Cambria Math" w:hAnsi="Cambria Math" w:cs="Arial"/>
                  <w:color w:val="000000" w:themeColor="text1"/>
                </w:rPr>
              </m:ctrlPr>
            </m:sSubPr>
            <m:e>
              <m:r>
                <m:rPr>
                  <m:sty m:val="p"/>
                </m:rPr>
                <w:rPr>
                  <w:rFonts w:ascii="Cambria Math" w:hAnsi="Cambria Math" w:cs="Arial"/>
                  <w:color w:val="000000" w:themeColor="text1"/>
                </w:rPr>
                <m:t>α</m:t>
              </m:r>
            </m:e>
            <m:sub>
              <m:r>
                <w:rPr>
                  <w:rFonts w:ascii="Cambria Math" w:hAnsi="Cambria Math" w:cs="Arial"/>
                  <w:color w:val="000000" w:themeColor="text1"/>
                </w:rPr>
                <m:t>0</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m:rPr>
                  <m:sty m:val="p"/>
                </m:rPr>
                <w:rPr>
                  <w:rFonts w:ascii="Cambria Math" w:hAnsi="Cambria Math" w:cs="Arial"/>
                  <w:color w:val="000000" w:themeColor="text1"/>
                </w:rPr>
                <m:t>α</m:t>
              </m:r>
            </m:e>
            <m:sub>
              <m:r>
                <w:rPr>
                  <w:rFonts w:ascii="Cambria Math" w:hAnsi="Cambria Math" w:cs="Arial"/>
                  <w:color w:val="000000" w:themeColor="text1"/>
                </w:rPr>
                <m:t>1</m:t>
              </m:r>
            </m:sub>
          </m:sSub>
          <m:func>
            <m:funcPr>
              <m:ctrlPr>
                <w:rPr>
                  <w:rFonts w:ascii="Cambria Math" w:hAnsi="Cambria Math" w:cs="Arial"/>
                  <w:color w:val="000000" w:themeColor="text1"/>
                </w:rPr>
              </m:ctrlPr>
            </m:funcPr>
            <m:fName>
              <m:r>
                <m:rPr>
                  <m:sty m:val="p"/>
                </m:rPr>
                <w:rPr>
                  <w:rFonts w:ascii="Cambria Math" w:hAnsi="Cambria Math" w:cs="Arial"/>
                  <w:color w:val="000000" w:themeColor="text1"/>
                </w:rPr>
                <m:t>ln</m:t>
              </m:r>
            </m:fName>
            <m:e>
              <m:d>
                <m:dPr>
                  <m:ctrlPr>
                    <w:rPr>
                      <w:rFonts w:ascii="Cambria Math" w:hAnsi="Cambria Math" w:cs="Arial"/>
                      <w:color w:val="000000" w:themeColor="text1"/>
                    </w:rPr>
                  </m:ctrlPr>
                </m:dPr>
                <m:e>
                  <m:r>
                    <m:rPr>
                      <m:sty m:val="p"/>
                    </m:rPr>
                    <w:rPr>
                      <w:rFonts w:ascii="Cambria Math" w:hAnsi="Cambria Math" w:cs="Arial"/>
                      <w:color w:val="000000" w:themeColor="text1"/>
                    </w:rPr>
                    <m:t>median house price</m:t>
                  </m:r>
                </m:e>
              </m:d>
            </m:e>
          </m:func>
          <m:r>
            <m:rPr>
              <m:sty m:val="p"/>
            </m:rPr>
            <w:rPr>
              <w:rFonts w:ascii="Cambria Math" w:hAnsi="Cambria Math" w:cs="Arial"/>
              <w:color w:val="000000" w:themeColor="text1"/>
            </w:rPr>
            <m:t>+</m:t>
          </m:r>
          <m:sSub>
            <m:sSubPr>
              <m:ctrlPr>
                <w:rPr>
                  <w:rFonts w:ascii="Cambria Math" w:hAnsi="Cambria Math" w:cs="Arial"/>
                  <w:color w:val="000000" w:themeColor="text1"/>
                </w:rPr>
              </m:ctrlPr>
            </m:sSubPr>
            <m:e>
              <m:r>
                <m:rPr>
                  <m:sty m:val="p"/>
                </m:rPr>
                <w:rPr>
                  <w:rFonts w:ascii="Cambria Math" w:hAnsi="Cambria Math" w:cs="Arial"/>
                  <w:color w:val="000000" w:themeColor="text1"/>
                </w:rPr>
                <m:t>α</m:t>
              </m:r>
            </m:e>
            <m:sub>
              <m:r>
                <w:rPr>
                  <w:rFonts w:ascii="Cambria Math" w:hAnsi="Cambria Math" w:cs="Arial"/>
                  <w:color w:val="000000" w:themeColor="text1"/>
                </w:rPr>
                <m:t>2</m:t>
              </m:r>
            </m:sub>
          </m:sSub>
          <m:func>
            <m:funcPr>
              <m:ctrlPr>
                <w:rPr>
                  <w:rFonts w:ascii="Cambria Math" w:hAnsi="Cambria Math" w:cs="Arial"/>
                  <w:iCs/>
                  <w:color w:val="000000" w:themeColor="text1"/>
                </w:rPr>
              </m:ctrlPr>
            </m:funcPr>
            <m:fName>
              <m:r>
                <m:rPr>
                  <m:sty m:val="p"/>
                </m:rPr>
                <w:rPr>
                  <w:rFonts w:ascii="Cambria Math" w:hAnsi="Cambria Math" w:cs="Arial"/>
                  <w:color w:val="000000" w:themeColor="text1"/>
                </w:rPr>
                <m:t>ln</m:t>
              </m:r>
            </m:fName>
            <m:e>
              <m:d>
                <m:dPr>
                  <m:ctrlPr>
                    <w:rPr>
                      <w:rFonts w:ascii="Cambria Math" w:hAnsi="Cambria Math" w:cs="Arial"/>
                      <w:iCs/>
                      <w:color w:val="000000" w:themeColor="text1"/>
                    </w:rPr>
                  </m:ctrlPr>
                </m:dPr>
                <m:e>
                  <m:r>
                    <m:rPr>
                      <m:sty m:val="p"/>
                    </m:rPr>
                    <w:rPr>
                      <w:rFonts w:ascii="Cambria Math" w:hAnsi="Cambria Math" w:cs="Arial"/>
                      <w:color w:val="000000" w:themeColor="text1"/>
                    </w:rPr>
                    <m:t>median earnings</m:t>
                  </m:r>
                </m:e>
              </m:d>
              <m:r>
                <m:rPr>
                  <m:sty m:val="p"/>
                </m:rPr>
                <w:rPr>
                  <w:rFonts w:ascii="Cambria Math" w:hAnsi="Cambria Math" w:cs="Arial"/>
                  <w:color w:val="000000" w:themeColor="text1"/>
                </w:rPr>
                <m:t>+</m:t>
              </m:r>
              <m:sSub>
                <m:sSubPr>
                  <m:ctrlPr>
                    <w:rPr>
                      <w:rFonts w:ascii="Cambria Math" w:hAnsi="Cambria Math" w:cs="Arial"/>
                      <w:color w:val="000000" w:themeColor="text1"/>
                    </w:rPr>
                  </m:ctrlPr>
                </m:sSubPr>
                <m:e>
                  <m:r>
                    <m:rPr>
                      <m:sty m:val="p"/>
                    </m:rPr>
                    <w:rPr>
                      <w:rFonts w:ascii="Cambria Math" w:hAnsi="Cambria Math" w:cs="Arial"/>
                      <w:color w:val="000000" w:themeColor="text1"/>
                    </w:rPr>
                    <m:t>α</m:t>
                  </m:r>
                </m:e>
                <m:sub>
                  <m:r>
                    <w:rPr>
                      <w:rFonts w:ascii="Cambria Math" w:hAnsi="Cambria Math" w:cs="Arial"/>
                      <w:color w:val="000000" w:themeColor="text1"/>
                    </w:rPr>
                    <m:t>3</m:t>
                  </m:r>
                </m:sub>
              </m:sSub>
              <m:func>
                <m:funcPr>
                  <m:ctrlPr>
                    <w:rPr>
                      <w:rFonts w:ascii="Cambria Math" w:hAnsi="Cambria Math" w:cs="Arial"/>
                      <w:iCs/>
                      <w:color w:val="000000" w:themeColor="text1"/>
                    </w:rPr>
                  </m:ctrlPr>
                </m:funcPr>
                <m:fName>
                  <m:r>
                    <m:rPr>
                      <m:sty m:val="p"/>
                    </m:rPr>
                    <w:rPr>
                      <w:rFonts w:ascii="Cambria Math" w:hAnsi="Cambria Math" w:cs="Arial"/>
                      <w:color w:val="000000" w:themeColor="text1"/>
                    </w:rPr>
                    <m:t>ln</m:t>
                  </m:r>
                </m:fName>
                <m:e>
                  <m:d>
                    <m:dPr>
                      <m:ctrlPr>
                        <w:rPr>
                          <w:rFonts w:ascii="Cambria Math" w:hAnsi="Cambria Math" w:cs="Arial"/>
                          <w:iCs/>
                          <w:color w:val="000000" w:themeColor="text1"/>
                        </w:rPr>
                      </m:ctrlPr>
                    </m:dPr>
                    <m:e>
                      <m:r>
                        <m:rPr>
                          <m:sty m:val="p"/>
                        </m:rPr>
                        <w:rPr>
                          <w:rFonts w:ascii="Cambria Math" w:hAnsi="Cambria Math" w:cs="Arial"/>
                          <w:color w:val="000000" w:themeColor="text1"/>
                        </w:rPr>
                        <m:t>population</m:t>
                      </m:r>
                    </m:e>
                  </m:d>
                </m:e>
              </m:func>
              <m:r>
                <m:rPr>
                  <m:sty m:val="p"/>
                </m:rPr>
                <w:rPr>
                  <w:rFonts w:ascii="Cambria Math" w:hAnsi="Cambria Math" w:cs="Arial"/>
                  <w:color w:val="000000" w:themeColor="text1"/>
                </w:rPr>
                <m:t>+</m:t>
              </m:r>
              <m:sSub>
                <m:sSubPr>
                  <m:ctrlPr>
                    <w:rPr>
                      <w:rFonts w:ascii="Cambria Math" w:hAnsi="Cambria Math" w:cs="Arial"/>
                      <w:color w:val="000000" w:themeColor="text1"/>
                    </w:rPr>
                  </m:ctrlPr>
                </m:sSubPr>
                <m:e>
                  <m:r>
                    <m:rPr>
                      <m:sty m:val="p"/>
                    </m:rPr>
                    <w:rPr>
                      <w:rFonts w:ascii="Cambria Math" w:hAnsi="Cambria Math" w:cs="Arial"/>
                      <w:color w:val="000000" w:themeColor="text1"/>
                    </w:rPr>
                    <m:t>α</m:t>
                  </m:r>
                </m:e>
                <m:sub>
                  <m:r>
                    <w:rPr>
                      <w:rFonts w:ascii="Cambria Math" w:hAnsi="Cambria Math" w:cs="Arial"/>
                      <w:color w:val="000000" w:themeColor="text1"/>
                    </w:rPr>
                    <m:t>4</m:t>
                  </m:r>
                </m:sub>
              </m:sSub>
              <m:func>
                <m:funcPr>
                  <m:ctrlPr>
                    <w:rPr>
                      <w:rFonts w:ascii="Cambria Math" w:hAnsi="Cambria Math" w:cs="Arial"/>
                      <w:iCs/>
                      <w:color w:val="000000" w:themeColor="text1"/>
                    </w:rPr>
                  </m:ctrlPr>
                </m:funcPr>
                <m:fName>
                  <m:r>
                    <m:rPr>
                      <m:sty m:val="p"/>
                    </m:rPr>
                    <w:rPr>
                      <w:rFonts w:ascii="Cambria Math" w:hAnsi="Cambria Math" w:cs="Arial"/>
                      <w:color w:val="000000" w:themeColor="text1"/>
                    </w:rPr>
                    <m:t>ln</m:t>
                  </m:r>
                </m:fName>
                <m:e>
                  <m:d>
                    <m:dPr>
                      <m:ctrlPr>
                        <w:rPr>
                          <w:rFonts w:ascii="Cambria Math" w:hAnsi="Cambria Math" w:cs="Arial"/>
                          <w:iCs/>
                          <w:color w:val="000000" w:themeColor="text1"/>
                        </w:rPr>
                      </m:ctrlPr>
                    </m:dPr>
                    <m:e>
                      <m:r>
                        <m:rPr>
                          <m:sty m:val="p"/>
                        </m:rPr>
                        <w:rPr>
                          <w:rFonts w:ascii="Cambria Math" w:hAnsi="Cambria Math" w:cs="Arial"/>
                          <w:color w:val="000000" w:themeColor="text1"/>
                        </w:rPr>
                        <m:t>net migration rate</m:t>
                      </m:r>
                    </m:e>
                  </m:d>
                </m:e>
              </m:func>
              <m:r>
                <m:rPr>
                  <m:sty m:val="p"/>
                </m:rPr>
                <w:rPr>
                  <w:rFonts w:ascii="Cambria Math" w:hAnsi="Cambria Math" w:cs="Arial"/>
                  <w:color w:val="000000" w:themeColor="text1"/>
                </w:rPr>
                <m:t>+</m:t>
              </m:r>
              <m:sSub>
                <m:sSubPr>
                  <m:ctrlPr>
                    <w:rPr>
                      <w:rFonts w:ascii="Cambria Math" w:hAnsi="Cambria Math" w:cs="Arial"/>
                      <w:color w:val="000000" w:themeColor="text1"/>
                    </w:rPr>
                  </m:ctrlPr>
                </m:sSubPr>
                <m:e>
                  <m:r>
                    <m:rPr>
                      <m:sty m:val="p"/>
                    </m:rPr>
                    <w:rPr>
                      <w:rFonts w:ascii="Cambria Math" w:hAnsi="Cambria Math" w:cs="Arial"/>
                      <w:color w:val="000000" w:themeColor="text1"/>
                    </w:rPr>
                    <m:t>α</m:t>
                  </m:r>
                </m:e>
                <m:sub>
                  <m:r>
                    <w:rPr>
                      <w:rFonts w:ascii="Cambria Math" w:hAnsi="Cambria Math" w:cs="Arial"/>
                      <w:color w:val="000000" w:themeColor="text1"/>
                    </w:rPr>
                    <m:t>5</m:t>
                  </m:r>
                </m:sub>
              </m:sSub>
              <m:func>
                <m:funcPr>
                  <m:ctrlPr>
                    <w:rPr>
                      <w:rFonts w:ascii="Cambria Math" w:hAnsi="Cambria Math" w:cs="Arial"/>
                      <w:iCs/>
                      <w:color w:val="000000" w:themeColor="text1"/>
                    </w:rPr>
                  </m:ctrlPr>
                </m:funcPr>
                <m:fName>
                  <m:r>
                    <m:rPr>
                      <m:sty m:val="p"/>
                    </m:rPr>
                    <w:rPr>
                      <w:rFonts w:ascii="Cambria Math" w:hAnsi="Cambria Math" w:cs="Arial"/>
                      <w:color w:val="000000" w:themeColor="text1"/>
                    </w:rPr>
                    <m:t>ln</m:t>
                  </m:r>
                </m:fName>
                <m:e>
                  <m:d>
                    <m:dPr>
                      <m:ctrlPr>
                        <w:rPr>
                          <w:rFonts w:ascii="Cambria Math" w:hAnsi="Cambria Math" w:cs="Arial"/>
                          <w:iCs/>
                          <w:color w:val="000000" w:themeColor="text1"/>
                        </w:rPr>
                      </m:ctrlPr>
                    </m:dPr>
                    <m:e>
                      <m:r>
                        <m:rPr>
                          <m:sty m:val="p"/>
                        </m:rPr>
                        <w:rPr>
                          <w:rFonts w:ascii="Cambria Math" w:hAnsi="Cambria Math" w:cs="Arial"/>
                          <w:color w:val="000000" w:themeColor="text1"/>
                        </w:rPr>
                        <m:t>fertility rate</m:t>
                      </m:r>
                    </m:e>
                  </m:d>
                </m:e>
              </m:func>
              <m:r>
                <m:rPr>
                  <m:sty m:val="p"/>
                </m:rPr>
                <w:rPr>
                  <w:rFonts w:ascii="Cambria Math" w:hAnsi="Cambria Math" w:cs="Arial"/>
                  <w:color w:val="000000" w:themeColor="text1"/>
                </w:rPr>
                <m:t>+</m:t>
              </m:r>
              <m:sSub>
                <m:sSubPr>
                  <m:ctrlPr>
                    <w:rPr>
                      <w:rFonts w:ascii="Cambria Math" w:hAnsi="Cambria Math" w:cs="Arial"/>
                      <w:color w:val="000000" w:themeColor="text1"/>
                    </w:rPr>
                  </m:ctrlPr>
                </m:sSubPr>
                <m:e>
                  <m:r>
                    <m:rPr>
                      <m:sty m:val="p"/>
                    </m:rPr>
                    <w:rPr>
                      <w:rFonts w:ascii="Cambria Math" w:hAnsi="Cambria Math" w:cs="Arial"/>
                      <w:color w:val="000000" w:themeColor="text1"/>
                    </w:rPr>
                    <m:t>α</m:t>
                  </m:r>
                </m:e>
                <m:sub>
                  <m:r>
                    <w:rPr>
                      <w:rFonts w:ascii="Cambria Math" w:hAnsi="Cambria Math" w:cs="Arial"/>
                      <w:color w:val="000000" w:themeColor="text1"/>
                    </w:rPr>
                    <m:t>6</m:t>
                  </m:r>
                </m:sub>
              </m:sSub>
              <m:func>
                <m:funcPr>
                  <m:ctrlPr>
                    <w:rPr>
                      <w:rFonts w:ascii="Cambria Math" w:hAnsi="Cambria Math" w:cs="Arial"/>
                      <w:iCs/>
                      <w:color w:val="000000" w:themeColor="text1"/>
                    </w:rPr>
                  </m:ctrlPr>
                </m:funcPr>
                <m:fName>
                  <m:r>
                    <m:rPr>
                      <m:sty m:val="p"/>
                    </m:rPr>
                    <w:rPr>
                      <w:rFonts w:ascii="Cambria Math" w:hAnsi="Cambria Math" w:cs="Arial"/>
                      <w:color w:val="000000" w:themeColor="text1"/>
                    </w:rPr>
                    <m:t>ln</m:t>
                  </m:r>
                </m:fName>
                <m:e>
                  <m:d>
                    <m:dPr>
                      <m:ctrlPr>
                        <w:rPr>
                          <w:rFonts w:ascii="Cambria Math" w:hAnsi="Cambria Math" w:cs="Arial"/>
                          <w:iCs/>
                          <w:color w:val="000000" w:themeColor="text1"/>
                        </w:rPr>
                      </m:ctrlPr>
                    </m:dPr>
                    <m:e>
                      <m:r>
                        <m:rPr>
                          <m:sty m:val="p"/>
                        </m:rPr>
                        <w:rPr>
                          <w:rFonts w:ascii="Cambria Math" w:hAnsi="Cambria Math" w:cs="Arial"/>
                          <w:color w:val="000000" w:themeColor="text1"/>
                        </w:rPr>
                        <m:t>crude death rate</m:t>
                      </m:r>
                    </m:e>
                  </m:d>
                </m:e>
              </m:func>
            </m:e>
          </m:func>
          <m:r>
            <m:rPr>
              <m:sty m:val="p"/>
            </m:rPr>
            <w:rPr>
              <w:rFonts w:ascii="Cambria Math" w:hAnsi="Cambria Math" w:cs="Arial"/>
              <w:color w:val="000000" w:themeColor="text1"/>
            </w:rPr>
            <m:t>+</m:t>
          </m:r>
          <m:r>
            <w:rPr>
              <w:rFonts w:ascii="Cambria Math" w:hAnsi="Cambria Math" w:cs="Arial"/>
              <w:color w:val="000000" w:themeColor="text1"/>
            </w:rPr>
            <m:t>e</m:t>
          </m:r>
        </m:oMath>
      </m:oMathPara>
    </w:p>
    <w:p w14:paraId="10156799" w14:textId="77777777" w:rsidR="00A82B86" w:rsidRPr="003D5C0C" w:rsidRDefault="00A82B86" w:rsidP="006633FA">
      <w:pPr>
        <w:spacing w:before="120" w:after="120" w:line="480" w:lineRule="auto"/>
        <w:jc w:val="both"/>
        <w:rPr>
          <w:rFonts w:ascii="Arial" w:hAnsi="Arial" w:cs="Arial"/>
          <w:color w:val="000000" w:themeColor="text1"/>
        </w:rPr>
      </w:pPr>
    </w:p>
    <w:p w14:paraId="301782DA" w14:textId="23982747" w:rsidR="008D3922" w:rsidRPr="003D5C0C" w:rsidRDefault="00A82B86" w:rsidP="006633FA">
      <w:pPr>
        <w:spacing w:before="120" w:after="120" w:line="480" w:lineRule="auto"/>
        <w:jc w:val="both"/>
        <w:rPr>
          <w:rFonts w:ascii="Arial" w:hAnsi="Arial" w:cs="Arial"/>
          <w:color w:val="000000" w:themeColor="text1"/>
        </w:rPr>
      </w:pPr>
      <w:r w:rsidRPr="003D5C0C">
        <w:rPr>
          <w:rFonts w:ascii="Arial" w:hAnsi="Arial" w:cs="Arial"/>
          <w:color w:val="000000" w:themeColor="text1"/>
        </w:rPr>
        <w:t xml:space="preserve">The </w:t>
      </w:r>
      <w:r w:rsidR="002828E1" w:rsidRPr="003D5C0C">
        <w:rPr>
          <w:rFonts w:ascii="Arial" w:hAnsi="Arial" w:cs="Arial"/>
          <w:color w:val="000000" w:themeColor="text1"/>
        </w:rPr>
        <w:t xml:space="preserve">result of the log-log </w:t>
      </w:r>
      <w:r w:rsidRPr="003D5C0C">
        <w:rPr>
          <w:rFonts w:ascii="Arial" w:hAnsi="Arial" w:cs="Arial"/>
          <w:color w:val="000000" w:themeColor="text1"/>
        </w:rPr>
        <w:t xml:space="preserve">regression is reported in Table </w:t>
      </w:r>
      <w:r w:rsidR="002828E1" w:rsidRPr="003D5C0C">
        <w:rPr>
          <w:rFonts w:ascii="Arial" w:hAnsi="Arial" w:cs="Arial"/>
          <w:color w:val="000000" w:themeColor="text1"/>
        </w:rPr>
        <w:t>4</w:t>
      </w:r>
      <w:r w:rsidRPr="003D5C0C">
        <w:rPr>
          <w:rFonts w:ascii="Arial" w:hAnsi="Arial" w:cs="Arial"/>
          <w:color w:val="000000" w:themeColor="text1"/>
        </w:rPr>
        <w:t xml:space="preserve">. </w:t>
      </w:r>
      <w:r w:rsidR="00D737AC" w:rsidRPr="003D5C0C">
        <w:rPr>
          <w:rFonts w:ascii="Arial" w:hAnsi="Arial" w:cs="Arial"/>
          <w:color w:val="000000" w:themeColor="text1"/>
        </w:rPr>
        <w:t xml:space="preserve"> </w:t>
      </w:r>
      <w:r w:rsidRPr="003D5C0C">
        <w:rPr>
          <w:rFonts w:ascii="Arial" w:hAnsi="Arial" w:cs="Arial"/>
          <w:color w:val="000000" w:themeColor="text1"/>
        </w:rPr>
        <w:t>Th</w:t>
      </w:r>
      <w:r w:rsidR="002828E1" w:rsidRPr="003D5C0C">
        <w:rPr>
          <w:rFonts w:ascii="Arial" w:hAnsi="Arial" w:cs="Arial"/>
          <w:color w:val="000000" w:themeColor="text1"/>
        </w:rPr>
        <w:t>is shows</w:t>
      </w:r>
      <w:r w:rsidRPr="003D5C0C">
        <w:rPr>
          <w:rFonts w:ascii="Arial" w:hAnsi="Arial" w:cs="Arial"/>
          <w:color w:val="000000" w:themeColor="text1"/>
        </w:rPr>
        <w:t xml:space="preserve"> that the logarithmic values of median house price</w:t>
      </w:r>
      <w:r w:rsidR="008159EA" w:rsidRPr="003D5C0C">
        <w:rPr>
          <w:rFonts w:ascii="Arial" w:hAnsi="Arial" w:cs="Arial"/>
          <w:color w:val="000000" w:themeColor="text1"/>
        </w:rPr>
        <w:t>s</w:t>
      </w:r>
      <w:r w:rsidRPr="003D5C0C">
        <w:rPr>
          <w:rFonts w:ascii="Arial" w:hAnsi="Arial" w:cs="Arial"/>
          <w:color w:val="000000" w:themeColor="text1"/>
        </w:rPr>
        <w:t xml:space="preserve">, </w:t>
      </w:r>
      <w:r w:rsidR="008159EA" w:rsidRPr="003D5C0C">
        <w:rPr>
          <w:rFonts w:ascii="Arial" w:hAnsi="Arial" w:cs="Arial"/>
          <w:color w:val="000000" w:themeColor="text1"/>
        </w:rPr>
        <w:t xml:space="preserve">the </w:t>
      </w:r>
      <w:r w:rsidRPr="003D5C0C">
        <w:rPr>
          <w:rFonts w:ascii="Arial" w:hAnsi="Arial" w:cs="Arial"/>
          <w:color w:val="000000" w:themeColor="text1"/>
        </w:rPr>
        <w:t xml:space="preserve">population projection, net-migration </w:t>
      </w:r>
      <w:r w:rsidR="00011F84">
        <w:rPr>
          <w:rFonts w:ascii="Arial" w:hAnsi="Arial" w:cs="Arial"/>
          <w:color w:val="000000" w:themeColor="text1"/>
        </w:rPr>
        <w:t xml:space="preserve">rate </w:t>
      </w:r>
      <w:r w:rsidRPr="003D5C0C">
        <w:rPr>
          <w:rFonts w:ascii="Arial" w:hAnsi="Arial" w:cs="Arial"/>
          <w:color w:val="000000" w:themeColor="text1"/>
        </w:rPr>
        <w:t xml:space="preserve">and </w:t>
      </w:r>
      <w:r w:rsidR="002828E1" w:rsidRPr="003D5C0C">
        <w:rPr>
          <w:rFonts w:ascii="Arial" w:hAnsi="Arial" w:cs="Arial"/>
          <w:color w:val="000000" w:themeColor="text1"/>
        </w:rPr>
        <w:t xml:space="preserve">the </w:t>
      </w:r>
      <w:r w:rsidRPr="003D5C0C">
        <w:rPr>
          <w:rFonts w:ascii="Arial" w:hAnsi="Arial" w:cs="Arial"/>
          <w:color w:val="000000" w:themeColor="text1"/>
        </w:rPr>
        <w:t xml:space="preserve">total fertility rate are </w:t>
      </w:r>
      <w:r w:rsidR="008159EA" w:rsidRPr="003D5C0C">
        <w:rPr>
          <w:rFonts w:ascii="Arial" w:hAnsi="Arial" w:cs="Arial"/>
          <w:color w:val="000000" w:themeColor="text1"/>
        </w:rPr>
        <w:t xml:space="preserve">all </w:t>
      </w:r>
      <w:r w:rsidRPr="003D5C0C">
        <w:rPr>
          <w:rFonts w:ascii="Arial" w:hAnsi="Arial" w:cs="Arial"/>
          <w:color w:val="000000" w:themeColor="text1"/>
        </w:rPr>
        <w:t>positively (and linearly) associated with the log of</w:t>
      </w:r>
      <w:r w:rsidR="002828E1" w:rsidRPr="003D5C0C">
        <w:rPr>
          <w:rFonts w:ascii="Arial" w:hAnsi="Arial" w:cs="Arial"/>
          <w:color w:val="000000" w:themeColor="text1"/>
        </w:rPr>
        <w:t xml:space="preserve"> the Standard Method’s assessment of</w:t>
      </w:r>
      <w:r w:rsidRPr="003D5C0C">
        <w:rPr>
          <w:rFonts w:ascii="Arial" w:hAnsi="Arial" w:cs="Arial"/>
          <w:color w:val="000000" w:themeColor="text1"/>
        </w:rPr>
        <w:t xml:space="preserve"> housing </w:t>
      </w:r>
      <w:r w:rsidR="006E335E" w:rsidRPr="003D5C0C">
        <w:rPr>
          <w:rFonts w:ascii="Arial" w:eastAsiaTheme="minorHAnsi" w:hAnsi="Arial" w:cs="Arial"/>
          <w:color w:val="000000" w:themeColor="text1"/>
          <w:lang w:eastAsia="en-US"/>
        </w:rPr>
        <w:t>requirement</w:t>
      </w:r>
      <w:r w:rsidRPr="003D5C0C">
        <w:rPr>
          <w:rFonts w:ascii="Arial" w:hAnsi="Arial" w:cs="Arial"/>
          <w:color w:val="000000" w:themeColor="text1"/>
        </w:rPr>
        <w:t xml:space="preserve">, while the logarithmic values of median </w:t>
      </w:r>
      <w:r w:rsidR="008159EA" w:rsidRPr="003D5C0C">
        <w:rPr>
          <w:rFonts w:ascii="Arial" w:hAnsi="Arial" w:cs="Arial"/>
          <w:color w:val="000000" w:themeColor="text1"/>
        </w:rPr>
        <w:t xml:space="preserve">work place-based </w:t>
      </w:r>
      <w:r w:rsidR="00CF5692" w:rsidRPr="003D5C0C">
        <w:rPr>
          <w:rFonts w:ascii="Arial" w:hAnsi="Arial" w:cs="Arial"/>
          <w:color w:val="000000" w:themeColor="text1"/>
        </w:rPr>
        <w:t xml:space="preserve">earnings and crude death rate </w:t>
      </w:r>
      <w:r w:rsidR="002828E1" w:rsidRPr="003D5C0C">
        <w:rPr>
          <w:rFonts w:ascii="Arial" w:hAnsi="Arial" w:cs="Arial"/>
          <w:color w:val="000000" w:themeColor="text1"/>
        </w:rPr>
        <w:t xml:space="preserve">have a </w:t>
      </w:r>
      <w:r w:rsidR="00CF5692" w:rsidRPr="003D5C0C">
        <w:rPr>
          <w:rFonts w:ascii="Arial" w:hAnsi="Arial" w:cs="Arial"/>
          <w:color w:val="000000" w:themeColor="text1"/>
        </w:rPr>
        <w:t>negative (and linear) associat</w:t>
      </w:r>
      <w:r w:rsidR="002828E1" w:rsidRPr="003D5C0C">
        <w:rPr>
          <w:rFonts w:ascii="Arial" w:hAnsi="Arial" w:cs="Arial"/>
          <w:color w:val="000000" w:themeColor="text1"/>
        </w:rPr>
        <w:t>ion</w:t>
      </w:r>
      <w:r w:rsidR="00CF5692" w:rsidRPr="003D5C0C">
        <w:rPr>
          <w:rFonts w:ascii="Arial" w:hAnsi="Arial" w:cs="Arial"/>
          <w:color w:val="000000" w:themeColor="text1"/>
        </w:rPr>
        <w:t xml:space="preserve">. </w:t>
      </w:r>
      <w:r w:rsidR="00D737AC" w:rsidRPr="003D5C0C">
        <w:rPr>
          <w:rFonts w:ascii="Arial" w:hAnsi="Arial" w:cs="Arial"/>
          <w:color w:val="000000" w:themeColor="text1"/>
        </w:rPr>
        <w:t xml:space="preserve"> </w:t>
      </w:r>
      <w:r w:rsidR="0034297B">
        <w:rPr>
          <w:rFonts w:ascii="Arial" w:hAnsi="Arial" w:cs="Arial"/>
          <w:color w:val="000000" w:themeColor="text1"/>
        </w:rPr>
        <w:t>Considering the two component variables of affordability ratio, the coefficient estimates of the median house price and median earnings</w:t>
      </w:r>
      <w:r w:rsidR="00DC7930">
        <w:rPr>
          <w:rFonts w:ascii="Arial" w:hAnsi="Arial" w:cs="Arial"/>
          <w:color w:val="000000" w:themeColor="text1"/>
        </w:rPr>
        <w:t xml:space="preserve"> </w:t>
      </w:r>
      <w:r w:rsidR="0034297B">
        <w:rPr>
          <w:rFonts w:ascii="Arial" w:hAnsi="Arial" w:cs="Arial"/>
          <w:color w:val="000000" w:themeColor="text1"/>
        </w:rPr>
        <w:t xml:space="preserve">are </w:t>
      </w:r>
      <m:oMath>
        <m:sSub>
          <m:sSubPr>
            <m:ctrlPr>
              <w:rPr>
                <w:rFonts w:ascii="Cambria Math" w:hAnsi="Cambria Math" w:cs="Arial"/>
                <w:color w:val="000000" w:themeColor="text1"/>
              </w:rPr>
            </m:ctrlPr>
          </m:sSubPr>
          <m:e>
            <m:acc>
              <m:accPr>
                <m:ctrlPr>
                  <w:rPr>
                    <w:rFonts w:ascii="Cambria Math" w:hAnsi="Cambria Math" w:cs="Arial"/>
                    <w:color w:val="000000" w:themeColor="text1"/>
                  </w:rPr>
                </m:ctrlPr>
              </m:accPr>
              <m:e>
                <m:r>
                  <m:rPr>
                    <m:sty m:val="p"/>
                  </m:rPr>
                  <w:rPr>
                    <w:rFonts w:ascii="Cambria Math" w:hAnsi="Cambria Math" w:cs="Arial"/>
                    <w:color w:val="000000" w:themeColor="text1"/>
                  </w:rPr>
                  <m:t>α</m:t>
                </m:r>
              </m:e>
            </m:acc>
          </m:e>
          <m:sub>
            <m:r>
              <w:rPr>
                <w:rFonts w:ascii="Cambria Math" w:hAnsi="Cambria Math" w:cs="Arial"/>
                <w:color w:val="000000" w:themeColor="text1"/>
              </w:rPr>
              <m:t>1</m:t>
            </m:r>
          </m:sub>
        </m:sSub>
        <m:r>
          <w:rPr>
            <w:rFonts w:ascii="Cambria Math" w:hAnsi="Cambria Math" w:cs="Arial"/>
            <w:color w:val="000000" w:themeColor="text1"/>
          </w:rPr>
          <m:t>=0.799</m:t>
        </m:r>
      </m:oMath>
      <w:r w:rsidR="0034297B">
        <w:rPr>
          <w:rFonts w:ascii="Arial" w:hAnsi="Arial" w:cs="Arial"/>
          <w:color w:val="000000" w:themeColor="text1"/>
        </w:rPr>
        <w:t xml:space="preserve"> and </w:t>
      </w:r>
      <m:oMath>
        <m:sSub>
          <m:sSubPr>
            <m:ctrlPr>
              <w:rPr>
                <w:rFonts w:ascii="Cambria Math" w:hAnsi="Cambria Math" w:cs="Arial"/>
                <w:color w:val="000000" w:themeColor="text1"/>
              </w:rPr>
            </m:ctrlPr>
          </m:sSubPr>
          <m:e>
            <m:acc>
              <m:accPr>
                <m:ctrlPr>
                  <w:rPr>
                    <w:rFonts w:ascii="Cambria Math" w:hAnsi="Cambria Math" w:cs="Arial"/>
                    <w:color w:val="000000" w:themeColor="text1"/>
                  </w:rPr>
                </m:ctrlPr>
              </m:accPr>
              <m:e>
                <m:r>
                  <m:rPr>
                    <m:sty m:val="p"/>
                  </m:rPr>
                  <w:rPr>
                    <w:rFonts w:ascii="Cambria Math" w:hAnsi="Cambria Math" w:cs="Arial"/>
                    <w:color w:val="000000" w:themeColor="text1"/>
                  </w:rPr>
                  <m:t>α</m:t>
                </m:r>
              </m:e>
            </m:acc>
          </m:e>
          <m:sub>
            <m:r>
              <w:rPr>
                <w:rFonts w:ascii="Cambria Math" w:hAnsi="Cambria Math" w:cs="Arial"/>
                <w:color w:val="000000" w:themeColor="text1"/>
              </w:rPr>
              <m:t>2</m:t>
            </m:r>
          </m:sub>
        </m:sSub>
        <m:r>
          <w:rPr>
            <w:rFonts w:ascii="Cambria Math" w:hAnsi="Cambria Math" w:cs="Arial"/>
            <w:color w:val="000000" w:themeColor="text1"/>
          </w:rPr>
          <m:t>=-0.398</m:t>
        </m:r>
      </m:oMath>
      <w:r w:rsidR="0034297B">
        <w:rPr>
          <w:rFonts w:ascii="Arial" w:hAnsi="Arial" w:cs="Arial"/>
          <w:color w:val="000000" w:themeColor="text1"/>
        </w:rPr>
        <w:t xml:space="preserve"> respectively, indicating that the assessment of housing requirement is more elastic to the change in the median house price than the change in the median work-place based earnings. On the other hand, among the four component variables considered in the household projections, the coefficient estimate of population projection is </w:t>
      </w:r>
      <m:oMath>
        <m:sSub>
          <m:sSubPr>
            <m:ctrlPr>
              <w:rPr>
                <w:rFonts w:ascii="Cambria Math" w:hAnsi="Cambria Math" w:cs="Arial"/>
                <w:color w:val="000000" w:themeColor="text1"/>
              </w:rPr>
            </m:ctrlPr>
          </m:sSubPr>
          <m:e>
            <m:acc>
              <m:accPr>
                <m:ctrlPr>
                  <w:rPr>
                    <w:rFonts w:ascii="Cambria Math" w:hAnsi="Cambria Math" w:cs="Arial"/>
                    <w:color w:val="000000" w:themeColor="text1"/>
                  </w:rPr>
                </m:ctrlPr>
              </m:accPr>
              <m:e>
                <m:r>
                  <m:rPr>
                    <m:sty m:val="p"/>
                  </m:rPr>
                  <w:rPr>
                    <w:rFonts w:ascii="Cambria Math" w:hAnsi="Cambria Math" w:cs="Arial"/>
                    <w:color w:val="000000" w:themeColor="text1"/>
                  </w:rPr>
                  <m:t>α</m:t>
                </m:r>
              </m:e>
            </m:acc>
          </m:e>
          <m:sub>
            <m:r>
              <w:rPr>
                <w:rFonts w:ascii="Cambria Math" w:hAnsi="Cambria Math" w:cs="Arial"/>
                <w:color w:val="000000" w:themeColor="text1"/>
              </w:rPr>
              <m:t>3</m:t>
            </m:r>
          </m:sub>
        </m:sSub>
        <m:r>
          <w:rPr>
            <w:rFonts w:ascii="Cambria Math" w:hAnsi="Cambria Math" w:cs="Arial"/>
            <w:color w:val="000000" w:themeColor="text1"/>
          </w:rPr>
          <m:t>=1.05</m:t>
        </m:r>
      </m:oMath>
      <w:r w:rsidR="0034297B">
        <w:rPr>
          <w:rFonts w:ascii="Arial" w:hAnsi="Arial" w:cs="Arial"/>
          <w:color w:val="000000" w:themeColor="text1"/>
        </w:rPr>
        <w:t xml:space="preserve"> </w:t>
      </w:r>
      <w:r w:rsidR="00F63F6F">
        <w:rPr>
          <w:rFonts w:ascii="Arial" w:hAnsi="Arial" w:cs="Arial"/>
          <w:color w:val="000000" w:themeColor="text1"/>
        </w:rPr>
        <w:t>i</w:t>
      </w:r>
      <w:r w:rsidR="00DC7930">
        <w:rPr>
          <w:rFonts w:ascii="Arial" w:hAnsi="Arial" w:cs="Arial"/>
          <w:color w:val="000000" w:themeColor="text1"/>
        </w:rPr>
        <w:t>ndicating that the assessment of housing requirement is close to being unit elastic to the change in population projection</w:t>
      </w:r>
      <w:r w:rsidR="00B138CD">
        <w:rPr>
          <w:rFonts w:ascii="Arial" w:hAnsi="Arial" w:cs="Arial"/>
          <w:color w:val="000000" w:themeColor="text1"/>
        </w:rPr>
        <w:t>.</w:t>
      </w:r>
      <w:r w:rsidR="0034297B">
        <w:rPr>
          <w:rFonts w:ascii="Arial" w:hAnsi="Arial" w:cs="Arial"/>
          <w:color w:val="000000" w:themeColor="text1"/>
        </w:rPr>
        <w:t xml:space="preserve"> </w:t>
      </w:r>
      <w:r w:rsidR="00B138CD">
        <w:rPr>
          <w:rFonts w:ascii="Arial" w:hAnsi="Arial" w:cs="Arial"/>
          <w:color w:val="000000" w:themeColor="text1"/>
        </w:rPr>
        <w:t>T</w:t>
      </w:r>
      <w:r w:rsidR="00CF5692" w:rsidRPr="003D5C0C">
        <w:rPr>
          <w:rFonts w:ascii="Arial" w:hAnsi="Arial" w:cs="Arial"/>
          <w:color w:val="000000" w:themeColor="text1"/>
        </w:rPr>
        <w:t xml:space="preserve">he coefficient estimates of fertility rate and crude death rate are </w:t>
      </w:r>
      <w:r w:rsidR="00B138CD">
        <w:rPr>
          <w:rFonts w:ascii="Arial" w:hAnsi="Arial" w:cs="Arial"/>
          <w:color w:val="000000" w:themeColor="text1"/>
        </w:rPr>
        <w:t>0.312</w:t>
      </w:r>
      <w:r w:rsidR="00CF5692" w:rsidRPr="003D5C0C">
        <w:rPr>
          <w:rFonts w:ascii="Arial" w:hAnsi="Arial" w:cs="Arial"/>
          <w:color w:val="000000" w:themeColor="text1"/>
        </w:rPr>
        <w:t xml:space="preserve"> and </w:t>
      </w:r>
      <w:r w:rsidR="00B138CD">
        <w:rPr>
          <w:rFonts w:ascii="Arial" w:hAnsi="Arial" w:cs="Arial"/>
          <w:color w:val="000000" w:themeColor="text1"/>
        </w:rPr>
        <w:t>-0.278</w:t>
      </w:r>
      <w:r w:rsidR="00CF5692" w:rsidRPr="003D5C0C">
        <w:rPr>
          <w:rFonts w:ascii="Arial" w:hAnsi="Arial" w:cs="Arial"/>
          <w:color w:val="000000" w:themeColor="text1"/>
        </w:rPr>
        <w:t xml:space="preserve"> respectively, indicating that</w:t>
      </w:r>
      <w:r w:rsidR="008159EA" w:rsidRPr="003D5C0C">
        <w:rPr>
          <w:rFonts w:ascii="Arial" w:hAnsi="Arial" w:cs="Arial"/>
          <w:color w:val="000000" w:themeColor="text1"/>
        </w:rPr>
        <w:t xml:space="preserve"> the Standard Method’s assessment of</w:t>
      </w:r>
      <w:r w:rsidR="00CF5692" w:rsidRPr="003D5C0C">
        <w:rPr>
          <w:rFonts w:ascii="Arial" w:hAnsi="Arial" w:cs="Arial"/>
          <w:color w:val="000000" w:themeColor="text1"/>
        </w:rPr>
        <w:t xml:space="preserve"> housing </w:t>
      </w:r>
      <w:r w:rsidR="006E335E" w:rsidRPr="003D5C0C">
        <w:rPr>
          <w:rFonts w:ascii="Arial" w:eastAsiaTheme="minorHAnsi" w:hAnsi="Arial" w:cs="Arial"/>
          <w:color w:val="000000" w:themeColor="text1"/>
          <w:lang w:eastAsia="en-US"/>
        </w:rPr>
        <w:t xml:space="preserve">requirement </w:t>
      </w:r>
      <w:r w:rsidR="00CF5692" w:rsidRPr="003D5C0C">
        <w:rPr>
          <w:rFonts w:ascii="Arial" w:hAnsi="Arial" w:cs="Arial"/>
          <w:color w:val="000000" w:themeColor="text1"/>
        </w:rPr>
        <w:t xml:space="preserve">is not very responsive to </w:t>
      </w:r>
      <w:r w:rsidR="008159EA" w:rsidRPr="003D5C0C">
        <w:rPr>
          <w:rFonts w:ascii="Arial" w:hAnsi="Arial" w:cs="Arial"/>
          <w:color w:val="000000" w:themeColor="text1"/>
        </w:rPr>
        <w:t>a</w:t>
      </w:r>
      <w:r w:rsidR="00CF5692" w:rsidRPr="003D5C0C">
        <w:rPr>
          <w:rFonts w:ascii="Arial" w:hAnsi="Arial" w:cs="Arial"/>
          <w:color w:val="000000" w:themeColor="text1"/>
        </w:rPr>
        <w:t xml:space="preserve"> change in </w:t>
      </w:r>
      <w:r w:rsidR="008159EA" w:rsidRPr="003D5C0C">
        <w:rPr>
          <w:rFonts w:ascii="Arial" w:hAnsi="Arial" w:cs="Arial"/>
          <w:color w:val="000000" w:themeColor="text1"/>
        </w:rPr>
        <w:t xml:space="preserve">either the </w:t>
      </w:r>
      <w:r w:rsidR="00CF5692" w:rsidRPr="003D5C0C">
        <w:rPr>
          <w:rFonts w:ascii="Arial" w:hAnsi="Arial" w:cs="Arial"/>
          <w:color w:val="000000" w:themeColor="text1"/>
        </w:rPr>
        <w:t xml:space="preserve">fertility rate </w:t>
      </w:r>
      <w:r w:rsidR="008159EA" w:rsidRPr="003D5C0C">
        <w:rPr>
          <w:rFonts w:ascii="Arial" w:hAnsi="Arial" w:cs="Arial"/>
          <w:color w:val="000000" w:themeColor="text1"/>
        </w:rPr>
        <w:t xml:space="preserve">or the </w:t>
      </w:r>
      <w:r w:rsidR="00CF5692" w:rsidRPr="003D5C0C">
        <w:rPr>
          <w:rFonts w:ascii="Arial" w:hAnsi="Arial" w:cs="Arial"/>
          <w:color w:val="000000" w:themeColor="text1"/>
        </w:rPr>
        <w:t xml:space="preserve">crude death rate. </w:t>
      </w:r>
      <w:r w:rsidR="00D737AC" w:rsidRPr="003D5C0C">
        <w:rPr>
          <w:rFonts w:ascii="Arial" w:hAnsi="Arial" w:cs="Arial"/>
          <w:color w:val="000000" w:themeColor="text1"/>
        </w:rPr>
        <w:t xml:space="preserve"> </w:t>
      </w:r>
      <w:r w:rsidR="00CF5692" w:rsidRPr="003D5C0C">
        <w:rPr>
          <w:rFonts w:ascii="Arial" w:hAnsi="Arial" w:cs="Arial"/>
          <w:color w:val="000000" w:themeColor="text1"/>
        </w:rPr>
        <w:t xml:space="preserve">Lastly, the coefficient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α</m:t>
            </m:r>
          </m:e>
          <m:sub>
            <m:r>
              <w:rPr>
                <w:rFonts w:ascii="Cambria Math" w:hAnsi="Cambria Math" w:cs="Arial"/>
                <w:color w:val="000000" w:themeColor="text1"/>
              </w:rPr>
              <m:t>4</m:t>
            </m:r>
          </m:sub>
        </m:sSub>
        <m:r>
          <w:rPr>
            <w:rFonts w:ascii="Cambria Math" w:hAnsi="Cambria Math" w:cs="Arial"/>
            <w:color w:val="000000" w:themeColor="text1"/>
          </w:rPr>
          <m:t>=0.059</m:t>
        </m:r>
      </m:oMath>
      <w:r w:rsidR="00CF5692" w:rsidRPr="003D5C0C">
        <w:rPr>
          <w:rFonts w:ascii="Arial" w:hAnsi="Arial" w:cs="Arial"/>
          <w:color w:val="000000" w:themeColor="text1"/>
        </w:rPr>
        <w:t xml:space="preserve"> indicates that the </w:t>
      </w:r>
      <w:r w:rsidR="008159EA" w:rsidRPr="003D5C0C">
        <w:rPr>
          <w:rFonts w:ascii="Arial" w:hAnsi="Arial" w:cs="Arial"/>
          <w:color w:val="000000" w:themeColor="text1"/>
        </w:rPr>
        <w:t xml:space="preserve">Standard Method’s assessment of </w:t>
      </w:r>
      <w:r w:rsidR="00CF5692" w:rsidRPr="003D5C0C">
        <w:rPr>
          <w:rFonts w:ascii="Arial" w:hAnsi="Arial" w:cs="Arial"/>
          <w:color w:val="000000" w:themeColor="text1"/>
        </w:rPr>
        <w:t xml:space="preserve">housing </w:t>
      </w:r>
      <w:r w:rsidR="006E335E" w:rsidRPr="003D5C0C">
        <w:rPr>
          <w:rFonts w:ascii="Arial" w:eastAsiaTheme="minorHAnsi" w:hAnsi="Arial" w:cs="Arial"/>
          <w:color w:val="000000" w:themeColor="text1"/>
          <w:lang w:eastAsia="en-US"/>
        </w:rPr>
        <w:t xml:space="preserve">requirement </w:t>
      </w:r>
      <w:r w:rsidR="00CF5692" w:rsidRPr="003D5C0C">
        <w:rPr>
          <w:rFonts w:ascii="Arial" w:hAnsi="Arial" w:cs="Arial"/>
          <w:color w:val="000000" w:themeColor="text1"/>
        </w:rPr>
        <w:t>is almost non-responsive to the change in net-migration</w:t>
      </w:r>
      <w:r w:rsidR="00011F84">
        <w:rPr>
          <w:rFonts w:ascii="Arial" w:hAnsi="Arial" w:cs="Arial"/>
          <w:color w:val="000000" w:themeColor="text1"/>
        </w:rPr>
        <w:t xml:space="preserve"> rate</w:t>
      </w:r>
      <w:r w:rsidR="00CF5692" w:rsidRPr="003D5C0C">
        <w:rPr>
          <w:rFonts w:ascii="Arial" w:hAnsi="Arial" w:cs="Arial"/>
          <w:color w:val="000000" w:themeColor="text1"/>
        </w:rPr>
        <w:t xml:space="preserve">. </w:t>
      </w:r>
    </w:p>
    <w:p w14:paraId="51DCFF9C" w14:textId="67A186FD" w:rsidR="00477BAB" w:rsidRPr="003D5C0C" w:rsidRDefault="00477BAB" w:rsidP="00477BAB">
      <w:pPr>
        <w:pStyle w:val="Caption"/>
        <w:keepNext/>
        <w:rPr>
          <w:rFonts w:ascii="Arial" w:hAnsi="Arial" w:cs="Arial"/>
          <w:color w:val="000000" w:themeColor="text1"/>
          <w:sz w:val="24"/>
          <w:szCs w:val="24"/>
        </w:rPr>
      </w:pPr>
      <w:r w:rsidRPr="003D5C0C">
        <w:rPr>
          <w:rFonts w:ascii="Arial" w:hAnsi="Arial" w:cs="Arial"/>
          <w:color w:val="000000" w:themeColor="text1"/>
          <w:sz w:val="24"/>
          <w:szCs w:val="24"/>
        </w:rPr>
        <w:lastRenderedPageBreak/>
        <w:t xml:space="preserve">Table </w:t>
      </w:r>
      <w:r w:rsidR="00CB3C37">
        <w:rPr>
          <w:rFonts w:ascii="Arial" w:hAnsi="Arial" w:cs="Arial"/>
          <w:color w:val="000000" w:themeColor="text1"/>
          <w:sz w:val="24"/>
          <w:szCs w:val="24"/>
        </w:rPr>
        <w:t>1</w:t>
      </w:r>
      <w:r w:rsidRPr="003D5C0C">
        <w:rPr>
          <w:rFonts w:ascii="Arial" w:hAnsi="Arial" w:cs="Arial"/>
          <w:color w:val="000000" w:themeColor="text1"/>
          <w:sz w:val="24"/>
          <w:szCs w:val="24"/>
        </w:rPr>
        <w:t xml:space="preserve"> Regression result from log-log model of housing </w:t>
      </w:r>
      <w:r w:rsidRPr="003D5C0C">
        <w:rPr>
          <w:rFonts w:ascii="Arial" w:eastAsiaTheme="minorHAnsi" w:hAnsi="Arial" w:cs="Arial"/>
          <w:color w:val="000000" w:themeColor="text1"/>
          <w:sz w:val="24"/>
          <w:szCs w:val="24"/>
          <w:lang w:eastAsia="en-US"/>
        </w:rPr>
        <w:t xml:space="preserve">requirement </w:t>
      </w:r>
      <w:r w:rsidRPr="003D5C0C">
        <w:rPr>
          <w:rFonts w:ascii="Arial" w:hAnsi="Arial" w:cs="Arial"/>
          <w:color w:val="000000" w:themeColor="text1"/>
          <w:sz w:val="24"/>
          <w:szCs w:val="24"/>
        </w:rPr>
        <w:t>on layer 2 inputs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776"/>
      </w:tblGrid>
      <w:tr w:rsidR="00477BAB" w:rsidRPr="003D5C0C" w14:paraId="1428881E" w14:textId="77777777" w:rsidTr="00730D1B">
        <w:tc>
          <w:tcPr>
            <w:tcW w:w="5240" w:type="dxa"/>
            <w:tcBorders>
              <w:top w:val="single" w:sz="4" w:space="0" w:color="auto"/>
              <w:bottom w:val="single" w:sz="4" w:space="0" w:color="auto"/>
            </w:tcBorders>
          </w:tcPr>
          <w:p w14:paraId="2646EDB3" w14:textId="77777777" w:rsidR="00477BAB" w:rsidRPr="003D5C0C" w:rsidRDefault="00477BAB" w:rsidP="00730D1B">
            <w:pPr>
              <w:spacing w:before="120" w:after="120"/>
              <w:jc w:val="both"/>
              <w:rPr>
                <w:rFonts w:ascii="Arial" w:hAnsi="Arial" w:cs="Arial"/>
                <w:color w:val="000000" w:themeColor="text1"/>
              </w:rPr>
            </w:pPr>
            <w:r w:rsidRPr="003D5C0C">
              <w:rPr>
                <w:rFonts w:ascii="Arial" w:hAnsi="Arial" w:cs="Arial"/>
                <w:color w:val="000000" w:themeColor="text1"/>
              </w:rPr>
              <w:t>Input variable</w:t>
            </w:r>
          </w:p>
        </w:tc>
        <w:tc>
          <w:tcPr>
            <w:tcW w:w="3776" w:type="dxa"/>
            <w:tcBorders>
              <w:top w:val="single" w:sz="4" w:space="0" w:color="auto"/>
              <w:bottom w:val="single" w:sz="4" w:space="0" w:color="auto"/>
            </w:tcBorders>
          </w:tcPr>
          <w:p w14:paraId="0A19A055" w14:textId="77777777" w:rsidR="00477BAB" w:rsidRPr="003D5C0C" w:rsidRDefault="00477BAB" w:rsidP="00730D1B">
            <w:pPr>
              <w:spacing w:before="120" w:after="120"/>
              <w:jc w:val="both"/>
              <w:rPr>
                <w:rFonts w:ascii="Arial" w:hAnsi="Arial" w:cs="Arial"/>
                <w:color w:val="000000" w:themeColor="text1"/>
              </w:rPr>
            </w:pPr>
            <w:r w:rsidRPr="003D5C0C">
              <w:rPr>
                <w:rFonts w:ascii="Arial" w:hAnsi="Arial" w:cs="Arial"/>
                <w:color w:val="000000" w:themeColor="text1"/>
              </w:rPr>
              <w:t>Coefficient estimate (p-value)</w:t>
            </w:r>
          </w:p>
        </w:tc>
      </w:tr>
      <w:tr w:rsidR="00477BAB" w:rsidRPr="003D5C0C" w14:paraId="3FF5AF26" w14:textId="77777777" w:rsidTr="00730D1B">
        <w:tc>
          <w:tcPr>
            <w:tcW w:w="5240" w:type="dxa"/>
            <w:tcBorders>
              <w:top w:val="single" w:sz="4" w:space="0" w:color="auto"/>
            </w:tcBorders>
          </w:tcPr>
          <w:p w14:paraId="71FA92F4" w14:textId="77777777" w:rsidR="00477BAB" w:rsidRPr="003D5C0C" w:rsidRDefault="00477BAB" w:rsidP="00730D1B">
            <w:pPr>
              <w:spacing w:before="120" w:after="120"/>
              <w:jc w:val="both"/>
              <w:rPr>
                <w:rFonts w:ascii="Arial" w:hAnsi="Arial" w:cs="Arial"/>
                <w:color w:val="000000" w:themeColor="text1"/>
              </w:rPr>
            </w:pPr>
            <w:r w:rsidRPr="003D5C0C">
              <w:rPr>
                <w:rFonts w:ascii="Arial" w:hAnsi="Arial" w:cs="Arial"/>
                <w:color w:val="000000" w:themeColor="text1"/>
              </w:rPr>
              <w:t>Log of median house price</w:t>
            </w:r>
          </w:p>
        </w:tc>
        <w:tc>
          <w:tcPr>
            <w:tcW w:w="3776" w:type="dxa"/>
            <w:tcBorders>
              <w:top w:val="single" w:sz="4" w:space="0" w:color="auto"/>
            </w:tcBorders>
          </w:tcPr>
          <w:p w14:paraId="34E4935A" w14:textId="0CBAF192" w:rsidR="00477BAB" w:rsidRPr="003D5C0C" w:rsidRDefault="00477BAB" w:rsidP="00730D1B">
            <w:pPr>
              <w:spacing w:before="120" w:after="120"/>
              <w:jc w:val="center"/>
              <w:rPr>
                <w:rFonts w:ascii="Arial" w:hAnsi="Arial" w:cs="Arial"/>
                <w:color w:val="000000" w:themeColor="text1"/>
              </w:rPr>
            </w:pPr>
            <w:r>
              <w:rPr>
                <w:rFonts w:ascii="Arial" w:hAnsi="Arial" w:cs="Arial"/>
                <w:color w:val="000000" w:themeColor="text1"/>
              </w:rPr>
              <w:t>0.</w:t>
            </w:r>
            <w:r w:rsidR="00011F84">
              <w:rPr>
                <w:rFonts w:ascii="Arial" w:hAnsi="Arial" w:cs="Arial"/>
                <w:color w:val="000000" w:themeColor="text1"/>
              </w:rPr>
              <w:t>799</w:t>
            </w:r>
            <w:r w:rsidRPr="003D5C0C">
              <w:rPr>
                <w:rFonts w:ascii="Arial" w:hAnsi="Arial" w:cs="Arial"/>
                <w:color w:val="000000" w:themeColor="text1"/>
              </w:rPr>
              <w:t xml:space="preserve"> (0.00)</w:t>
            </w:r>
          </w:p>
        </w:tc>
      </w:tr>
      <w:tr w:rsidR="00477BAB" w:rsidRPr="003D5C0C" w14:paraId="3CBBD058" w14:textId="77777777" w:rsidTr="00730D1B">
        <w:tc>
          <w:tcPr>
            <w:tcW w:w="5240" w:type="dxa"/>
          </w:tcPr>
          <w:p w14:paraId="4F4D1B45" w14:textId="77777777" w:rsidR="00477BAB" w:rsidRPr="003D5C0C" w:rsidRDefault="00477BAB" w:rsidP="00730D1B">
            <w:pPr>
              <w:spacing w:before="120" w:after="120"/>
              <w:jc w:val="both"/>
              <w:rPr>
                <w:rFonts w:ascii="Arial" w:hAnsi="Arial" w:cs="Arial"/>
                <w:color w:val="000000" w:themeColor="text1"/>
              </w:rPr>
            </w:pPr>
            <w:r w:rsidRPr="003D5C0C">
              <w:rPr>
                <w:rFonts w:ascii="Arial" w:hAnsi="Arial" w:cs="Arial"/>
                <w:color w:val="000000" w:themeColor="text1"/>
              </w:rPr>
              <w:t>Log of median WPB earnings</w:t>
            </w:r>
          </w:p>
        </w:tc>
        <w:tc>
          <w:tcPr>
            <w:tcW w:w="3776" w:type="dxa"/>
          </w:tcPr>
          <w:p w14:paraId="5C1C176E" w14:textId="27859EB0" w:rsidR="00477BAB" w:rsidRPr="003D5C0C" w:rsidRDefault="00477BAB" w:rsidP="00730D1B">
            <w:pPr>
              <w:spacing w:before="120" w:after="120"/>
              <w:jc w:val="center"/>
              <w:rPr>
                <w:rFonts w:ascii="Arial" w:hAnsi="Arial" w:cs="Arial"/>
                <w:color w:val="000000" w:themeColor="text1"/>
              </w:rPr>
            </w:pPr>
            <w:r>
              <w:rPr>
                <w:rFonts w:ascii="Arial" w:hAnsi="Arial" w:cs="Arial"/>
                <w:color w:val="000000" w:themeColor="text1"/>
              </w:rPr>
              <w:t>-0.</w:t>
            </w:r>
            <w:r w:rsidR="00011F84">
              <w:rPr>
                <w:rFonts w:ascii="Arial" w:hAnsi="Arial" w:cs="Arial"/>
                <w:color w:val="000000" w:themeColor="text1"/>
              </w:rPr>
              <w:t>398</w:t>
            </w:r>
            <w:r w:rsidRPr="003D5C0C">
              <w:rPr>
                <w:rFonts w:ascii="Arial" w:hAnsi="Arial" w:cs="Arial"/>
                <w:color w:val="000000" w:themeColor="text1"/>
              </w:rPr>
              <w:t xml:space="preserve"> (0.00)</w:t>
            </w:r>
          </w:p>
        </w:tc>
      </w:tr>
      <w:tr w:rsidR="00477BAB" w:rsidRPr="003D5C0C" w14:paraId="696EBCF7" w14:textId="77777777" w:rsidTr="00730D1B">
        <w:tc>
          <w:tcPr>
            <w:tcW w:w="5240" w:type="dxa"/>
          </w:tcPr>
          <w:p w14:paraId="0C34A3B4" w14:textId="77777777" w:rsidR="00477BAB" w:rsidRPr="003D5C0C" w:rsidRDefault="00477BAB" w:rsidP="00730D1B">
            <w:pPr>
              <w:spacing w:before="120" w:after="120"/>
              <w:jc w:val="both"/>
              <w:rPr>
                <w:rFonts w:ascii="Arial" w:hAnsi="Arial" w:cs="Arial"/>
                <w:color w:val="000000" w:themeColor="text1"/>
              </w:rPr>
            </w:pPr>
            <w:r w:rsidRPr="003D5C0C">
              <w:rPr>
                <w:rFonts w:ascii="Arial" w:hAnsi="Arial" w:cs="Arial"/>
                <w:color w:val="000000" w:themeColor="text1"/>
              </w:rPr>
              <w:t>Log of population projection</w:t>
            </w:r>
          </w:p>
        </w:tc>
        <w:tc>
          <w:tcPr>
            <w:tcW w:w="3776" w:type="dxa"/>
          </w:tcPr>
          <w:p w14:paraId="5A78DACC" w14:textId="26ADB150" w:rsidR="00477BAB" w:rsidRPr="003D5C0C" w:rsidRDefault="00011F84" w:rsidP="00730D1B">
            <w:pPr>
              <w:spacing w:before="120" w:after="120"/>
              <w:jc w:val="center"/>
              <w:rPr>
                <w:rFonts w:ascii="Arial" w:hAnsi="Arial" w:cs="Arial"/>
                <w:color w:val="000000" w:themeColor="text1"/>
              </w:rPr>
            </w:pPr>
            <w:r>
              <w:rPr>
                <w:rFonts w:ascii="Arial" w:hAnsi="Arial" w:cs="Arial"/>
                <w:color w:val="000000" w:themeColor="text1"/>
              </w:rPr>
              <w:t>1.050</w:t>
            </w:r>
            <w:r w:rsidR="00477BAB" w:rsidRPr="003D5C0C">
              <w:rPr>
                <w:rFonts w:ascii="Arial" w:hAnsi="Arial" w:cs="Arial"/>
                <w:color w:val="000000" w:themeColor="text1"/>
              </w:rPr>
              <w:t xml:space="preserve"> (0.00)</w:t>
            </w:r>
          </w:p>
        </w:tc>
      </w:tr>
      <w:tr w:rsidR="00477BAB" w:rsidRPr="003D5C0C" w14:paraId="396EDD4B" w14:textId="77777777" w:rsidTr="00730D1B">
        <w:tc>
          <w:tcPr>
            <w:tcW w:w="5240" w:type="dxa"/>
          </w:tcPr>
          <w:p w14:paraId="58544F68" w14:textId="70013CCC" w:rsidR="00477BAB" w:rsidRPr="003D5C0C" w:rsidRDefault="00477BAB" w:rsidP="00730D1B">
            <w:pPr>
              <w:spacing w:before="120" w:after="120"/>
              <w:jc w:val="both"/>
              <w:rPr>
                <w:rFonts w:ascii="Arial" w:hAnsi="Arial" w:cs="Arial"/>
                <w:color w:val="000000" w:themeColor="text1"/>
              </w:rPr>
            </w:pPr>
            <w:r w:rsidRPr="003D5C0C">
              <w:rPr>
                <w:rFonts w:ascii="Arial" w:hAnsi="Arial" w:cs="Arial"/>
                <w:color w:val="000000" w:themeColor="text1"/>
              </w:rPr>
              <w:t>Log of net-migration</w:t>
            </w:r>
            <w:r w:rsidR="00602551">
              <w:rPr>
                <w:rFonts w:ascii="Arial" w:hAnsi="Arial" w:cs="Arial"/>
                <w:color w:val="000000" w:themeColor="text1"/>
              </w:rPr>
              <w:t xml:space="preserve"> rate</w:t>
            </w:r>
          </w:p>
        </w:tc>
        <w:tc>
          <w:tcPr>
            <w:tcW w:w="3776" w:type="dxa"/>
          </w:tcPr>
          <w:p w14:paraId="35773667" w14:textId="4DF05951" w:rsidR="00477BAB" w:rsidRPr="003D5C0C" w:rsidRDefault="00477BAB" w:rsidP="00730D1B">
            <w:pPr>
              <w:spacing w:before="120" w:after="120"/>
              <w:jc w:val="center"/>
              <w:rPr>
                <w:rFonts w:ascii="Arial" w:hAnsi="Arial" w:cs="Arial"/>
                <w:color w:val="000000" w:themeColor="text1"/>
              </w:rPr>
            </w:pPr>
            <w:r>
              <w:rPr>
                <w:rFonts w:ascii="Arial" w:hAnsi="Arial" w:cs="Arial"/>
                <w:color w:val="000000" w:themeColor="text1"/>
              </w:rPr>
              <w:t>0.0</w:t>
            </w:r>
            <w:r w:rsidR="00011F84">
              <w:rPr>
                <w:rFonts w:ascii="Arial" w:hAnsi="Arial" w:cs="Arial"/>
                <w:color w:val="000000" w:themeColor="text1"/>
              </w:rPr>
              <w:t>59</w:t>
            </w:r>
            <w:r w:rsidRPr="003D5C0C">
              <w:rPr>
                <w:rFonts w:ascii="Arial" w:hAnsi="Arial" w:cs="Arial"/>
                <w:color w:val="000000" w:themeColor="text1"/>
              </w:rPr>
              <w:t xml:space="preserve"> (0.</w:t>
            </w:r>
            <w:r w:rsidR="00245F1A">
              <w:rPr>
                <w:rFonts w:ascii="Arial" w:hAnsi="Arial" w:cs="Arial"/>
                <w:color w:val="000000" w:themeColor="text1"/>
              </w:rPr>
              <w:t>09</w:t>
            </w:r>
            <w:r w:rsidRPr="003D5C0C">
              <w:rPr>
                <w:rFonts w:ascii="Arial" w:hAnsi="Arial" w:cs="Arial"/>
                <w:color w:val="000000" w:themeColor="text1"/>
              </w:rPr>
              <w:t>)</w:t>
            </w:r>
          </w:p>
        </w:tc>
      </w:tr>
      <w:tr w:rsidR="00477BAB" w:rsidRPr="003D5C0C" w14:paraId="16C3A4ED" w14:textId="77777777" w:rsidTr="00730D1B">
        <w:tc>
          <w:tcPr>
            <w:tcW w:w="5240" w:type="dxa"/>
          </w:tcPr>
          <w:p w14:paraId="6D2C51D9" w14:textId="77777777" w:rsidR="00477BAB" w:rsidRPr="003D5C0C" w:rsidRDefault="00477BAB" w:rsidP="00730D1B">
            <w:pPr>
              <w:spacing w:before="120" w:after="120"/>
              <w:jc w:val="both"/>
              <w:rPr>
                <w:rFonts w:ascii="Arial" w:hAnsi="Arial" w:cs="Arial"/>
                <w:color w:val="000000" w:themeColor="text1"/>
              </w:rPr>
            </w:pPr>
            <w:r w:rsidRPr="003D5C0C">
              <w:rPr>
                <w:rFonts w:ascii="Arial" w:hAnsi="Arial" w:cs="Arial"/>
                <w:color w:val="000000" w:themeColor="text1"/>
              </w:rPr>
              <w:t>Log of total fertility rate</w:t>
            </w:r>
          </w:p>
        </w:tc>
        <w:tc>
          <w:tcPr>
            <w:tcW w:w="3776" w:type="dxa"/>
          </w:tcPr>
          <w:p w14:paraId="584CD63C" w14:textId="3084C583" w:rsidR="00477BAB" w:rsidRPr="003D5C0C" w:rsidRDefault="00477BAB" w:rsidP="00730D1B">
            <w:pPr>
              <w:spacing w:before="120" w:after="120"/>
              <w:jc w:val="center"/>
              <w:rPr>
                <w:rFonts w:ascii="Arial" w:hAnsi="Arial" w:cs="Arial"/>
                <w:color w:val="000000" w:themeColor="text1"/>
              </w:rPr>
            </w:pPr>
            <w:r>
              <w:rPr>
                <w:rFonts w:ascii="Arial" w:hAnsi="Arial" w:cs="Arial"/>
                <w:color w:val="000000" w:themeColor="text1"/>
              </w:rPr>
              <w:t>0.</w:t>
            </w:r>
            <w:r w:rsidR="00245F1A">
              <w:rPr>
                <w:rFonts w:ascii="Arial" w:hAnsi="Arial" w:cs="Arial"/>
                <w:color w:val="000000" w:themeColor="text1"/>
              </w:rPr>
              <w:t>312</w:t>
            </w:r>
            <w:r w:rsidRPr="003D5C0C">
              <w:rPr>
                <w:rFonts w:ascii="Arial" w:hAnsi="Arial" w:cs="Arial"/>
                <w:color w:val="000000" w:themeColor="text1"/>
              </w:rPr>
              <w:t xml:space="preserve"> (0.</w:t>
            </w:r>
            <w:r w:rsidR="00245F1A">
              <w:rPr>
                <w:rFonts w:ascii="Arial" w:hAnsi="Arial" w:cs="Arial"/>
                <w:color w:val="000000" w:themeColor="text1"/>
              </w:rPr>
              <w:t>46</w:t>
            </w:r>
            <w:r w:rsidRPr="003D5C0C">
              <w:rPr>
                <w:rFonts w:ascii="Arial" w:hAnsi="Arial" w:cs="Arial"/>
                <w:color w:val="000000" w:themeColor="text1"/>
              </w:rPr>
              <w:t>)</w:t>
            </w:r>
          </w:p>
        </w:tc>
      </w:tr>
      <w:tr w:rsidR="00477BAB" w:rsidRPr="003D5C0C" w14:paraId="2F0F6926" w14:textId="77777777" w:rsidTr="00730D1B">
        <w:tc>
          <w:tcPr>
            <w:tcW w:w="5240" w:type="dxa"/>
          </w:tcPr>
          <w:p w14:paraId="6A9AC580" w14:textId="77777777" w:rsidR="00477BAB" w:rsidRPr="003D5C0C" w:rsidRDefault="00477BAB" w:rsidP="00730D1B">
            <w:pPr>
              <w:spacing w:before="120" w:after="120"/>
              <w:jc w:val="both"/>
              <w:rPr>
                <w:rFonts w:ascii="Arial" w:hAnsi="Arial" w:cs="Arial"/>
                <w:color w:val="000000" w:themeColor="text1"/>
              </w:rPr>
            </w:pPr>
            <w:r w:rsidRPr="003D5C0C">
              <w:rPr>
                <w:rFonts w:ascii="Arial" w:hAnsi="Arial" w:cs="Arial"/>
                <w:color w:val="000000" w:themeColor="text1"/>
              </w:rPr>
              <w:t>Log of crude death rate</w:t>
            </w:r>
          </w:p>
        </w:tc>
        <w:tc>
          <w:tcPr>
            <w:tcW w:w="3776" w:type="dxa"/>
          </w:tcPr>
          <w:p w14:paraId="4E97C28D" w14:textId="5CB4197B" w:rsidR="00477BAB" w:rsidRPr="003D5C0C" w:rsidRDefault="00477BAB" w:rsidP="00730D1B">
            <w:pPr>
              <w:spacing w:before="120" w:after="120"/>
              <w:jc w:val="center"/>
              <w:rPr>
                <w:rFonts w:ascii="Arial" w:hAnsi="Arial" w:cs="Arial"/>
                <w:color w:val="000000" w:themeColor="text1"/>
              </w:rPr>
            </w:pPr>
            <w:r>
              <w:rPr>
                <w:rFonts w:ascii="Arial" w:hAnsi="Arial" w:cs="Arial"/>
                <w:color w:val="000000" w:themeColor="text1"/>
              </w:rPr>
              <w:t>-0.</w:t>
            </w:r>
            <w:r w:rsidR="00245F1A">
              <w:rPr>
                <w:rFonts w:ascii="Arial" w:hAnsi="Arial" w:cs="Arial"/>
                <w:color w:val="000000" w:themeColor="text1"/>
              </w:rPr>
              <w:t>278</w:t>
            </w:r>
            <w:r w:rsidRPr="003D5C0C">
              <w:rPr>
                <w:rFonts w:ascii="Arial" w:hAnsi="Arial" w:cs="Arial"/>
                <w:color w:val="000000" w:themeColor="text1"/>
              </w:rPr>
              <w:t xml:space="preserve"> (0.</w:t>
            </w:r>
            <w:r>
              <w:rPr>
                <w:rFonts w:ascii="Arial" w:hAnsi="Arial" w:cs="Arial"/>
                <w:color w:val="000000" w:themeColor="text1"/>
              </w:rPr>
              <w:t>2</w:t>
            </w:r>
            <w:r w:rsidR="00245F1A">
              <w:rPr>
                <w:rFonts w:ascii="Arial" w:hAnsi="Arial" w:cs="Arial"/>
                <w:color w:val="000000" w:themeColor="text1"/>
              </w:rPr>
              <w:t>5</w:t>
            </w:r>
            <w:r w:rsidRPr="003D5C0C">
              <w:rPr>
                <w:rFonts w:ascii="Arial" w:hAnsi="Arial" w:cs="Arial"/>
                <w:color w:val="000000" w:themeColor="text1"/>
              </w:rPr>
              <w:t>)</w:t>
            </w:r>
          </w:p>
        </w:tc>
      </w:tr>
      <w:tr w:rsidR="00477BAB" w:rsidRPr="003D5C0C" w14:paraId="04B934D4" w14:textId="77777777" w:rsidTr="00730D1B">
        <w:trPr>
          <w:trHeight w:val="205"/>
        </w:trPr>
        <w:tc>
          <w:tcPr>
            <w:tcW w:w="5240" w:type="dxa"/>
            <w:tcBorders>
              <w:bottom w:val="single" w:sz="4" w:space="0" w:color="auto"/>
            </w:tcBorders>
          </w:tcPr>
          <w:p w14:paraId="7D41AD0B" w14:textId="2351525D" w:rsidR="00477BAB" w:rsidRPr="003D5C0C" w:rsidRDefault="00011F84" w:rsidP="00730D1B">
            <w:pPr>
              <w:spacing w:before="120" w:after="120"/>
              <w:jc w:val="both"/>
              <w:rPr>
                <w:rFonts w:ascii="Arial" w:hAnsi="Arial" w:cs="Arial"/>
                <w:color w:val="000000" w:themeColor="text1"/>
              </w:rPr>
            </w:pPr>
            <w:r w:rsidRPr="00011F84">
              <w:rPr>
                <w:rFonts w:ascii="Arial" w:hAnsi="Arial" w:cs="Arial"/>
                <w:color w:val="000000" w:themeColor="text1"/>
              </w:rPr>
              <w:t xml:space="preserve">Adjusted </w:t>
            </w:r>
            <m:oMath>
              <m:sSup>
                <m:sSupPr>
                  <m:ctrlPr>
                    <w:rPr>
                      <w:rFonts w:ascii="Cambria Math" w:hAnsi="Cambria Math" w:cs="Arial"/>
                      <w:color w:val="000000" w:themeColor="text1"/>
                    </w:rPr>
                  </m:ctrlPr>
                </m:sSupPr>
                <m:e>
                  <m:r>
                    <w:rPr>
                      <w:rFonts w:ascii="Cambria Math" w:hAnsi="Cambria Math" w:cs="Arial"/>
                      <w:color w:val="000000" w:themeColor="text1"/>
                    </w:rPr>
                    <m:t>R</m:t>
                  </m:r>
                </m:e>
                <m:sup>
                  <m:r>
                    <m:rPr>
                      <m:sty m:val="p"/>
                    </m:rPr>
                    <w:rPr>
                      <w:rFonts w:ascii="Cambria Math" w:hAnsi="Cambria Math" w:cs="Arial"/>
                      <w:color w:val="000000" w:themeColor="text1"/>
                    </w:rPr>
                    <m:t>2</m:t>
                  </m:r>
                </m:sup>
              </m:sSup>
            </m:oMath>
          </w:p>
        </w:tc>
        <w:tc>
          <w:tcPr>
            <w:tcW w:w="3776" w:type="dxa"/>
            <w:tcBorders>
              <w:bottom w:val="single" w:sz="4" w:space="0" w:color="auto"/>
            </w:tcBorders>
          </w:tcPr>
          <w:p w14:paraId="5B9881D2" w14:textId="0E1FE5D8" w:rsidR="00477BAB" w:rsidRPr="003D5C0C" w:rsidRDefault="00245F1A" w:rsidP="00730D1B">
            <w:pPr>
              <w:spacing w:before="120" w:after="120"/>
              <w:jc w:val="center"/>
              <w:rPr>
                <w:rFonts w:ascii="Arial" w:hAnsi="Arial" w:cs="Arial"/>
                <w:color w:val="000000" w:themeColor="text1"/>
              </w:rPr>
            </w:pPr>
            <w:r>
              <w:rPr>
                <w:rFonts w:ascii="Arial" w:hAnsi="Arial" w:cs="Arial"/>
                <w:color w:val="000000" w:themeColor="text1"/>
              </w:rPr>
              <w:t>73.1</w:t>
            </w:r>
            <w:r w:rsidR="00477BAB">
              <w:rPr>
                <w:rFonts w:ascii="Arial" w:hAnsi="Arial" w:cs="Arial"/>
                <w:color w:val="000000" w:themeColor="text1"/>
              </w:rPr>
              <w:t>%</w:t>
            </w:r>
          </w:p>
        </w:tc>
      </w:tr>
    </w:tbl>
    <w:p w14:paraId="502C4CD5" w14:textId="77777777" w:rsidR="00477BAB" w:rsidRPr="003D5C0C" w:rsidRDefault="00477BAB" w:rsidP="00477BAB">
      <w:pPr>
        <w:spacing w:before="120" w:after="120"/>
        <w:jc w:val="both"/>
        <w:rPr>
          <w:rFonts w:ascii="Arial" w:hAnsi="Arial" w:cs="Arial"/>
          <w:color w:val="000000" w:themeColor="text1"/>
        </w:rPr>
      </w:pPr>
    </w:p>
    <w:p w14:paraId="40882215" w14:textId="0516F1C3" w:rsidR="00183B0F" w:rsidRPr="003D5C0C" w:rsidRDefault="0040791F" w:rsidP="006633FA">
      <w:pPr>
        <w:spacing w:line="480" w:lineRule="auto"/>
        <w:jc w:val="both"/>
        <w:rPr>
          <w:rFonts w:ascii="Arial" w:hAnsi="Arial" w:cs="Arial"/>
          <w:bCs/>
          <w:color w:val="000000" w:themeColor="text1"/>
        </w:rPr>
      </w:pPr>
      <w:r w:rsidRPr="003D5C0C">
        <w:rPr>
          <w:rFonts w:ascii="Arial" w:hAnsi="Arial" w:cs="Arial"/>
          <w:bCs/>
          <w:color w:val="000000" w:themeColor="text1"/>
        </w:rPr>
        <w:t xml:space="preserve">The </w:t>
      </w:r>
      <w:r w:rsidR="00183B0F" w:rsidRPr="003D5C0C">
        <w:rPr>
          <w:rFonts w:ascii="Arial" w:hAnsi="Arial" w:cs="Arial"/>
          <w:bCs/>
          <w:color w:val="000000" w:themeColor="text1"/>
        </w:rPr>
        <w:t xml:space="preserve">housing </w:t>
      </w:r>
      <w:r w:rsidR="006E335E" w:rsidRPr="003D5C0C">
        <w:rPr>
          <w:rFonts w:ascii="Arial" w:eastAsiaTheme="minorHAnsi" w:hAnsi="Arial" w:cs="Arial"/>
          <w:color w:val="000000" w:themeColor="text1"/>
          <w:lang w:eastAsia="en-US"/>
        </w:rPr>
        <w:t xml:space="preserve">requirement </w:t>
      </w:r>
      <w:r w:rsidR="00183B0F" w:rsidRPr="003D5C0C">
        <w:rPr>
          <w:rFonts w:ascii="Arial" w:hAnsi="Arial" w:cs="Arial"/>
          <w:bCs/>
          <w:color w:val="000000" w:themeColor="text1"/>
        </w:rPr>
        <w:t xml:space="preserve">elasticity analysis </w:t>
      </w:r>
      <w:r w:rsidR="00712B96" w:rsidRPr="003D5C0C">
        <w:rPr>
          <w:rFonts w:ascii="Arial" w:hAnsi="Arial" w:cs="Arial"/>
          <w:bCs/>
          <w:color w:val="000000" w:themeColor="text1"/>
        </w:rPr>
        <w:t xml:space="preserve">demonstrates that the input variables that comprise the </w:t>
      </w:r>
      <w:r w:rsidR="002828E1" w:rsidRPr="003D5C0C">
        <w:rPr>
          <w:rFonts w:ascii="Arial" w:hAnsi="Arial" w:cs="Arial"/>
          <w:bCs/>
          <w:color w:val="000000" w:themeColor="text1"/>
        </w:rPr>
        <w:t>S</w:t>
      </w:r>
      <w:r w:rsidR="00712B96" w:rsidRPr="003D5C0C">
        <w:rPr>
          <w:rFonts w:ascii="Arial" w:hAnsi="Arial" w:cs="Arial"/>
          <w:bCs/>
          <w:color w:val="000000" w:themeColor="text1"/>
        </w:rPr>
        <w:t xml:space="preserve">tandard </w:t>
      </w:r>
      <w:r w:rsidR="002828E1" w:rsidRPr="003D5C0C">
        <w:rPr>
          <w:rFonts w:ascii="Arial" w:hAnsi="Arial" w:cs="Arial"/>
          <w:bCs/>
          <w:color w:val="000000" w:themeColor="text1"/>
        </w:rPr>
        <w:t>M</w:t>
      </w:r>
      <w:r w:rsidR="00712B96" w:rsidRPr="003D5C0C">
        <w:rPr>
          <w:rFonts w:ascii="Arial" w:hAnsi="Arial" w:cs="Arial"/>
          <w:bCs/>
          <w:color w:val="000000" w:themeColor="text1"/>
        </w:rPr>
        <w:t xml:space="preserve">ethod actually have a differential impact on explaining the outcome statistics </w:t>
      </w:r>
      <w:r w:rsidR="002828E1" w:rsidRPr="003D5C0C">
        <w:rPr>
          <w:rFonts w:ascii="Arial" w:hAnsi="Arial" w:cs="Arial"/>
          <w:bCs/>
          <w:color w:val="000000" w:themeColor="text1"/>
        </w:rPr>
        <w:t>-</w:t>
      </w:r>
      <w:r w:rsidR="00712B96" w:rsidRPr="003D5C0C">
        <w:rPr>
          <w:rFonts w:ascii="Arial" w:hAnsi="Arial" w:cs="Arial"/>
          <w:bCs/>
          <w:color w:val="000000" w:themeColor="text1"/>
        </w:rPr>
        <w:t xml:space="preserve"> the level of new housing required in each LPA. </w:t>
      </w:r>
    </w:p>
    <w:p w14:paraId="1D2EA20E" w14:textId="77777777" w:rsidR="00977D9F" w:rsidRPr="003D5C0C" w:rsidRDefault="00977D9F" w:rsidP="006633FA">
      <w:pPr>
        <w:spacing w:line="480" w:lineRule="auto"/>
        <w:jc w:val="both"/>
        <w:rPr>
          <w:rFonts w:ascii="Arial" w:hAnsi="Arial" w:cs="Arial"/>
          <w:bCs/>
          <w:color w:val="000000" w:themeColor="text1"/>
        </w:rPr>
      </w:pPr>
    </w:p>
    <w:p w14:paraId="69555128" w14:textId="0C41D6C9" w:rsidR="0092183E" w:rsidRPr="003D5C0C" w:rsidRDefault="00CE308B" w:rsidP="006633FA">
      <w:pPr>
        <w:spacing w:line="480" w:lineRule="auto"/>
        <w:jc w:val="both"/>
        <w:rPr>
          <w:rFonts w:ascii="Arial" w:hAnsi="Arial" w:cs="Arial"/>
          <w:bCs/>
          <w:color w:val="000000" w:themeColor="text1"/>
          <w:highlight w:val="yellow"/>
        </w:rPr>
      </w:pPr>
      <w:r w:rsidRPr="003D5C0C">
        <w:rPr>
          <w:rFonts w:ascii="Arial" w:hAnsi="Arial" w:cs="Arial"/>
          <w:bCs/>
          <w:color w:val="000000" w:themeColor="text1"/>
        </w:rPr>
        <w:t xml:space="preserve">By far the most significant determinant of the output statistic is the </w:t>
      </w:r>
      <w:r w:rsidR="0074496F" w:rsidRPr="003D5C0C">
        <w:rPr>
          <w:rFonts w:ascii="Arial" w:hAnsi="Arial" w:cs="Arial"/>
          <w:bCs/>
          <w:color w:val="000000" w:themeColor="text1"/>
        </w:rPr>
        <w:t xml:space="preserve">projected growth in </w:t>
      </w:r>
      <w:r w:rsidR="0092183E" w:rsidRPr="003D5C0C">
        <w:rPr>
          <w:rFonts w:ascii="Arial" w:hAnsi="Arial" w:cs="Arial"/>
          <w:bCs/>
          <w:color w:val="000000" w:themeColor="text1"/>
        </w:rPr>
        <w:t xml:space="preserve">household </w:t>
      </w:r>
      <w:r w:rsidR="0074496F" w:rsidRPr="003D5C0C">
        <w:rPr>
          <w:rFonts w:ascii="Arial" w:hAnsi="Arial" w:cs="Arial"/>
          <w:bCs/>
          <w:color w:val="000000" w:themeColor="text1"/>
        </w:rPr>
        <w:t>formation</w:t>
      </w:r>
      <w:r w:rsidRPr="003D5C0C">
        <w:rPr>
          <w:rFonts w:ascii="Arial" w:hAnsi="Arial" w:cs="Arial"/>
          <w:bCs/>
          <w:color w:val="000000" w:themeColor="text1"/>
        </w:rPr>
        <w:t xml:space="preserve"> which </w:t>
      </w:r>
      <w:r w:rsidR="0092183E" w:rsidRPr="003D5C0C">
        <w:rPr>
          <w:rFonts w:ascii="Arial" w:hAnsi="Arial" w:cs="Arial"/>
          <w:bCs/>
          <w:color w:val="000000" w:themeColor="text1"/>
        </w:rPr>
        <w:t xml:space="preserve">is </w:t>
      </w:r>
      <w:r w:rsidR="00212B51">
        <w:rPr>
          <w:rFonts w:ascii="Arial" w:hAnsi="Arial" w:cs="Arial"/>
          <w:bCs/>
          <w:color w:val="000000" w:themeColor="text1"/>
        </w:rPr>
        <w:t>2.6 times as elastic as</w:t>
      </w:r>
      <w:r w:rsidR="0074496F" w:rsidRPr="003D5C0C">
        <w:rPr>
          <w:rFonts w:ascii="Arial" w:hAnsi="Arial" w:cs="Arial"/>
          <w:bCs/>
          <w:color w:val="000000" w:themeColor="text1"/>
        </w:rPr>
        <w:t xml:space="preserve"> the </w:t>
      </w:r>
      <w:r w:rsidR="0092183E" w:rsidRPr="003D5C0C">
        <w:rPr>
          <w:rFonts w:ascii="Arial" w:hAnsi="Arial" w:cs="Arial"/>
          <w:bCs/>
          <w:color w:val="000000" w:themeColor="text1"/>
        </w:rPr>
        <w:t>affordability ratio</w:t>
      </w:r>
      <w:r w:rsidR="0074496F" w:rsidRPr="003D5C0C">
        <w:rPr>
          <w:rFonts w:ascii="Arial" w:hAnsi="Arial" w:cs="Arial"/>
          <w:bCs/>
          <w:color w:val="000000" w:themeColor="text1"/>
        </w:rPr>
        <w:t xml:space="preserve"> with respect to the assessment of housing </w:t>
      </w:r>
      <w:r w:rsidR="006E335E" w:rsidRPr="003D5C0C">
        <w:rPr>
          <w:rFonts w:ascii="Arial" w:eastAsiaTheme="minorHAnsi" w:hAnsi="Arial" w:cs="Arial"/>
          <w:color w:val="000000" w:themeColor="text1"/>
          <w:lang w:eastAsia="en-US"/>
        </w:rPr>
        <w:t>requirement</w:t>
      </w:r>
      <w:r w:rsidRPr="003D5C0C">
        <w:rPr>
          <w:rFonts w:ascii="Arial" w:hAnsi="Arial" w:cs="Arial"/>
          <w:bCs/>
          <w:color w:val="000000" w:themeColor="text1"/>
        </w:rPr>
        <w:t>.</w:t>
      </w:r>
      <w:r w:rsidR="00C4287C" w:rsidRPr="003D5C0C">
        <w:rPr>
          <w:rFonts w:ascii="Arial" w:hAnsi="Arial" w:cs="Arial"/>
          <w:bCs/>
          <w:color w:val="000000" w:themeColor="text1"/>
        </w:rPr>
        <w:t xml:space="preserve"> </w:t>
      </w:r>
      <w:r w:rsidR="00D737AC" w:rsidRPr="003D5C0C">
        <w:rPr>
          <w:rFonts w:ascii="Arial" w:hAnsi="Arial" w:cs="Arial"/>
          <w:bCs/>
          <w:color w:val="000000" w:themeColor="text1"/>
        </w:rPr>
        <w:t xml:space="preserve"> </w:t>
      </w:r>
      <w:r w:rsidR="0074496F" w:rsidRPr="003D5C0C">
        <w:rPr>
          <w:rFonts w:ascii="Arial" w:hAnsi="Arial" w:cs="Arial"/>
          <w:bCs/>
          <w:color w:val="000000" w:themeColor="text1"/>
        </w:rPr>
        <w:t>For those local auth</w:t>
      </w:r>
      <w:r w:rsidR="00BB1EB7" w:rsidRPr="003D5C0C">
        <w:rPr>
          <w:rFonts w:ascii="Arial" w:hAnsi="Arial" w:cs="Arial"/>
          <w:bCs/>
          <w:color w:val="000000" w:themeColor="text1"/>
        </w:rPr>
        <w:t>o</w:t>
      </w:r>
      <w:r w:rsidR="0074496F" w:rsidRPr="003D5C0C">
        <w:rPr>
          <w:rFonts w:ascii="Arial" w:hAnsi="Arial" w:cs="Arial"/>
          <w:bCs/>
          <w:color w:val="000000" w:themeColor="text1"/>
        </w:rPr>
        <w:t xml:space="preserve">rities where these two features combine (the H-H category from Figure 5) the result is some of the greatest housing </w:t>
      </w:r>
      <w:r w:rsidR="006E335E" w:rsidRPr="003D5C0C">
        <w:rPr>
          <w:rFonts w:ascii="Arial" w:eastAsiaTheme="minorHAnsi" w:hAnsi="Arial" w:cs="Arial"/>
          <w:color w:val="000000" w:themeColor="text1"/>
          <w:lang w:eastAsia="en-US"/>
        </w:rPr>
        <w:t xml:space="preserve">requirement </w:t>
      </w:r>
      <w:r w:rsidR="0074496F" w:rsidRPr="003D5C0C">
        <w:rPr>
          <w:rFonts w:ascii="Arial" w:hAnsi="Arial" w:cs="Arial"/>
          <w:bCs/>
          <w:color w:val="000000" w:themeColor="text1"/>
        </w:rPr>
        <w:t>figures</w:t>
      </w:r>
      <w:r w:rsidR="002E3E6C" w:rsidRPr="003D5C0C">
        <w:rPr>
          <w:rFonts w:ascii="Arial" w:hAnsi="Arial" w:cs="Arial"/>
          <w:bCs/>
          <w:color w:val="000000" w:themeColor="text1"/>
        </w:rPr>
        <w:t xml:space="preserve">. </w:t>
      </w:r>
      <w:r w:rsidR="00D737AC" w:rsidRPr="003D5C0C">
        <w:rPr>
          <w:rFonts w:ascii="Arial" w:hAnsi="Arial" w:cs="Arial"/>
          <w:bCs/>
          <w:color w:val="000000" w:themeColor="text1"/>
        </w:rPr>
        <w:t xml:space="preserve"> </w:t>
      </w:r>
      <w:r w:rsidR="00E63C1C" w:rsidRPr="003D5C0C">
        <w:rPr>
          <w:rFonts w:ascii="Arial" w:hAnsi="Arial" w:cs="Arial"/>
          <w:bCs/>
          <w:color w:val="000000" w:themeColor="text1"/>
        </w:rPr>
        <w:t>The best example</w:t>
      </w:r>
      <w:r w:rsidR="00150778" w:rsidRPr="003D5C0C">
        <w:rPr>
          <w:rFonts w:ascii="Arial" w:hAnsi="Arial" w:cs="Arial"/>
          <w:bCs/>
          <w:color w:val="000000" w:themeColor="text1"/>
        </w:rPr>
        <w:t>s</w:t>
      </w:r>
      <w:r w:rsidR="00E63C1C" w:rsidRPr="003D5C0C">
        <w:rPr>
          <w:rFonts w:ascii="Arial" w:hAnsi="Arial" w:cs="Arial"/>
          <w:bCs/>
          <w:color w:val="000000" w:themeColor="text1"/>
        </w:rPr>
        <w:t xml:space="preserve"> of this are the London authorities.  Indeed, n</w:t>
      </w:r>
      <w:r w:rsidR="004640A0" w:rsidRPr="003D5C0C">
        <w:rPr>
          <w:rFonts w:ascii="Arial" w:hAnsi="Arial" w:cs="Arial"/>
          <w:bCs/>
          <w:color w:val="000000" w:themeColor="text1"/>
        </w:rPr>
        <w:t>ine of the</w:t>
      </w:r>
      <w:r w:rsidR="00E63C1C" w:rsidRPr="003D5C0C">
        <w:rPr>
          <w:rFonts w:ascii="Arial" w:hAnsi="Arial" w:cs="Arial"/>
          <w:bCs/>
          <w:color w:val="000000" w:themeColor="text1"/>
        </w:rPr>
        <w:t xml:space="preserve"> top ten local authorities with the greatest absolute levels of housing </w:t>
      </w:r>
      <w:r w:rsidR="006E335E" w:rsidRPr="003D5C0C">
        <w:rPr>
          <w:rFonts w:ascii="Arial" w:eastAsiaTheme="minorHAnsi" w:hAnsi="Arial" w:cs="Arial"/>
          <w:color w:val="000000" w:themeColor="text1"/>
          <w:lang w:eastAsia="en-US"/>
        </w:rPr>
        <w:t xml:space="preserve">requirement </w:t>
      </w:r>
      <w:r w:rsidR="00E63C1C" w:rsidRPr="003D5C0C">
        <w:rPr>
          <w:rFonts w:ascii="Arial" w:hAnsi="Arial" w:cs="Arial"/>
          <w:bCs/>
          <w:color w:val="000000" w:themeColor="text1"/>
        </w:rPr>
        <w:t>under the Standard Method are in London (</w:t>
      </w:r>
      <w:r w:rsidR="00CA0260" w:rsidRPr="003D5C0C">
        <w:rPr>
          <w:rFonts w:ascii="Arial" w:hAnsi="Arial" w:cs="Arial"/>
          <w:bCs/>
          <w:color w:val="000000" w:themeColor="text1"/>
        </w:rPr>
        <w:t xml:space="preserve">Tower Hamlets, Newham, </w:t>
      </w:r>
      <w:r w:rsidR="007A3CAB">
        <w:rPr>
          <w:rFonts w:ascii="Arial" w:hAnsi="Arial" w:cs="Arial"/>
          <w:bCs/>
          <w:color w:val="000000" w:themeColor="text1"/>
        </w:rPr>
        <w:t xml:space="preserve">Southwark, </w:t>
      </w:r>
      <w:r w:rsidR="007A3CAB" w:rsidRPr="003D5C0C">
        <w:rPr>
          <w:rFonts w:ascii="Arial" w:hAnsi="Arial" w:cs="Arial"/>
          <w:bCs/>
          <w:color w:val="000000" w:themeColor="text1"/>
        </w:rPr>
        <w:t xml:space="preserve">Barnet, </w:t>
      </w:r>
      <w:r w:rsidR="00CA0260" w:rsidRPr="003D5C0C">
        <w:rPr>
          <w:rFonts w:ascii="Arial" w:hAnsi="Arial" w:cs="Arial"/>
          <w:bCs/>
          <w:color w:val="000000" w:themeColor="text1"/>
        </w:rPr>
        <w:t xml:space="preserve">Enfield, Hackney, </w:t>
      </w:r>
      <w:r w:rsidR="00E63C1C" w:rsidRPr="003D5C0C">
        <w:rPr>
          <w:rFonts w:ascii="Arial" w:hAnsi="Arial" w:cs="Arial"/>
          <w:bCs/>
          <w:color w:val="000000" w:themeColor="text1"/>
        </w:rPr>
        <w:t>Haringey, Lewisham, Croydon</w:t>
      </w:r>
      <w:r w:rsidR="007A3CAB">
        <w:rPr>
          <w:rFonts w:ascii="Arial" w:hAnsi="Arial" w:cs="Arial"/>
          <w:bCs/>
          <w:color w:val="000000" w:themeColor="text1"/>
        </w:rPr>
        <w:t>, Islington</w:t>
      </w:r>
      <w:r w:rsidR="00CA0260" w:rsidRPr="003D5C0C">
        <w:rPr>
          <w:rFonts w:ascii="Arial" w:hAnsi="Arial" w:cs="Arial"/>
          <w:bCs/>
          <w:color w:val="000000" w:themeColor="text1"/>
        </w:rPr>
        <w:t>)</w:t>
      </w:r>
      <w:r w:rsidR="004640A0" w:rsidRPr="003D5C0C">
        <w:rPr>
          <w:rFonts w:ascii="Arial" w:hAnsi="Arial" w:cs="Arial"/>
          <w:bCs/>
          <w:color w:val="000000" w:themeColor="text1"/>
        </w:rPr>
        <w:t xml:space="preserve"> where both </w:t>
      </w:r>
      <w:r w:rsidR="004D751C" w:rsidRPr="003D5C0C">
        <w:rPr>
          <w:rFonts w:ascii="Arial" w:hAnsi="Arial" w:cs="Arial"/>
          <w:bCs/>
          <w:color w:val="000000" w:themeColor="text1"/>
        </w:rPr>
        <w:t xml:space="preserve">the projected rate of </w:t>
      </w:r>
      <w:r w:rsidR="004E19D6" w:rsidRPr="003D5C0C">
        <w:rPr>
          <w:rFonts w:ascii="Arial" w:hAnsi="Arial" w:cs="Arial"/>
          <w:bCs/>
          <w:color w:val="000000" w:themeColor="text1"/>
        </w:rPr>
        <w:t>household growth (rank</w:t>
      </w:r>
      <w:r w:rsidR="004D751C" w:rsidRPr="003D5C0C">
        <w:rPr>
          <w:rFonts w:ascii="Arial" w:hAnsi="Arial" w:cs="Arial"/>
          <w:bCs/>
          <w:color w:val="000000" w:themeColor="text1"/>
        </w:rPr>
        <w:t>ed</w:t>
      </w:r>
      <w:r w:rsidR="004E19D6" w:rsidRPr="003D5C0C">
        <w:rPr>
          <w:rFonts w:ascii="Arial" w:hAnsi="Arial" w:cs="Arial"/>
          <w:bCs/>
          <w:color w:val="000000" w:themeColor="text1"/>
        </w:rPr>
        <w:t xml:space="preserve"> between </w:t>
      </w:r>
      <w:r w:rsidR="007A3CAB">
        <w:rPr>
          <w:rFonts w:ascii="Arial" w:hAnsi="Arial" w:cs="Arial"/>
          <w:bCs/>
          <w:color w:val="000000" w:themeColor="text1"/>
        </w:rPr>
        <w:t>297</w:t>
      </w:r>
      <w:r w:rsidR="007A3CAB" w:rsidRPr="003D5C0C">
        <w:rPr>
          <w:rFonts w:ascii="Arial" w:hAnsi="Arial" w:cs="Arial"/>
          <w:bCs/>
          <w:color w:val="000000" w:themeColor="text1"/>
        </w:rPr>
        <w:t xml:space="preserve"> </w:t>
      </w:r>
      <w:r w:rsidR="004D751C" w:rsidRPr="003D5C0C">
        <w:rPr>
          <w:rFonts w:ascii="Arial" w:hAnsi="Arial" w:cs="Arial"/>
          <w:bCs/>
          <w:color w:val="000000" w:themeColor="text1"/>
        </w:rPr>
        <w:t>-</w:t>
      </w:r>
      <w:r w:rsidR="000029CB" w:rsidRPr="003D5C0C">
        <w:rPr>
          <w:rFonts w:ascii="Arial" w:hAnsi="Arial" w:cs="Arial"/>
          <w:bCs/>
          <w:color w:val="000000" w:themeColor="text1"/>
        </w:rPr>
        <w:t xml:space="preserve"> </w:t>
      </w:r>
      <w:r w:rsidR="004E19D6" w:rsidRPr="003D5C0C">
        <w:rPr>
          <w:rFonts w:ascii="Arial" w:hAnsi="Arial" w:cs="Arial"/>
          <w:bCs/>
          <w:color w:val="000000" w:themeColor="text1"/>
        </w:rPr>
        <w:t xml:space="preserve">326) and </w:t>
      </w:r>
      <w:r w:rsidR="004D751C" w:rsidRPr="003D5C0C">
        <w:rPr>
          <w:rFonts w:ascii="Arial" w:hAnsi="Arial" w:cs="Arial"/>
          <w:bCs/>
          <w:color w:val="000000" w:themeColor="text1"/>
        </w:rPr>
        <w:t xml:space="preserve">the </w:t>
      </w:r>
      <w:r w:rsidR="004E19D6" w:rsidRPr="003D5C0C">
        <w:rPr>
          <w:rFonts w:ascii="Arial" w:hAnsi="Arial" w:cs="Arial"/>
          <w:bCs/>
          <w:color w:val="000000" w:themeColor="text1"/>
        </w:rPr>
        <w:t xml:space="preserve">affordability ratio (rank between 203 </w:t>
      </w:r>
      <w:r w:rsidR="000029CB" w:rsidRPr="003D5C0C">
        <w:rPr>
          <w:rFonts w:ascii="Arial" w:hAnsi="Arial" w:cs="Arial"/>
          <w:bCs/>
          <w:color w:val="000000" w:themeColor="text1"/>
        </w:rPr>
        <w:t>-</w:t>
      </w:r>
      <w:r w:rsidR="004E19D6" w:rsidRPr="003D5C0C">
        <w:rPr>
          <w:rFonts w:ascii="Arial" w:hAnsi="Arial" w:cs="Arial"/>
          <w:bCs/>
          <w:color w:val="000000" w:themeColor="text1"/>
        </w:rPr>
        <w:t xml:space="preserve"> </w:t>
      </w:r>
      <w:r w:rsidR="007A3CAB">
        <w:rPr>
          <w:rFonts w:ascii="Arial" w:hAnsi="Arial" w:cs="Arial"/>
          <w:bCs/>
          <w:color w:val="000000" w:themeColor="text1"/>
        </w:rPr>
        <w:t>319</w:t>
      </w:r>
      <w:r w:rsidR="004E19D6" w:rsidRPr="003D5C0C">
        <w:rPr>
          <w:rFonts w:ascii="Arial" w:hAnsi="Arial" w:cs="Arial"/>
          <w:bCs/>
          <w:color w:val="000000" w:themeColor="text1"/>
        </w:rPr>
        <w:t>)</w:t>
      </w:r>
      <w:r w:rsidR="0074496F" w:rsidRPr="003D5C0C">
        <w:rPr>
          <w:rFonts w:ascii="Arial" w:hAnsi="Arial" w:cs="Arial"/>
          <w:bCs/>
          <w:color w:val="000000" w:themeColor="text1"/>
        </w:rPr>
        <w:t xml:space="preserve"> </w:t>
      </w:r>
      <w:r w:rsidR="004640A0" w:rsidRPr="003D5C0C">
        <w:rPr>
          <w:rFonts w:ascii="Arial" w:hAnsi="Arial" w:cs="Arial"/>
          <w:bCs/>
          <w:color w:val="000000" w:themeColor="text1"/>
        </w:rPr>
        <w:t xml:space="preserve">are </w:t>
      </w:r>
      <w:r w:rsidR="004D751C" w:rsidRPr="003D5C0C">
        <w:rPr>
          <w:rFonts w:ascii="Arial" w:hAnsi="Arial" w:cs="Arial"/>
          <w:bCs/>
          <w:color w:val="000000" w:themeColor="text1"/>
        </w:rPr>
        <w:t>high</w:t>
      </w:r>
      <w:r w:rsidR="004640A0" w:rsidRPr="003D5C0C">
        <w:rPr>
          <w:rFonts w:ascii="Arial" w:hAnsi="Arial" w:cs="Arial"/>
          <w:bCs/>
          <w:color w:val="000000" w:themeColor="text1"/>
        </w:rPr>
        <w:t xml:space="preserve">. </w:t>
      </w:r>
      <w:r w:rsidR="00572EC4">
        <w:rPr>
          <w:rFonts w:ascii="Arial" w:hAnsi="Arial" w:cs="Arial"/>
          <w:bCs/>
          <w:color w:val="000000" w:themeColor="text1"/>
        </w:rPr>
        <w:t xml:space="preserve">In other areas where </w:t>
      </w:r>
      <w:r w:rsidR="00124A1D">
        <w:rPr>
          <w:rFonts w:ascii="Arial" w:hAnsi="Arial" w:cs="Arial"/>
          <w:bCs/>
          <w:color w:val="000000" w:themeColor="text1"/>
        </w:rPr>
        <w:t xml:space="preserve">the projected rate of household formation is lower but </w:t>
      </w:r>
      <w:r w:rsidR="00572EC4">
        <w:rPr>
          <w:rFonts w:ascii="Arial" w:hAnsi="Arial" w:cs="Arial"/>
          <w:bCs/>
          <w:color w:val="000000" w:themeColor="text1"/>
        </w:rPr>
        <w:t xml:space="preserve">house price </w:t>
      </w:r>
      <w:r w:rsidR="00572EC4">
        <w:rPr>
          <w:rFonts w:ascii="Arial" w:hAnsi="Arial" w:cs="Arial"/>
          <w:bCs/>
          <w:color w:val="000000" w:themeColor="text1"/>
        </w:rPr>
        <w:lastRenderedPageBreak/>
        <w:t>inflation has far outstripped median incomes</w:t>
      </w:r>
      <w:r w:rsidR="00124A1D">
        <w:rPr>
          <w:rFonts w:ascii="Arial" w:hAnsi="Arial" w:cs="Arial"/>
          <w:bCs/>
          <w:color w:val="000000" w:themeColor="text1"/>
        </w:rPr>
        <w:t xml:space="preserve"> it is still possible for </w:t>
      </w:r>
      <w:r w:rsidR="0016381A">
        <w:rPr>
          <w:rFonts w:ascii="Arial" w:hAnsi="Arial" w:cs="Arial"/>
          <w:bCs/>
          <w:color w:val="000000" w:themeColor="text1"/>
        </w:rPr>
        <w:t>a significant scale of housing requirement to result - s</w:t>
      </w:r>
      <w:r w:rsidR="00572EC4">
        <w:rPr>
          <w:rFonts w:ascii="Arial" w:hAnsi="Arial" w:cs="Arial"/>
          <w:bCs/>
          <w:color w:val="000000" w:themeColor="text1"/>
        </w:rPr>
        <w:t xml:space="preserve">uch </w:t>
      </w:r>
      <w:r w:rsidR="0016381A">
        <w:rPr>
          <w:rFonts w:ascii="Arial" w:hAnsi="Arial" w:cs="Arial"/>
          <w:bCs/>
          <w:color w:val="000000" w:themeColor="text1"/>
        </w:rPr>
        <w:t xml:space="preserve">is the case with the example of </w:t>
      </w:r>
      <w:r w:rsidR="00572EC4">
        <w:rPr>
          <w:rFonts w:ascii="Arial" w:hAnsi="Arial" w:cs="Arial"/>
          <w:bCs/>
          <w:color w:val="000000" w:themeColor="text1"/>
        </w:rPr>
        <w:t xml:space="preserve">Epsom </w:t>
      </w:r>
      <w:r w:rsidR="0016381A">
        <w:rPr>
          <w:rFonts w:ascii="Arial" w:hAnsi="Arial" w:cs="Arial"/>
          <w:bCs/>
          <w:color w:val="000000" w:themeColor="text1"/>
        </w:rPr>
        <w:t>discussed earlier.</w:t>
      </w:r>
    </w:p>
    <w:p w14:paraId="7A859E58" w14:textId="73188BE7" w:rsidR="00EC7CEB" w:rsidRPr="003D5C0C" w:rsidRDefault="00EC7CEB" w:rsidP="006633FA">
      <w:pPr>
        <w:spacing w:line="480" w:lineRule="auto"/>
        <w:jc w:val="both"/>
        <w:rPr>
          <w:rFonts w:ascii="Arial" w:hAnsi="Arial" w:cs="Arial"/>
          <w:bCs/>
          <w:color w:val="000000" w:themeColor="text1"/>
        </w:rPr>
      </w:pPr>
    </w:p>
    <w:p w14:paraId="762D072A" w14:textId="0BD6564E" w:rsidR="0040791F" w:rsidRPr="003D5C0C" w:rsidRDefault="00EC7CEB" w:rsidP="006633FA">
      <w:pPr>
        <w:spacing w:line="480" w:lineRule="auto"/>
        <w:jc w:val="both"/>
        <w:rPr>
          <w:rFonts w:ascii="Arial" w:hAnsi="Arial" w:cs="Arial"/>
          <w:bCs/>
          <w:color w:val="000000" w:themeColor="text1"/>
        </w:rPr>
      </w:pPr>
      <w:r w:rsidRPr="003D5C0C">
        <w:rPr>
          <w:rFonts w:ascii="Arial" w:hAnsi="Arial" w:cs="Arial"/>
          <w:bCs/>
          <w:color w:val="000000" w:themeColor="text1"/>
        </w:rPr>
        <w:t xml:space="preserve">When </w:t>
      </w:r>
      <w:r w:rsidR="00184CF5" w:rsidRPr="003D5C0C">
        <w:rPr>
          <w:rFonts w:ascii="Arial" w:hAnsi="Arial" w:cs="Arial"/>
          <w:bCs/>
          <w:color w:val="000000" w:themeColor="text1"/>
        </w:rPr>
        <w:t xml:space="preserve">we look more deeply into the </w:t>
      </w:r>
      <w:r w:rsidRPr="003D5C0C">
        <w:rPr>
          <w:rFonts w:ascii="Arial" w:hAnsi="Arial" w:cs="Arial"/>
          <w:bCs/>
          <w:color w:val="000000" w:themeColor="text1"/>
        </w:rPr>
        <w:t xml:space="preserve">input variables of </w:t>
      </w:r>
      <w:r w:rsidR="00184CF5" w:rsidRPr="003D5C0C">
        <w:rPr>
          <w:rFonts w:ascii="Arial" w:hAnsi="Arial" w:cs="Arial"/>
          <w:bCs/>
          <w:color w:val="000000" w:themeColor="text1"/>
        </w:rPr>
        <w:t xml:space="preserve">the </w:t>
      </w:r>
      <w:r w:rsidR="0074496F" w:rsidRPr="003D5C0C">
        <w:rPr>
          <w:rFonts w:ascii="Arial" w:hAnsi="Arial" w:cs="Arial"/>
          <w:bCs/>
          <w:color w:val="000000" w:themeColor="text1"/>
        </w:rPr>
        <w:t>Standard Method</w:t>
      </w:r>
      <w:r w:rsidR="00184CF5" w:rsidRPr="003D5C0C">
        <w:rPr>
          <w:rFonts w:ascii="Arial" w:hAnsi="Arial" w:cs="Arial"/>
          <w:bCs/>
          <w:color w:val="000000" w:themeColor="text1"/>
        </w:rPr>
        <w:t xml:space="preserve"> </w:t>
      </w:r>
      <w:r w:rsidRPr="003D5C0C">
        <w:rPr>
          <w:rFonts w:ascii="Arial" w:hAnsi="Arial" w:cs="Arial"/>
          <w:bCs/>
          <w:color w:val="000000" w:themeColor="text1"/>
        </w:rPr>
        <w:t>changes in house price</w:t>
      </w:r>
      <w:r w:rsidR="00184CF5" w:rsidRPr="003D5C0C">
        <w:rPr>
          <w:rFonts w:ascii="Arial" w:hAnsi="Arial" w:cs="Arial"/>
          <w:bCs/>
          <w:color w:val="000000" w:themeColor="text1"/>
        </w:rPr>
        <w:t>s</w:t>
      </w:r>
      <w:r w:rsidRPr="003D5C0C">
        <w:rPr>
          <w:rFonts w:ascii="Arial" w:hAnsi="Arial" w:cs="Arial"/>
          <w:bCs/>
          <w:color w:val="000000" w:themeColor="text1"/>
        </w:rPr>
        <w:t>, earnings and population</w:t>
      </w:r>
      <w:r w:rsidR="00184CF5" w:rsidRPr="003D5C0C">
        <w:rPr>
          <w:rFonts w:ascii="Arial" w:hAnsi="Arial" w:cs="Arial"/>
          <w:bCs/>
          <w:color w:val="000000" w:themeColor="text1"/>
        </w:rPr>
        <w:t>-led estimates of household formation</w:t>
      </w:r>
      <w:r w:rsidRPr="003D5C0C">
        <w:rPr>
          <w:rFonts w:ascii="Arial" w:hAnsi="Arial" w:cs="Arial"/>
          <w:bCs/>
          <w:color w:val="000000" w:themeColor="text1"/>
        </w:rPr>
        <w:t xml:space="preserve"> </w:t>
      </w:r>
      <w:r w:rsidR="00184CF5" w:rsidRPr="003D5C0C">
        <w:rPr>
          <w:rFonts w:ascii="Arial" w:hAnsi="Arial" w:cs="Arial"/>
          <w:bCs/>
          <w:color w:val="000000" w:themeColor="text1"/>
        </w:rPr>
        <w:t>contribute most to</w:t>
      </w:r>
      <w:r w:rsidRPr="003D5C0C">
        <w:rPr>
          <w:rFonts w:ascii="Arial" w:hAnsi="Arial" w:cs="Arial"/>
          <w:bCs/>
          <w:color w:val="000000" w:themeColor="text1"/>
        </w:rPr>
        <w:t xml:space="preserve"> variations in housing </w:t>
      </w:r>
      <w:r w:rsidR="006E335E" w:rsidRPr="003D5C0C">
        <w:rPr>
          <w:rFonts w:ascii="Arial" w:eastAsiaTheme="minorHAnsi" w:hAnsi="Arial" w:cs="Arial"/>
          <w:color w:val="000000" w:themeColor="text1"/>
          <w:lang w:eastAsia="en-US"/>
        </w:rPr>
        <w:t>requirement</w:t>
      </w:r>
      <w:r w:rsidR="00184CF5" w:rsidRPr="003D5C0C">
        <w:rPr>
          <w:rFonts w:ascii="Arial" w:hAnsi="Arial" w:cs="Arial"/>
          <w:bCs/>
          <w:color w:val="000000" w:themeColor="text1"/>
        </w:rPr>
        <w:t xml:space="preserve">. </w:t>
      </w:r>
      <w:r w:rsidR="00D737AC" w:rsidRPr="003D5C0C">
        <w:rPr>
          <w:rFonts w:ascii="Arial" w:hAnsi="Arial" w:cs="Arial"/>
          <w:bCs/>
          <w:color w:val="000000" w:themeColor="text1"/>
        </w:rPr>
        <w:t xml:space="preserve"> </w:t>
      </w:r>
      <w:r w:rsidR="00184CF5" w:rsidRPr="003D5C0C">
        <w:rPr>
          <w:rFonts w:ascii="Arial" w:hAnsi="Arial" w:cs="Arial"/>
          <w:bCs/>
          <w:color w:val="000000" w:themeColor="text1"/>
        </w:rPr>
        <w:t xml:space="preserve">By </w:t>
      </w:r>
      <w:r w:rsidRPr="003D5C0C">
        <w:rPr>
          <w:rFonts w:ascii="Arial" w:hAnsi="Arial" w:cs="Arial"/>
          <w:bCs/>
          <w:color w:val="000000" w:themeColor="text1"/>
        </w:rPr>
        <w:t>contrast</w:t>
      </w:r>
      <w:r w:rsidR="00D737AC" w:rsidRPr="003D5C0C">
        <w:rPr>
          <w:rFonts w:ascii="Arial" w:hAnsi="Arial" w:cs="Arial"/>
          <w:bCs/>
          <w:color w:val="000000" w:themeColor="text1"/>
        </w:rPr>
        <w:t>,</w:t>
      </w:r>
      <w:r w:rsidRPr="003D5C0C">
        <w:rPr>
          <w:rFonts w:ascii="Arial" w:hAnsi="Arial" w:cs="Arial"/>
          <w:bCs/>
          <w:color w:val="000000" w:themeColor="text1"/>
        </w:rPr>
        <w:t xml:space="preserve"> change</w:t>
      </w:r>
      <w:r w:rsidR="00184CF5" w:rsidRPr="003D5C0C">
        <w:rPr>
          <w:rFonts w:ascii="Arial" w:hAnsi="Arial" w:cs="Arial"/>
          <w:bCs/>
          <w:color w:val="000000" w:themeColor="text1"/>
        </w:rPr>
        <w:t>s</w:t>
      </w:r>
      <w:r w:rsidRPr="003D5C0C">
        <w:rPr>
          <w:rFonts w:ascii="Arial" w:hAnsi="Arial" w:cs="Arial"/>
          <w:bCs/>
          <w:color w:val="000000" w:themeColor="text1"/>
        </w:rPr>
        <w:t xml:space="preserve"> in housing </w:t>
      </w:r>
      <w:r w:rsidR="006E335E" w:rsidRPr="003D5C0C">
        <w:rPr>
          <w:rFonts w:ascii="Arial" w:eastAsiaTheme="minorHAnsi" w:hAnsi="Arial" w:cs="Arial"/>
          <w:color w:val="000000" w:themeColor="text1"/>
          <w:lang w:eastAsia="en-US"/>
        </w:rPr>
        <w:t xml:space="preserve">requirement </w:t>
      </w:r>
      <w:r w:rsidR="00184CF5" w:rsidRPr="003D5C0C">
        <w:rPr>
          <w:rFonts w:ascii="Arial" w:hAnsi="Arial" w:cs="Arial"/>
          <w:bCs/>
          <w:color w:val="000000" w:themeColor="text1"/>
        </w:rPr>
        <w:t>are</w:t>
      </w:r>
      <w:r w:rsidRPr="003D5C0C">
        <w:rPr>
          <w:rFonts w:ascii="Arial" w:hAnsi="Arial" w:cs="Arial"/>
          <w:bCs/>
          <w:color w:val="000000" w:themeColor="text1"/>
        </w:rPr>
        <w:t xml:space="preserve"> not very responsive to changes in fertility rate, crude death</w:t>
      </w:r>
      <w:r w:rsidR="00184CF5" w:rsidRPr="003D5C0C">
        <w:rPr>
          <w:rFonts w:ascii="Arial" w:hAnsi="Arial" w:cs="Arial"/>
          <w:bCs/>
          <w:color w:val="000000" w:themeColor="text1"/>
        </w:rPr>
        <w:t>s</w:t>
      </w:r>
      <w:r w:rsidRPr="003D5C0C">
        <w:rPr>
          <w:rFonts w:ascii="Arial" w:hAnsi="Arial" w:cs="Arial"/>
          <w:bCs/>
          <w:color w:val="000000" w:themeColor="text1"/>
        </w:rPr>
        <w:t xml:space="preserve"> and net-migration</w:t>
      </w:r>
      <w:r w:rsidR="00011F84">
        <w:rPr>
          <w:rFonts w:ascii="Arial" w:hAnsi="Arial" w:cs="Arial"/>
          <w:bCs/>
          <w:color w:val="000000" w:themeColor="text1"/>
        </w:rPr>
        <w:t xml:space="preserve"> rate</w:t>
      </w:r>
      <w:r w:rsidRPr="003D5C0C">
        <w:rPr>
          <w:rFonts w:ascii="Arial" w:hAnsi="Arial" w:cs="Arial"/>
          <w:bCs/>
          <w:color w:val="000000" w:themeColor="text1"/>
        </w:rPr>
        <w:t xml:space="preserve">. </w:t>
      </w:r>
      <w:r w:rsidR="00D737AC" w:rsidRPr="003D5C0C">
        <w:rPr>
          <w:rFonts w:ascii="Arial" w:hAnsi="Arial" w:cs="Arial"/>
          <w:bCs/>
          <w:color w:val="000000" w:themeColor="text1"/>
        </w:rPr>
        <w:t xml:space="preserve"> </w:t>
      </w:r>
      <w:r w:rsidR="0040791F" w:rsidRPr="003D5C0C">
        <w:rPr>
          <w:rFonts w:ascii="Arial" w:hAnsi="Arial" w:cs="Arial"/>
          <w:bCs/>
          <w:color w:val="000000" w:themeColor="text1"/>
        </w:rPr>
        <w:t>Yet</w:t>
      </w:r>
      <w:r w:rsidR="00D737AC" w:rsidRPr="003D5C0C">
        <w:rPr>
          <w:rFonts w:ascii="Arial" w:hAnsi="Arial" w:cs="Arial"/>
          <w:bCs/>
          <w:color w:val="000000" w:themeColor="text1"/>
        </w:rPr>
        <w:t>,</w:t>
      </w:r>
      <w:r w:rsidR="0040791F" w:rsidRPr="003D5C0C">
        <w:rPr>
          <w:rFonts w:ascii="Arial" w:hAnsi="Arial" w:cs="Arial"/>
          <w:bCs/>
          <w:color w:val="000000" w:themeColor="text1"/>
        </w:rPr>
        <w:t xml:space="preserve"> many could claim exceptional circum</w:t>
      </w:r>
      <w:r w:rsidR="00895DF8" w:rsidRPr="003D5C0C">
        <w:rPr>
          <w:rFonts w:ascii="Arial" w:hAnsi="Arial" w:cs="Arial"/>
          <w:bCs/>
          <w:color w:val="000000" w:themeColor="text1"/>
        </w:rPr>
        <w:t>s</w:t>
      </w:r>
      <w:r w:rsidR="0040791F" w:rsidRPr="003D5C0C">
        <w:rPr>
          <w:rFonts w:ascii="Arial" w:hAnsi="Arial" w:cs="Arial"/>
          <w:bCs/>
          <w:color w:val="000000" w:themeColor="text1"/>
        </w:rPr>
        <w:t>t</w:t>
      </w:r>
      <w:r w:rsidR="00895DF8" w:rsidRPr="003D5C0C">
        <w:rPr>
          <w:rFonts w:ascii="Arial" w:hAnsi="Arial" w:cs="Arial"/>
          <w:bCs/>
          <w:color w:val="000000" w:themeColor="text1"/>
        </w:rPr>
        <w:t>a</w:t>
      </w:r>
      <w:r w:rsidR="0040791F" w:rsidRPr="003D5C0C">
        <w:rPr>
          <w:rFonts w:ascii="Arial" w:hAnsi="Arial" w:cs="Arial"/>
          <w:bCs/>
          <w:color w:val="000000" w:themeColor="text1"/>
        </w:rPr>
        <w:t>nces t</w:t>
      </w:r>
      <w:r w:rsidR="00895DF8" w:rsidRPr="003D5C0C">
        <w:rPr>
          <w:rFonts w:ascii="Arial" w:hAnsi="Arial" w:cs="Arial"/>
          <w:bCs/>
          <w:color w:val="000000" w:themeColor="text1"/>
        </w:rPr>
        <w:t xml:space="preserve">hat would </w:t>
      </w:r>
      <w:r w:rsidR="0040791F" w:rsidRPr="003D5C0C">
        <w:rPr>
          <w:rFonts w:ascii="Arial" w:hAnsi="Arial" w:cs="Arial"/>
          <w:bCs/>
          <w:color w:val="000000" w:themeColor="text1"/>
        </w:rPr>
        <w:t>warrant higher housing targets</w:t>
      </w:r>
      <w:r w:rsidR="00895DF8" w:rsidRPr="003D5C0C">
        <w:rPr>
          <w:rFonts w:ascii="Arial" w:hAnsi="Arial" w:cs="Arial"/>
          <w:bCs/>
          <w:color w:val="000000" w:themeColor="text1"/>
        </w:rPr>
        <w:t xml:space="preserve"> if the mathematics of the </w:t>
      </w:r>
      <w:r w:rsidR="00930610" w:rsidRPr="003D5C0C">
        <w:rPr>
          <w:rFonts w:ascii="Arial" w:hAnsi="Arial" w:cs="Arial"/>
          <w:color w:val="000000" w:themeColor="text1"/>
        </w:rPr>
        <w:t xml:space="preserve">Standard Method </w:t>
      </w:r>
      <w:r w:rsidR="00895DF8" w:rsidRPr="003D5C0C">
        <w:rPr>
          <w:rFonts w:ascii="Arial" w:hAnsi="Arial" w:cs="Arial"/>
          <w:bCs/>
          <w:color w:val="000000" w:themeColor="text1"/>
        </w:rPr>
        <w:t xml:space="preserve">accorded different variables a greater degree of </w:t>
      </w:r>
      <w:r w:rsidR="00184CF5" w:rsidRPr="003D5C0C">
        <w:rPr>
          <w:rFonts w:ascii="Arial" w:hAnsi="Arial" w:cs="Arial"/>
          <w:bCs/>
          <w:color w:val="000000" w:themeColor="text1"/>
        </w:rPr>
        <w:t>significance</w:t>
      </w:r>
      <w:r w:rsidR="0040791F" w:rsidRPr="003D5C0C">
        <w:rPr>
          <w:rFonts w:ascii="Arial" w:hAnsi="Arial" w:cs="Arial"/>
          <w:bCs/>
          <w:color w:val="000000" w:themeColor="text1"/>
        </w:rPr>
        <w:t xml:space="preserve">. </w:t>
      </w:r>
      <w:r w:rsidR="00D737AC" w:rsidRPr="003D5C0C">
        <w:rPr>
          <w:rFonts w:ascii="Arial" w:hAnsi="Arial" w:cs="Arial"/>
          <w:bCs/>
          <w:color w:val="000000" w:themeColor="text1"/>
        </w:rPr>
        <w:t xml:space="preserve"> </w:t>
      </w:r>
      <w:r w:rsidR="0040791F" w:rsidRPr="003D5C0C">
        <w:rPr>
          <w:rFonts w:ascii="Arial" w:hAnsi="Arial" w:cs="Arial"/>
          <w:bCs/>
          <w:color w:val="000000" w:themeColor="text1"/>
        </w:rPr>
        <w:t xml:space="preserve">For example, </w:t>
      </w:r>
      <w:r w:rsidR="00895DF8" w:rsidRPr="003D5C0C">
        <w:rPr>
          <w:rFonts w:ascii="Arial" w:hAnsi="Arial" w:cs="Arial"/>
          <w:bCs/>
          <w:color w:val="000000" w:themeColor="text1"/>
        </w:rPr>
        <w:t xml:space="preserve">some authorities are exceptional in </w:t>
      </w:r>
      <w:r w:rsidR="00184CF5" w:rsidRPr="003D5C0C">
        <w:rPr>
          <w:rFonts w:ascii="Arial" w:hAnsi="Arial" w:cs="Arial"/>
          <w:bCs/>
          <w:color w:val="000000" w:themeColor="text1"/>
        </w:rPr>
        <w:t xml:space="preserve">ways that are not valorised by the </w:t>
      </w:r>
      <w:r w:rsidR="00930610" w:rsidRPr="003D5C0C">
        <w:rPr>
          <w:rFonts w:ascii="Arial" w:hAnsi="Arial" w:cs="Arial"/>
          <w:color w:val="000000" w:themeColor="text1"/>
        </w:rPr>
        <w:t xml:space="preserve">Standard Method </w:t>
      </w:r>
      <w:r w:rsidR="00E67217">
        <w:rPr>
          <w:rFonts w:ascii="Arial" w:hAnsi="Arial" w:cs="Arial"/>
          <w:bCs/>
          <w:color w:val="000000" w:themeColor="text1"/>
        </w:rPr>
        <w:t>–</w:t>
      </w:r>
      <w:r w:rsidR="00895DF8" w:rsidRPr="003D5C0C">
        <w:rPr>
          <w:rFonts w:ascii="Arial" w:hAnsi="Arial" w:cs="Arial"/>
          <w:bCs/>
          <w:color w:val="000000" w:themeColor="text1"/>
        </w:rPr>
        <w:t xml:space="preserve"> B</w:t>
      </w:r>
      <w:r w:rsidR="0040791F" w:rsidRPr="003D5C0C">
        <w:rPr>
          <w:rFonts w:ascii="Arial" w:hAnsi="Arial" w:cs="Arial"/>
          <w:bCs/>
          <w:color w:val="000000" w:themeColor="text1"/>
        </w:rPr>
        <w:t>lackburn</w:t>
      </w:r>
      <w:r w:rsidR="00E67217">
        <w:rPr>
          <w:rFonts w:ascii="Arial" w:hAnsi="Arial" w:cs="Arial"/>
          <w:bCs/>
          <w:color w:val="000000" w:themeColor="text1"/>
        </w:rPr>
        <w:t xml:space="preserve"> with Darwen</w:t>
      </w:r>
      <w:r w:rsidR="0040791F" w:rsidRPr="003D5C0C">
        <w:rPr>
          <w:rFonts w:ascii="Arial" w:hAnsi="Arial" w:cs="Arial"/>
          <w:bCs/>
          <w:color w:val="000000" w:themeColor="text1"/>
        </w:rPr>
        <w:t xml:space="preserve"> has the </w:t>
      </w:r>
      <w:r w:rsidR="00E67217">
        <w:rPr>
          <w:rFonts w:ascii="Arial" w:hAnsi="Arial" w:cs="Arial"/>
          <w:bCs/>
          <w:color w:val="000000" w:themeColor="text1"/>
        </w:rPr>
        <w:t>sixth</w:t>
      </w:r>
      <w:r w:rsidR="0040791F" w:rsidRPr="003D5C0C">
        <w:rPr>
          <w:rFonts w:ascii="Arial" w:hAnsi="Arial" w:cs="Arial"/>
          <w:bCs/>
          <w:color w:val="000000" w:themeColor="text1"/>
        </w:rPr>
        <w:t xml:space="preserve"> highest fertility rate in England</w:t>
      </w:r>
      <w:r w:rsidR="00E67217">
        <w:rPr>
          <w:rFonts w:ascii="Arial" w:hAnsi="Arial" w:cs="Arial"/>
          <w:bCs/>
          <w:color w:val="000000" w:themeColor="text1"/>
        </w:rPr>
        <w:t>, but has one of the lowest overall levels of housing need in England 1</w:t>
      </w:r>
      <w:r w:rsidR="0088648E">
        <w:rPr>
          <w:rFonts w:ascii="Arial" w:hAnsi="Arial" w:cs="Arial"/>
          <w:bCs/>
          <w:color w:val="000000" w:themeColor="text1"/>
        </w:rPr>
        <w:t>57</w:t>
      </w:r>
      <w:r w:rsidR="00E67217">
        <w:rPr>
          <w:rFonts w:ascii="Arial" w:hAnsi="Arial" w:cs="Arial"/>
          <w:bCs/>
          <w:color w:val="000000" w:themeColor="text1"/>
        </w:rPr>
        <w:t xml:space="preserve"> dwellings per annum; </w:t>
      </w:r>
      <w:r w:rsidR="00592C1F">
        <w:rPr>
          <w:rFonts w:ascii="Arial" w:hAnsi="Arial" w:cs="Arial"/>
          <w:bCs/>
          <w:color w:val="000000" w:themeColor="text1"/>
        </w:rPr>
        <w:t>16/326</w:t>
      </w:r>
      <w:r w:rsidR="00E67217">
        <w:rPr>
          <w:rFonts w:ascii="Arial" w:hAnsi="Arial" w:cs="Arial"/>
          <w:bCs/>
          <w:color w:val="000000" w:themeColor="text1"/>
        </w:rPr>
        <w:t xml:space="preserve">). </w:t>
      </w:r>
      <w:r w:rsidR="0040791F" w:rsidRPr="003D5C0C">
        <w:rPr>
          <w:rFonts w:ascii="Arial" w:hAnsi="Arial" w:cs="Arial"/>
          <w:bCs/>
          <w:color w:val="000000" w:themeColor="text1"/>
        </w:rPr>
        <w:t xml:space="preserve">Fylde </w:t>
      </w:r>
      <w:r w:rsidR="0088648E">
        <w:rPr>
          <w:rFonts w:ascii="Arial" w:hAnsi="Arial" w:cs="Arial"/>
          <w:bCs/>
          <w:color w:val="000000" w:themeColor="text1"/>
        </w:rPr>
        <w:t>D</w:t>
      </w:r>
      <w:r w:rsidR="00E67217">
        <w:rPr>
          <w:rFonts w:ascii="Arial" w:hAnsi="Arial" w:cs="Arial"/>
          <w:bCs/>
          <w:color w:val="000000" w:themeColor="text1"/>
        </w:rPr>
        <w:t xml:space="preserve">istrict </w:t>
      </w:r>
      <w:r w:rsidR="0088648E">
        <w:rPr>
          <w:rFonts w:ascii="Arial" w:hAnsi="Arial" w:cs="Arial"/>
          <w:bCs/>
          <w:color w:val="000000" w:themeColor="text1"/>
        </w:rPr>
        <w:t>C</w:t>
      </w:r>
      <w:r w:rsidR="00E67217">
        <w:rPr>
          <w:rFonts w:ascii="Arial" w:hAnsi="Arial" w:cs="Arial"/>
          <w:bCs/>
          <w:color w:val="000000" w:themeColor="text1"/>
        </w:rPr>
        <w:t xml:space="preserve">ouncil </w:t>
      </w:r>
      <w:r w:rsidR="0040791F" w:rsidRPr="003D5C0C">
        <w:rPr>
          <w:rFonts w:ascii="Arial" w:hAnsi="Arial" w:cs="Arial"/>
          <w:bCs/>
          <w:color w:val="000000" w:themeColor="text1"/>
        </w:rPr>
        <w:t>has the 8</w:t>
      </w:r>
      <w:r w:rsidR="0040791F" w:rsidRPr="003D5C0C">
        <w:rPr>
          <w:rFonts w:ascii="Arial" w:hAnsi="Arial" w:cs="Arial"/>
          <w:bCs/>
          <w:color w:val="000000" w:themeColor="text1"/>
          <w:vertAlign w:val="superscript"/>
        </w:rPr>
        <w:t>th</w:t>
      </w:r>
      <w:r w:rsidR="0040791F" w:rsidRPr="003D5C0C">
        <w:rPr>
          <w:rFonts w:ascii="Arial" w:hAnsi="Arial" w:cs="Arial"/>
          <w:bCs/>
          <w:color w:val="000000" w:themeColor="text1"/>
        </w:rPr>
        <w:t xml:space="preserve"> highest rate of net migration</w:t>
      </w:r>
      <w:r w:rsidR="0088648E">
        <w:rPr>
          <w:rFonts w:ascii="Arial" w:hAnsi="Arial" w:cs="Arial"/>
          <w:bCs/>
          <w:color w:val="000000" w:themeColor="text1"/>
        </w:rPr>
        <w:t xml:space="preserve"> in England</w:t>
      </w:r>
      <w:r w:rsidR="00E67217">
        <w:rPr>
          <w:rFonts w:ascii="Arial" w:hAnsi="Arial" w:cs="Arial"/>
          <w:bCs/>
          <w:color w:val="000000" w:themeColor="text1"/>
        </w:rPr>
        <w:t xml:space="preserve"> but is assessed to require just 271 new dwellings per annum (</w:t>
      </w:r>
      <w:r w:rsidR="00592C1F">
        <w:rPr>
          <w:rFonts w:ascii="Arial" w:hAnsi="Arial" w:cs="Arial"/>
          <w:bCs/>
          <w:color w:val="000000" w:themeColor="text1"/>
        </w:rPr>
        <w:t>52/326</w:t>
      </w:r>
      <w:r w:rsidR="00E67217">
        <w:rPr>
          <w:rFonts w:ascii="Arial" w:hAnsi="Arial" w:cs="Arial"/>
          <w:bCs/>
          <w:color w:val="000000" w:themeColor="text1"/>
        </w:rPr>
        <w:t>) under the Standard method</w:t>
      </w:r>
      <w:r w:rsidR="0040791F" w:rsidRPr="003D5C0C">
        <w:rPr>
          <w:rFonts w:ascii="Arial" w:hAnsi="Arial" w:cs="Arial"/>
          <w:bCs/>
          <w:color w:val="000000" w:themeColor="text1"/>
        </w:rPr>
        <w:t>.</w:t>
      </w:r>
      <w:r w:rsidR="00CE308B" w:rsidRPr="003D5C0C">
        <w:rPr>
          <w:rFonts w:ascii="Arial" w:hAnsi="Arial" w:cs="Arial"/>
          <w:bCs/>
          <w:color w:val="000000" w:themeColor="text1"/>
        </w:rPr>
        <w:t xml:space="preserve">  </w:t>
      </w:r>
      <w:r w:rsidR="00E67217">
        <w:rPr>
          <w:rFonts w:ascii="Arial" w:hAnsi="Arial" w:cs="Arial"/>
          <w:bCs/>
          <w:color w:val="000000" w:themeColor="text1"/>
        </w:rPr>
        <w:t xml:space="preserve">Both </w:t>
      </w:r>
      <w:r w:rsidR="00CE308B" w:rsidRPr="003D5C0C">
        <w:rPr>
          <w:rFonts w:ascii="Arial" w:hAnsi="Arial" w:cs="Arial"/>
          <w:bCs/>
          <w:color w:val="000000" w:themeColor="text1"/>
        </w:rPr>
        <w:t xml:space="preserve">these are variables that </w:t>
      </w:r>
      <w:r w:rsidR="00184CF5" w:rsidRPr="003D5C0C">
        <w:rPr>
          <w:rFonts w:ascii="Arial" w:hAnsi="Arial" w:cs="Arial"/>
          <w:bCs/>
          <w:color w:val="000000" w:themeColor="text1"/>
        </w:rPr>
        <w:t>are show</w:t>
      </w:r>
      <w:r w:rsidR="00150778" w:rsidRPr="003D5C0C">
        <w:rPr>
          <w:rFonts w:ascii="Arial" w:hAnsi="Arial" w:cs="Arial"/>
          <w:bCs/>
          <w:color w:val="000000" w:themeColor="text1"/>
        </w:rPr>
        <w:t>n</w:t>
      </w:r>
      <w:r w:rsidR="00184CF5" w:rsidRPr="003D5C0C">
        <w:rPr>
          <w:rFonts w:ascii="Arial" w:hAnsi="Arial" w:cs="Arial"/>
          <w:bCs/>
          <w:color w:val="000000" w:themeColor="text1"/>
        </w:rPr>
        <w:t xml:space="preserve"> by our analysis </w:t>
      </w:r>
      <w:r w:rsidR="00D737AC" w:rsidRPr="003D5C0C">
        <w:rPr>
          <w:rFonts w:ascii="Arial" w:hAnsi="Arial" w:cs="Arial"/>
          <w:bCs/>
          <w:color w:val="000000" w:themeColor="text1"/>
        </w:rPr>
        <w:t>t</w:t>
      </w:r>
      <w:r w:rsidR="00CE308B" w:rsidRPr="003D5C0C">
        <w:rPr>
          <w:rFonts w:ascii="Arial" w:hAnsi="Arial" w:cs="Arial"/>
          <w:bCs/>
          <w:color w:val="000000" w:themeColor="text1"/>
        </w:rPr>
        <w:t xml:space="preserve">o be </w:t>
      </w:r>
      <w:r w:rsidR="00150778" w:rsidRPr="003D5C0C">
        <w:rPr>
          <w:rFonts w:ascii="Arial" w:hAnsi="Arial" w:cs="Arial"/>
          <w:bCs/>
          <w:color w:val="000000" w:themeColor="text1"/>
        </w:rPr>
        <w:t xml:space="preserve">much </w:t>
      </w:r>
      <w:r w:rsidR="00CE308B" w:rsidRPr="003D5C0C">
        <w:rPr>
          <w:rFonts w:ascii="Arial" w:hAnsi="Arial" w:cs="Arial"/>
          <w:bCs/>
          <w:color w:val="000000" w:themeColor="text1"/>
        </w:rPr>
        <w:t xml:space="preserve">less significant in the </w:t>
      </w:r>
      <w:r w:rsidR="00930610" w:rsidRPr="003D5C0C">
        <w:rPr>
          <w:rFonts w:ascii="Arial" w:hAnsi="Arial" w:cs="Arial"/>
          <w:color w:val="000000" w:themeColor="text1"/>
        </w:rPr>
        <w:t xml:space="preserve">Standard Method </w:t>
      </w:r>
      <w:r w:rsidR="00184CF5" w:rsidRPr="003D5C0C">
        <w:rPr>
          <w:rFonts w:ascii="Arial" w:hAnsi="Arial" w:cs="Arial"/>
          <w:bCs/>
          <w:color w:val="000000" w:themeColor="text1"/>
        </w:rPr>
        <w:t>than the demography of household formation and affordability</w:t>
      </w:r>
      <w:r w:rsidR="00CE308B" w:rsidRPr="003D5C0C">
        <w:rPr>
          <w:rFonts w:ascii="Arial" w:hAnsi="Arial" w:cs="Arial"/>
          <w:bCs/>
          <w:color w:val="000000" w:themeColor="text1"/>
        </w:rPr>
        <w:t>.</w:t>
      </w:r>
    </w:p>
    <w:p w14:paraId="7372C5C4" w14:textId="1519D822" w:rsidR="00184CF5" w:rsidRPr="003D5C0C" w:rsidRDefault="00184CF5" w:rsidP="006633FA">
      <w:pPr>
        <w:spacing w:line="480" w:lineRule="auto"/>
        <w:jc w:val="both"/>
        <w:rPr>
          <w:rFonts w:ascii="Arial" w:hAnsi="Arial" w:cs="Arial"/>
          <w:bCs/>
          <w:color w:val="000000" w:themeColor="text1"/>
        </w:rPr>
      </w:pPr>
    </w:p>
    <w:p w14:paraId="09CB0232" w14:textId="5B28BB27" w:rsidR="00475B6E" w:rsidRPr="003D5C0C" w:rsidRDefault="00184CF5" w:rsidP="006633FA">
      <w:pPr>
        <w:spacing w:line="480" w:lineRule="auto"/>
        <w:jc w:val="both"/>
        <w:rPr>
          <w:rFonts w:ascii="Arial" w:hAnsi="Arial" w:cs="Arial"/>
          <w:color w:val="000000" w:themeColor="text1"/>
        </w:rPr>
      </w:pPr>
      <w:r w:rsidRPr="003D5C0C">
        <w:rPr>
          <w:rFonts w:ascii="Arial" w:hAnsi="Arial" w:cs="Arial"/>
          <w:bCs/>
          <w:color w:val="000000" w:themeColor="text1"/>
        </w:rPr>
        <w:t xml:space="preserve">But is a Standard Method that is so heavily biased towards demography and affordability </w:t>
      </w:r>
      <w:r w:rsidR="00EF5C53" w:rsidRPr="003D5C0C">
        <w:rPr>
          <w:rFonts w:ascii="Arial" w:hAnsi="Arial" w:cs="Arial"/>
          <w:bCs/>
          <w:color w:val="000000" w:themeColor="text1"/>
        </w:rPr>
        <w:t xml:space="preserve">accurately portraying 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bCs/>
          <w:color w:val="000000" w:themeColor="text1"/>
        </w:rPr>
        <w:t xml:space="preserve">or does it just perpetuate existing </w:t>
      </w:r>
      <w:r w:rsidR="00EF5C53" w:rsidRPr="003D5C0C">
        <w:rPr>
          <w:rFonts w:ascii="Arial" w:hAnsi="Arial" w:cs="Arial"/>
          <w:bCs/>
          <w:color w:val="000000" w:themeColor="text1"/>
        </w:rPr>
        <w:t xml:space="preserve">developmental </w:t>
      </w:r>
      <w:r w:rsidRPr="003D5C0C">
        <w:rPr>
          <w:rFonts w:ascii="Arial" w:hAnsi="Arial" w:cs="Arial"/>
          <w:bCs/>
          <w:color w:val="000000" w:themeColor="text1"/>
        </w:rPr>
        <w:t xml:space="preserve">path dependencies?  </w:t>
      </w:r>
      <w:r w:rsidR="00205B94">
        <w:rPr>
          <w:rFonts w:ascii="Arial" w:hAnsi="Arial" w:cs="Arial"/>
          <w:bCs/>
          <w:color w:val="000000" w:themeColor="text1"/>
        </w:rPr>
        <w:t>Indeed, there is an e</w:t>
      </w:r>
      <w:r w:rsidR="00205B94" w:rsidRPr="003D5C0C">
        <w:rPr>
          <w:rFonts w:ascii="Arial" w:hAnsi="Arial" w:cs="Arial"/>
          <w:color w:val="000000" w:themeColor="text1"/>
        </w:rPr>
        <w:t xml:space="preserve">xtensive </w:t>
      </w:r>
      <w:r w:rsidR="00205B94">
        <w:rPr>
          <w:rFonts w:ascii="Arial" w:hAnsi="Arial" w:cs="Arial"/>
          <w:color w:val="000000" w:themeColor="text1"/>
        </w:rPr>
        <w:t xml:space="preserve">academic </w:t>
      </w:r>
      <w:r w:rsidR="00205B94" w:rsidRPr="003D5C0C">
        <w:rPr>
          <w:rFonts w:ascii="Arial" w:hAnsi="Arial" w:cs="Arial"/>
          <w:color w:val="000000" w:themeColor="text1"/>
        </w:rPr>
        <w:t xml:space="preserve">critique of housing models that are dominated by demographic growth projections that extrapolate from historic records (e.g. Ferrari, Leahy Laughlin and Watkins, 2011; Bramley and Watkins, 2016). </w:t>
      </w:r>
      <w:r w:rsidRPr="003D5C0C">
        <w:rPr>
          <w:rFonts w:ascii="Arial" w:hAnsi="Arial" w:cs="Arial"/>
          <w:bCs/>
          <w:color w:val="000000" w:themeColor="text1"/>
        </w:rPr>
        <w:t xml:space="preserve">The vagaries of the demographic basis of the Standard </w:t>
      </w:r>
      <w:r w:rsidRPr="003D5C0C">
        <w:rPr>
          <w:rFonts w:ascii="Arial" w:hAnsi="Arial" w:cs="Arial"/>
          <w:bCs/>
          <w:color w:val="000000" w:themeColor="text1"/>
        </w:rPr>
        <w:lastRenderedPageBreak/>
        <w:t xml:space="preserve">Method are writ large in the instruction to local authorities to use 2014-based ONS projections when more recent data exists.  </w:t>
      </w:r>
      <w:r w:rsidR="00EF5C53" w:rsidRPr="003D5C0C">
        <w:rPr>
          <w:rFonts w:ascii="Arial" w:hAnsi="Arial" w:cs="Arial"/>
          <w:color w:val="000000" w:themeColor="text1"/>
        </w:rPr>
        <w:t>T</w:t>
      </w:r>
      <w:r w:rsidRPr="003D5C0C">
        <w:rPr>
          <w:rFonts w:ascii="Arial" w:hAnsi="Arial" w:cs="Arial"/>
          <w:color w:val="000000" w:themeColor="text1"/>
        </w:rPr>
        <w:t xml:space="preserve">he reason for this is that when the </w:t>
      </w:r>
      <w:r w:rsidR="00EF5C53" w:rsidRPr="003D5C0C">
        <w:rPr>
          <w:rFonts w:ascii="Arial" w:hAnsi="Arial" w:cs="Arial"/>
          <w:color w:val="000000" w:themeColor="text1"/>
        </w:rPr>
        <w:t xml:space="preserve">ONS </w:t>
      </w:r>
      <w:r w:rsidRPr="003D5C0C">
        <w:rPr>
          <w:rFonts w:ascii="Arial" w:hAnsi="Arial" w:cs="Arial"/>
          <w:color w:val="000000" w:themeColor="text1"/>
        </w:rPr>
        <w:t xml:space="preserve">2016 population figures were released, the use of this data resulted in a significant reduction in housing </w:t>
      </w:r>
      <w:r w:rsidR="006E335E" w:rsidRPr="003D5C0C">
        <w:rPr>
          <w:rFonts w:ascii="Arial" w:eastAsiaTheme="minorHAnsi" w:hAnsi="Arial" w:cs="Arial"/>
          <w:color w:val="000000" w:themeColor="text1"/>
          <w:lang w:eastAsia="en-US"/>
        </w:rPr>
        <w:t xml:space="preserve">requirement </w:t>
      </w:r>
      <w:r w:rsidRPr="003D5C0C">
        <w:rPr>
          <w:rFonts w:ascii="Arial" w:hAnsi="Arial" w:cs="Arial"/>
          <w:color w:val="000000" w:themeColor="text1"/>
        </w:rPr>
        <w:t xml:space="preserve">in many local authorities, in some cases a reduction of around 35% in the target number of dwellings.  The analysis in this paper shows this to be unsurprising.  The Standard Method is so responsive to changes in </w:t>
      </w:r>
      <w:r w:rsidR="00EF5C53" w:rsidRPr="003D5C0C">
        <w:rPr>
          <w:rFonts w:ascii="Arial" w:hAnsi="Arial" w:cs="Arial"/>
          <w:color w:val="000000" w:themeColor="text1"/>
        </w:rPr>
        <w:t xml:space="preserve">the projection of household formation that even subtle changes in this input variable can have a considerable impact on the assessment of housing </w:t>
      </w:r>
      <w:r w:rsidR="006E335E" w:rsidRPr="003D5C0C">
        <w:rPr>
          <w:rFonts w:ascii="Arial" w:eastAsiaTheme="minorHAnsi" w:hAnsi="Arial" w:cs="Arial"/>
          <w:color w:val="000000" w:themeColor="text1"/>
          <w:lang w:eastAsia="en-US"/>
        </w:rPr>
        <w:t>requirement</w:t>
      </w:r>
      <w:r w:rsidR="00EF5C53" w:rsidRPr="003D5C0C">
        <w:rPr>
          <w:rFonts w:ascii="Arial" w:hAnsi="Arial" w:cs="Arial"/>
          <w:color w:val="000000" w:themeColor="text1"/>
        </w:rPr>
        <w:t xml:space="preserve">. </w:t>
      </w:r>
      <w:r w:rsidRPr="003D5C0C">
        <w:rPr>
          <w:rFonts w:ascii="Arial" w:hAnsi="Arial" w:cs="Arial"/>
          <w:color w:val="000000" w:themeColor="text1"/>
        </w:rPr>
        <w:t xml:space="preserve"> However, rather than concluding that this might signal </w:t>
      </w:r>
      <w:r w:rsidR="00EF5C53" w:rsidRPr="003D5C0C">
        <w:rPr>
          <w:rFonts w:ascii="Arial" w:hAnsi="Arial" w:cs="Arial"/>
          <w:color w:val="000000" w:themeColor="text1"/>
        </w:rPr>
        <w:t>a problem with the Standard Method</w:t>
      </w:r>
      <w:r w:rsidRPr="003D5C0C">
        <w:rPr>
          <w:rFonts w:ascii="Arial" w:hAnsi="Arial" w:cs="Arial"/>
          <w:color w:val="000000" w:themeColor="text1"/>
        </w:rPr>
        <w:t xml:space="preserve"> itself</w:t>
      </w:r>
      <w:r w:rsidR="00EF5C53" w:rsidRPr="003D5C0C">
        <w:rPr>
          <w:rFonts w:ascii="Arial" w:hAnsi="Arial" w:cs="Arial"/>
          <w:color w:val="000000" w:themeColor="text1"/>
        </w:rPr>
        <w:t>,</w:t>
      </w:r>
      <w:r w:rsidRPr="003D5C0C">
        <w:rPr>
          <w:rFonts w:ascii="Arial" w:hAnsi="Arial" w:cs="Arial"/>
          <w:color w:val="000000" w:themeColor="text1"/>
        </w:rPr>
        <w:t xml:space="preserve"> government </w:t>
      </w:r>
      <w:r w:rsidR="00475B6E" w:rsidRPr="003D5C0C">
        <w:rPr>
          <w:rFonts w:ascii="Arial" w:hAnsi="Arial" w:cs="Arial"/>
          <w:color w:val="000000" w:themeColor="text1"/>
        </w:rPr>
        <w:t xml:space="preserve">has </w:t>
      </w:r>
      <w:r w:rsidRPr="003D5C0C">
        <w:rPr>
          <w:rFonts w:ascii="Arial" w:hAnsi="Arial" w:cs="Arial"/>
          <w:color w:val="000000" w:themeColor="text1"/>
        </w:rPr>
        <w:t>simply required local authorities to revert to the 2014 base year</w:t>
      </w:r>
      <w:r w:rsidR="00475B6E" w:rsidRPr="003D5C0C">
        <w:rPr>
          <w:rFonts w:ascii="Arial" w:hAnsi="Arial" w:cs="Arial"/>
          <w:color w:val="000000" w:themeColor="text1"/>
        </w:rPr>
        <w:t xml:space="preserve">, in so doing </w:t>
      </w:r>
      <w:r w:rsidR="000029CB" w:rsidRPr="003D5C0C">
        <w:rPr>
          <w:rFonts w:ascii="Arial" w:hAnsi="Arial" w:cs="Arial"/>
          <w:color w:val="000000" w:themeColor="text1"/>
        </w:rPr>
        <w:t>revealing</w:t>
      </w:r>
      <w:r w:rsidR="00475B6E" w:rsidRPr="003D5C0C">
        <w:rPr>
          <w:rFonts w:ascii="Arial" w:hAnsi="Arial" w:cs="Arial"/>
          <w:color w:val="000000" w:themeColor="text1"/>
        </w:rPr>
        <w:t xml:space="preserve"> a political, rather than calculative, context for the assessment of housing </w:t>
      </w:r>
      <w:r w:rsidR="006E335E" w:rsidRPr="003D5C0C">
        <w:rPr>
          <w:rFonts w:ascii="Arial" w:eastAsiaTheme="minorHAnsi" w:hAnsi="Arial" w:cs="Arial"/>
          <w:color w:val="000000" w:themeColor="text1"/>
          <w:lang w:eastAsia="en-US"/>
        </w:rPr>
        <w:t>requirement</w:t>
      </w:r>
      <w:r w:rsidR="00EF5C53" w:rsidRPr="003D5C0C">
        <w:rPr>
          <w:rFonts w:ascii="Arial" w:hAnsi="Arial" w:cs="Arial"/>
          <w:color w:val="000000" w:themeColor="text1"/>
        </w:rPr>
        <w:t>. Similarly, the bias towards affordability represents a normative understanding that the primary locus of the ‘housing crisis’ can be found in London and the South East</w:t>
      </w:r>
      <w:r w:rsidR="00475B6E" w:rsidRPr="003D5C0C">
        <w:rPr>
          <w:rFonts w:ascii="Arial" w:hAnsi="Arial" w:cs="Arial"/>
          <w:color w:val="000000" w:themeColor="text1"/>
        </w:rPr>
        <w:t xml:space="preserve"> of England.  However, the degree to which housing will be made more affordable as a direct result of an increase in the supply of new dwellings resulting from the Standard Method’s target</w:t>
      </w:r>
      <w:r w:rsidR="00CC42D2" w:rsidRPr="003D5C0C">
        <w:rPr>
          <w:rFonts w:ascii="Arial" w:hAnsi="Arial" w:cs="Arial"/>
          <w:color w:val="000000" w:themeColor="text1"/>
        </w:rPr>
        <w:t>-</w:t>
      </w:r>
      <w:r w:rsidR="00475B6E" w:rsidRPr="003D5C0C">
        <w:rPr>
          <w:rFonts w:ascii="Arial" w:hAnsi="Arial" w:cs="Arial"/>
          <w:color w:val="000000" w:themeColor="text1"/>
        </w:rPr>
        <w:t xml:space="preserve">orientated approach is highly questionable.  It will take time for new development proposals to come forward and for them to navigate proper planning control as well as the impact of a wide variety of other macro variables such as the availability of mortgage finance, the </w:t>
      </w:r>
      <w:r w:rsidR="00CC42D2" w:rsidRPr="003D5C0C">
        <w:rPr>
          <w:rFonts w:ascii="Arial" w:hAnsi="Arial" w:cs="Arial"/>
          <w:color w:val="000000" w:themeColor="text1"/>
        </w:rPr>
        <w:t>decision making of</w:t>
      </w:r>
      <w:r w:rsidR="00475B6E" w:rsidRPr="003D5C0C">
        <w:rPr>
          <w:rFonts w:ascii="Arial" w:hAnsi="Arial" w:cs="Arial"/>
          <w:color w:val="000000" w:themeColor="text1"/>
        </w:rPr>
        <w:t xml:space="preserve"> international investors and the effects of other shocks such as the </w:t>
      </w:r>
      <w:r w:rsidR="00CC42D2" w:rsidRPr="003D5C0C">
        <w:rPr>
          <w:rFonts w:ascii="Arial" w:hAnsi="Arial" w:cs="Arial"/>
          <w:color w:val="000000" w:themeColor="text1"/>
        </w:rPr>
        <w:t xml:space="preserve">UK’s </w:t>
      </w:r>
      <w:r w:rsidR="00475B6E" w:rsidRPr="003D5C0C">
        <w:rPr>
          <w:rFonts w:ascii="Arial" w:hAnsi="Arial" w:cs="Arial"/>
          <w:color w:val="000000" w:themeColor="text1"/>
        </w:rPr>
        <w:t>withdrawal from the European Union or the impact of the Covid-19 pandemic.</w:t>
      </w:r>
    </w:p>
    <w:p w14:paraId="1997CFCD" w14:textId="78F80AED" w:rsidR="00184CF5" w:rsidRPr="003D5C0C" w:rsidRDefault="00184CF5" w:rsidP="006633FA">
      <w:pPr>
        <w:spacing w:line="480" w:lineRule="auto"/>
        <w:jc w:val="both"/>
        <w:rPr>
          <w:rFonts w:ascii="Arial" w:hAnsi="Arial" w:cs="Arial"/>
          <w:color w:val="000000" w:themeColor="text1"/>
        </w:rPr>
      </w:pPr>
    </w:p>
    <w:p w14:paraId="7E15052A" w14:textId="77777777" w:rsidR="00696203" w:rsidRPr="003D5C0C" w:rsidRDefault="00696203" w:rsidP="006633FA">
      <w:pPr>
        <w:spacing w:line="480" w:lineRule="auto"/>
        <w:jc w:val="both"/>
        <w:rPr>
          <w:rFonts w:ascii="Arial" w:hAnsi="Arial" w:cs="Arial"/>
          <w:b/>
          <w:bCs/>
          <w:color w:val="000000" w:themeColor="text1"/>
        </w:rPr>
      </w:pPr>
      <w:r w:rsidRPr="003D5C0C">
        <w:rPr>
          <w:rFonts w:ascii="Arial" w:hAnsi="Arial" w:cs="Arial"/>
          <w:b/>
          <w:bCs/>
          <w:color w:val="000000" w:themeColor="text1"/>
        </w:rPr>
        <w:t>Conclusion: Re-thinking the Standard Method</w:t>
      </w:r>
    </w:p>
    <w:p w14:paraId="0774224F" w14:textId="68F51AC0" w:rsidR="00696203" w:rsidRPr="003D5C0C" w:rsidRDefault="00696203" w:rsidP="006633FA">
      <w:pPr>
        <w:spacing w:line="480" w:lineRule="auto"/>
        <w:jc w:val="both"/>
        <w:rPr>
          <w:rFonts w:ascii="Arial" w:hAnsi="Arial" w:cs="Arial"/>
          <w:bCs/>
          <w:color w:val="000000" w:themeColor="text1"/>
        </w:rPr>
      </w:pPr>
      <w:r w:rsidRPr="003D5C0C">
        <w:rPr>
          <w:rFonts w:ascii="Arial" w:hAnsi="Arial" w:cs="Arial"/>
          <w:bCs/>
          <w:color w:val="000000" w:themeColor="text1"/>
        </w:rPr>
        <w:t xml:space="preserve">The analysis contained in this paper shows that the Standard Method for assessing housing </w:t>
      </w:r>
      <w:r w:rsidRPr="003D5C0C">
        <w:rPr>
          <w:rFonts w:ascii="Arial" w:eastAsiaTheme="minorHAnsi" w:hAnsi="Arial" w:cs="Arial"/>
          <w:color w:val="000000" w:themeColor="text1"/>
          <w:lang w:eastAsia="en-US"/>
        </w:rPr>
        <w:t xml:space="preserve">requirement </w:t>
      </w:r>
      <w:r w:rsidRPr="003D5C0C">
        <w:rPr>
          <w:rFonts w:ascii="Arial" w:hAnsi="Arial" w:cs="Arial"/>
          <w:bCs/>
          <w:color w:val="000000" w:themeColor="text1"/>
        </w:rPr>
        <w:t xml:space="preserve">in England </w:t>
      </w:r>
      <w:r w:rsidR="005A63E7">
        <w:rPr>
          <w:rFonts w:ascii="Arial" w:hAnsi="Arial" w:cs="Arial"/>
          <w:bCs/>
          <w:color w:val="000000" w:themeColor="text1"/>
        </w:rPr>
        <w:t>reveals contradictions and</w:t>
      </w:r>
      <w:r w:rsidRPr="003D5C0C">
        <w:rPr>
          <w:rFonts w:ascii="Arial" w:hAnsi="Arial" w:cs="Arial"/>
          <w:bCs/>
          <w:color w:val="000000" w:themeColor="text1"/>
        </w:rPr>
        <w:t xml:space="preserve"> ambiguit</w:t>
      </w:r>
      <w:r w:rsidR="005A63E7">
        <w:rPr>
          <w:rFonts w:ascii="Arial" w:hAnsi="Arial" w:cs="Arial"/>
          <w:bCs/>
          <w:color w:val="000000" w:themeColor="text1"/>
        </w:rPr>
        <w:t>ies</w:t>
      </w:r>
      <w:r w:rsidRPr="003D5C0C">
        <w:rPr>
          <w:rFonts w:ascii="Arial" w:hAnsi="Arial" w:cs="Arial"/>
          <w:bCs/>
          <w:color w:val="000000" w:themeColor="text1"/>
        </w:rPr>
        <w:t xml:space="preserve">.  When the </w:t>
      </w:r>
      <w:r w:rsidRPr="003D5C0C">
        <w:rPr>
          <w:rFonts w:ascii="Arial" w:hAnsi="Arial" w:cs="Arial"/>
          <w:bCs/>
          <w:color w:val="000000" w:themeColor="text1"/>
        </w:rPr>
        <w:lastRenderedPageBreak/>
        <w:t xml:space="preserve">Standard Method is run for all 326 local authorities many could be understood to experience ‘exceptional local circumstances’ with respect to just the inputs that comprise the Standard Method. The statistical analysis conducted in this paper shows the origins of this ambiguity to be the normative features of the Standard Method that accord far greater significance to some aspects of how housing </w:t>
      </w:r>
      <w:r w:rsidRPr="003D5C0C">
        <w:rPr>
          <w:rFonts w:ascii="Arial" w:eastAsiaTheme="minorHAnsi" w:hAnsi="Arial" w:cs="Arial"/>
          <w:color w:val="000000" w:themeColor="text1"/>
          <w:lang w:eastAsia="en-US"/>
        </w:rPr>
        <w:t xml:space="preserve">requirement is understood </w:t>
      </w:r>
      <w:r w:rsidRPr="003D5C0C">
        <w:rPr>
          <w:rFonts w:ascii="Arial" w:hAnsi="Arial" w:cs="Arial"/>
          <w:bCs/>
          <w:color w:val="000000" w:themeColor="text1"/>
        </w:rPr>
        <w:t xml:space="preserve">than others.  Perversely, it is clear that the </w:t>
      </w:r>
      <w:r w:rsidR="006D25F6">
        <w:rPr>
          <w:rFonts w:ascii="Arial" w:hAnsi="Arial" w:cs="Arial"/>
          <w:bCs/>
          <w:color w:val="000000" w:themeColor="text1"/>
        </w:rPr>
        <w:t xml:space="preserve">purported </w:t>
      </w:r>
      <w:r w:rsidRPr="003D5C0C">
        <w:rPr>
          <w:rFonts w:ascii="Arial" w:hAnsi="Arial" w:cs="Arial"/>
          <w:bCs/>
          <w:color w:val="000000" w:themeColor="text1"/>
        </w:rPr>
        <w:t xml:space="preserve">objectives of the UK government - the architects of the </w:t>
      </w:r>
      <w:r w:rsidRPr="003D5C0C">
        <w:rPr>
          <w:rFonts w:ascii="Arial" w:hAnsi="Arial" w:cs="Arial"/>
          <w:color w:val="000000" w:themeColor="text1"/>
        </w:rPr>
        <w:t xml:space="preserve">Standard Method </w:t>
      </w:r>
      <w:r w:rsidRPr="003D5C0C">
        <w:rPr>
          <w:rFonts w:ascii="Arial" w:hAnsi="Arial" w:cs="Arial"/>
          <w:bCs/>
          <w:color w:val="000000" w:themeColor="text1"/>
        </w:rPr>
        <w:t xml:space="preserve">- are not well served by it.  If 300,000 new homes are to be built in, preferably, areas that have urban brownfield land available the Standard Method actively works against this aim: it produces assessments of housing </w:t>
      </w:r>
      <w:r w:rsidRPr="003D5C0C">
        <w:rPr>
          <w:rFonts w:ascii="Arial" w:eastAsiaTheme="minorHAnsi" w:hAnsi="Arial" w:cs="Arial"/>
          <w:color w:val="000000" w:themeColor="text1"/>
          <w:lang w:eastAsia="en-US"/>
        </w:rPr>
        <w:t xml:space="preserve">requirement </w:t>
      </w:r>
      <w:r w:rsidRPr="003D5C0C">
        <w:rPr>
          <w:rFonts w:ascii="Arial" w:hAnsi="Arial" w:cs="Arial"/>
          <w:bCs/>
          <w:color w:val="000000" w:themeColor="text1"/>
        </w:rPr>
        <w:t xml:space="preserve">that make the least demands of precisely the authorities that might benefit most from housing-led urban renewal. As Revellino and Mouritsen (2015: 31) argue as, “engines, calculative practices trigger a process of mobilisation of knowledge and insight which become part of the innovation.”  In this way, the top down imposition of the Standard Method has innovated a reflective process that uncovers its normative goals </w:t>
      </w:r>
      <w:r w:rsidR="000029CB" w:rsidRPr="003D5C0C">
        <w:rPr>
          <w:rFonts w:ascii="Arial" w:hAnsi="Arial" w:cs="Arial"/>
          <w:bCs/>
          <w:color w:val="000000" w:themeColor="text1"/>
        </w:rPr>
        <w:t>in the process of its</w:t>
      </w:r>
      <w:r w:rsidRPr="003D5C0C">
        <w:rPr>
          <w:rFonts w:ascii="Arial" w:hAnsi="Arial" w:cs="Arial"/>
          <w:bCs/>
          <w:color w:val="000000" w:themeColor="text1"/>
        </w:rPr>
        <w:t xml:space="preserve"> calculative performance.</w:t>
      </w:r>
    </w:p>
    <w:p w14:paraId="0D54E288" w14:textId="77777777" w:rsidR="00696203" w:rsidRPr="003D5C0C" w:rsidRDefault="00696203" w:rsidP="006633FA">
      <w:pPr>
        <w:spacing w:line="480" w:lineRule="auto"/>
        <w:jc w:val="both"/>
        <w:rPr>
          <w:rFonts w:ascii="Arial" w:hAnsi="Arial" w:cs="Arial"/>
          <w:bCs/>
          <w:color w:val="000000" w:themeColor="text1"/>
        </w:rPr>
      </w:pPr>
    </w:p>
    <w:p w14:paraId="0C8326DE" w14:textId="352B47B5" w:rsidR="00696203" w:rsidRPr="003D5C0C" w:rsidRDefault="00696203" w:rsidP="006633FA">
      <w:pPr>
        <w:spacing w:line="480" w:lineRule="auto"/>
        <w:jc w:val="both"/>
        <w:rPr>
          <w:rFonts w:ascii="Arial" w:hAnsi="Arial" w:cs="Arial"/>
          <w:bCs/>
          <w:color w:val="000000" w:themeColor="text1"/>
        </w:rPr>
      </w:pPr>
      <w:r w:rsidRPr="003D5C0C">
        <w:rPr>
          <w:rFonts w:ascii="Arial" w:hAnsi="Arial" w:cs="Arial"/>
          <w:bCs/>
          <w:color w:val="000000" w:themeColor="text1"/>
        </w:rPr>
        <w:t xml:space="preserve">Through this process of dissection it becomes clear that the Standard Method represents an example of a calculative practice that is ostensibly objective and transparent but which, through its performance, is revealed to be deeply inscribed with normative judgements that reinforce an established pattern of development.  The Method seeks to discipline </w:t>
      </w:r>
      <w:r w:rsidR="006D25F6">
        <w:rPr>
          <w:rFonts w:ascii="Arial" w:hAnsi="Arial" w:cs="Arial"/>
          <w:bCs/>
          <w:color w:val="000000" w:themeColor="text1"/>
        </w:rPr>
        <w:t>local planning authorities</w:t>
      </w:r>
      <w:r w:rsidRPr="003D5C0C">
        <w:rPr>
          <w:rFonts w:ascii="Arial" w:hAnsi="Arial" w:cs="Arial"/>
          <w:bCs/>
          <w:color w:val="000000" w:themeColor="text1"/>
        </w:rPr>
        <w:t xml:space="preserve"> to permit sufficient new housing to align with an </w:t>
      </w:r>
      <w:r w:rsidRPr="003D5C0C">
        <w:rPr>
          <w:rFonts w:ascii="Arial" w:hAnsi="Arial" w:cs="Arial"/>
          <w:bCs/>
          <w:i/>
          <w:color w:val="000000" w:themeColor="text1"/>
        </w:rPr>
        <w:t>expected</w:t>
      </w:r>
      <w:r w:rsidRPr="003D5C0C">
        <w:rPr>
          <w:rFonts w:ascii="Arial" w:hAnsi="Arial" w:cs="Arial"/>
          <w:bCs/>
          <w:color w:val="000000" w:themeColor="text1"/>
        </w:rPr>
        <w:t xml:space="preserve"> national portrait of the geography of housing requirement. Yet in so doing it reveals the differences between housing contexts and begs the question of each </w:t>
      </w:r>
      <w:r w:rsidR="006D25F6">
        <w:rPr>
          <w:rFonts w:ascii="Arial" w:hAnsi="Arial" w:cs="Arial"/>
          <w:bCs/>
          <w:color w:val="000000" w:themeColor="text1"/>
        </w:rPr>
        <w:t>local authority</w:t>
      </w:r>
      <w:r w:rsidRPr="003D5C0C">
        <w:rPr>
          <w:rFonts w:ascii="Arial" w:hAnsi="Arial" w:cs="Arial"/>
          <w:bCs/>
          <w:color w:val="000000" w:themeColor="text1"/>
        </w:rPr>
        <w:t>: in what ways might you be</w:t>
      </w:r>
      <w:r w:rsidR="000029CB" w:rsidRPr="003D5C0C">
        <w:rPr>
          <w:rFonts w:ascii="Arial" w:hAnsi="Arial" w:cs="Arial"/>
          <w:bCs/>
          <w:color w:val="000000" w:themeColor="text1"/>
        </w:rPr>
        <w:t xml:space="preserve"> considered</w:t>
      </w:r>
      <w:r w:rsidRPr="003D5C0C">
        <w:rPr>
          <w:rFonts w:ascii="Arial" w:hAnsi="Arial" w:cs="Arial"/>
          <w:bCs/>
          <w:color w:val="000000" w:themeColor="text1"/>
        </w:rPr>
        <w:t xml:space="preserve"> exceptional? The very question of exceptionality </w:t>
      </w:r>
      <w:r w:rsidR="00572EC4">
        <w:rPr>
          <w:rFonts w:ascii="Arial" w:hAnsi="Arial" w:cs="Arial"/>
          <w:bCs/>
          <w:color w:val="000000" w:themeColor="text1"/>
        </w:rPr>
        <w:t>forces</w:t>
      </w:r>
      <w:r w:rsidRPr="003D5C0C">
        <w:rPr>
          <w:rFonts w:ascii="Arial" w:hAnsi="Arial" w:cs="Arial"/>
          <w:bCs/>
          <w:color w:val="000000" w:themeColor="text1"/>
        </w:rPr>
        <w:t xml:space="preserve"> </w:t>
      </w:r>
      <w:r w:rsidR="006D25F6">
        <w:rPr>
          <w:rFonts w:ascii="Arial" w:hAnsi="Arial" w:cs="Arial"/>
          <w:bCs/>
          <w:color w:val="000000" w:themeColor="text1"/>
        </w:rPr>
        <w:t>consideration of</w:t>
      </w:r>
      <w:r w:rsidRPr="003D5C0C">
        <w:rPr>
          <w:rFonts w:ascii="Arial" w:hAnsi="Arial" w:cs="Arial"/>
          <w:bCs/>
          <w:color w:val="000000" w:themeColor="text1"/>
        </w:rPr>
        <w:t xml:space="preserve"> housing context</w:t>
      </w:r>
      <w:r w:rsidR="000029CB" w:rsidRPr="003D5C0C">
        <w:rPr>
          <w:rFonts w:ascii="Arial" w:hAnsi="Arial" w:cs="Arial"/>
          <w:bCs/>
          <w:color w:val="000000" w:themeColor="text1"/>
        </w:rPr>
        <w:t>s</w:t>
      </w:r>
      <w:r w:rsidRPr="003D5C0C">
        <w:rPr>
          <w:rFonts w:ascii="Arial" w:hAnsi="Arial" w:cs="Arial"/>
          <w:bCs/>
          <w:color w:val="000000" w:themeColor="text1"/>
        </w:rPr>
        <w:t xml:space="preserve">, </w:t>
      </w:r>
      <w:r w:rsidRPr="003D5C0C">
        <w:rPr>
          <w:rFonts w:ascii="Arial" w:hAnsi="Arial" w:cs="Arial"/>
          <w:bCs/>
          <w:color w:val="000000" w:themeColor="text1"/>
        </w:rPr>
        <w:lastRenderedPageBreak/>
        <w:t xml:space="preserve">demographic character, housing market dynamics and broader economic and social projections.  Far from disciplining markets into providing more housing, the construction of the Standard Method actually shines a light on the inherent differences in geography and housing markets that become </w:t>
      </w:r>
      <w:r w:rsidR="00DC50B2" w:rsidRPr="003D5C0C">
        <w:rPr>
          <w:rFonts w:ascii="Arial" w:hAnsi="Arial" w:cs="Arial"/>
          <w:bCs/>
          <w:color w:val="000000" w:themeColor="text1"/>
        </w:rPr>
        <w:t xml:space="preserve">manifest as </w:t>
      </w:r>
      <w:r w:rsidRPr="003D5C0C">
        <w:rPr>
          <w:rFonts w:ascii="Arial" w:hAnsi="Arial" w:cs="Arial"/>
          <w:bCs/>
          <w:color w:val="000000" w:themeColor="text1"/>
        </w:rPr>
        <w:t>‘locally exceptional</w:t>
      </w:r>
      <w:r w:rsidR="00DC50B2" w:rsidRPr="003D5C0C">
        <w:rPr>
          <w:rFonts w:ascii="Arial" w:hAnsi="Arial" w:cs="Arial"/>
          <w:bCs/>
          <w:color w:val="000000" w:themeColor="text1"/>
        </w:rPr>
        <w:t xml:space="preserve"> circumstances</w:t>
      </w:r>
      <w:r w:rsidRPr="003D5C0C">
        <w:rPr>
          <w:rFonts w:ascii="Arial" w:hAnsi="Arial" w:cs="Arial"/>
          <w:bCs/>
          <w:color w:val="000000" w:themeColor="text1"/>
        </w:rPr>
        <w:t xml:space="preserve">’ through the calculative </w:t>
      </w:r>
      <w:r w:rsidR="00DC50B2" w:rsidRPr="003D5C0C">
        <w:rPr>
          <w:rFonts w:ascii="Arial" w:hAnsi="Arial" w:cs="Arial"/>
          <w:bCs/>
          <w:color w:val="000000" w:themeColor="text1"/>
        </w:rPr>
        <w:t>act</w:t>
      </w:r>
      <w:r w:rsidRPr="003D5C0C">
        <w:rPr>
          <w:rFonts w:ascii="Arial" w:hAnsi="Arial" w:cs="Arial"/>
          <w:bCs/>
          <w:color w:val="000000" w:themeColor="text1"/>
        </w:rPr>
        <w:t xml:space="preserve"> itself.  </w:t>
      </w:r>
    </w:p>
    <w:p w14:paraId="1E76D39D" w14:textId="77777777" w:rsidR="00696203" w:rsidRPr="003D5C0C" w:rsidRDefault="00696203" w:rsidP="006633FA">
      <w:pPr>
        <w:spacing w:line="480" w:lineRule="auto"/>
        <w:jc w:val="both"/>
        <w:rPr>
          <w:rFonts w:ascii="Arial" w:hAnsi="Arial" w:cs="Arial"/>
          <w:bCs/>
          <w:color w:val="000000" w:themeColor="text1"/>
        </w:rPr>
      </w:pPr>
    </w:p>
    <w:p w14:paraId="4FA0F404" w14:textId="0F1D5EAE" w:rsidR="00696203" w:rsidRPr="003D5C0C" w:rsidRDefault="00696203" w:rsidP="006633FA">
      <w:pPr>
        <w:spacing w:line="480" w:lineRule="auto"/>
        <w:jc w:val="both"/>
        <w:rPr>
          <w:rFonts w:ascii="Arial" w:hAnsi="Arial" w:cs="Arial"/>
          <w:bCs/>
          <w:color w:val="000000" w:themeColor="text1"/>
        </w:rPr>
      </w:pPr>
      <w:r w:rsidRPr="003D5C0C">
        <w:rPr>
          <w:rFonts w:ascii="Arial" w:hAnsi="Arial" w:cs="Arial"/>
          <w:bCs/>
          <w:color w:val="000000" w:themeColor="text1"/>
        </w:rPr>
        <w:t xml:space="preserve">Furthermore, the process of establishing the Standard Method as a </w:t>
      </w:r>
      <w:r w:rsidR="0016381A">
        <w:rPr>
          <w:rFonts w:ascii="Arial" w:hAnsi="Arial" w:cs="Arial"/>
          <w:bCs/>
          <w:color w:val="000000" w:themeColor="text1"/>
        </w:rPr>
        <w:t>precept</w:t>
      </w:r>
      <w:r w:rsidRPr="003D5C0C">
        <w:rPr>
          <w:rFonts w:ascii="Arial" w:hAnsi="Arial" w:cs="Arial"/>
          <w:bCs/>
          <w:color w:val="000000" w:themeColor="text1"/>
        </w:rPr>
        <w:t xml:space="preserve"> forces consideration of all those features upon which it is silent. For example, the Standard Method simply results in a number of ‘dwellings’ - but a one-bedroom shared ownership apartment and a four bedroom</w:t>
      </w:r>
      <w:r w:rsidR="00DC50B2" w:rsidRPr="003D5C0C">
        <w:rPr>
          <w:rFonts w:ascii="Arial" w:hAnsi="Arial" w:cs="Arial"/>
          <w:bCs/>
          <w:color w:val="000000" w:themeColor="text1"/>
        </w:rPr>
        <w:t>ed</w:t>
      </w:r>
      <w:r w:rsidRPr="003D5C0C">
        <w:rPr>
          <w:rFonts w:ascii="Arial" w:hAnsi="Arial" w:cs="Arial"/>
          <w:bCs/>
          <w:color w:val="000000" w:themeColor="text1"/>
        </w:rPr>
        <w:t xml:space="preserve"> detached ho</w:t>
      </w:r>
      <w:r w:rsidR="00DC50B2" w:rsidRPr="003D5C0C">
        <w:rPr>
          <w:rFonts w:ascii="Arial" w:hAnsi="Arial" w:cs="Arial"/>
          <w:bCs/>
          <w:color w:val="000000" w:themeColor="text1"/>
        </w:rPr>
        <w:t xml:space="preserve">use </w:t>
      </w:r>
      <w:r w:rsidRPr="003D5C0C">
        <w:rPr>
          <w:rFonts w:ascii="Arial" w:hAnsi="Arial" w:cs="Arial"/>
          <w:bCs/>
          <w:color w:val="000000" w:themeColor="text1"/>
        </w:rPr>
        <w:t xml:space="preserve">are not perfect substitutes.  It might be desirable for an alternative assessment of housing </w:t>
      </w:r>
      <w:r w:rsidRPr="003D5C0C">
        <w:rPr>
          <w:rFonts w:ascii="Arial" w:eastAsiaTheme="minorHAnsi" w:hAnsi="Arial" w:cs="Arial"/>
          <w:color w:val="000000" w:themeColor="text1"/>
          <w:lang w:eastAsia="en-US"/>
        </w:rPr>
        <w:t>requirement to</w:t>
      </w:r>
      <w:r w:rsidRPr="003D5C0C">
        <w:rPr>
          <w:rFonts w:ascii="Arial" w:hAnsi="Arial" w:cs="Arial"/>
          <w:bCs/>
          <w:color w:val="000000" w:themeColor="text1"/>
        </w:rPr>
        <w:t xml:space="preserve"> be a great deal more specific on the type and tenure of the new homes that are required in each local authority.  </w:t>
      </w:r>
      <w:r w:rsidR="00DC50B2" w:rsidRPr="003D5C0C">
        <w:rPr>
          <w:rFonts w:ascii="Arial" w:hAnsi="Arial" w:cs="Arial"/>
          <w:bCs/>
          <w:color w:val="000000" w:themeColor="text1"/>
        </w:rPr>
        <w:t>Furthermore</w:t>
      </w:r>
      <w:r w:rsidRPr="003D5C0C">
        <w:rPr>
          <w:rFonts w:ascii="Arial" w:hAnsi="Arial" w:cs="Arial"/>
          <w:bCs/>
          <w:color w:val="000000" w:themeColor="text1"/>
        </w:rPr>
        <w:t xml:space="preserve">, the Standard Method ignores significant social and behavioural changes in the matching of households to housing types. Under the Standard Method each local authority’s existing housing stock is simply assumed to be adequate.  But many British towns and cities </w:t>
      </w:r>
      <w:r w:rsidR="00572EC4">
        <w:rPr>
          <w:rFonts w:ascii="Arial" w:hAnsi="Arial" w:cs="Arial"/>
          <w:bCs/>
          <w:color w:val="000000" w:themeColor="text1"/>
        </w:rPr>
        <w:t xml:space="preserve">accommodate significant </w:t>
      </w:r>
      <w:r w:rsidR="00B10104">
        <w:rPr>
          <w:rFonts w:ascii="Arial" w:hAnsi="Arial" w:cs="Arial"/>
          <w:bCs/>
          <w:color w:val="000000" w:themeColor="text1"/>
        </w:rPr>
        <w:t>quantities</w:t>
      </w:r>
      <w:r w:rsidR="00572EC4">
        <w:rPr>
          <w:rFonts w:ascii="Arial" w:hAnsi="Arial" w:cs="Arial"/>
          <w:bCs/>
          <w:color w:val="000000" w:themeColor="text1"/>
        </w:rPr>
        <w:t xml:space="preserve"> of </w:t>
      </w:r>
      <w:r w:rsidRPr="003D5C0C">
        <w:rPr>
          <w:rFonts w:ascii="Arial" w:hAnsi="Arial" w:cs="Arial"/>
          <w:bCs/>
          <w:color w:val="000000" w:themeColor="text1"/>
        </w:rPr>
        <w:t xml:space="preserve">Victorian </w:t>
      </w:r>
      <w:r w:rsidR="00572EC4">
        <w:rPr>
          <w:rFonts w:ascii="Arial" w:hAnsi="Arial" w:cs="Arial"/>
          <w:bCs/>
          <w:color w:val="000000" w:themeColor="text1"/>
        </w:rPr>
        <w:t xml:space="preserve">and Edwardian </w:t>
      </w:r>
      <w:r w:rsidRPr="003D5C0C">
        <w:rPr>
          <w:rFonts w:ascii="Arial" w:hAnsi="Arial" w:cs="Arial"/>
          <w:bCs/>
          <w:color w:val="000000" w:themeColor="text1"/>
        </w:rPr>
        <w:t xml:space="preserve">housing that is not uniformly of adequate quality </w:t>
      </w:r>
      <w:r w:rsidR="00572EC4">
        <w:rPr>
          <w:rFonts w:ascii="Arial" w:hAnsi="Arial" w:cs="Arial"/>
          <w:bCs/>
          <w:color w:val="000000" w:themeColor="text1"/>
        </w:rPr>
        <w:t xml:space="preserve">alongside </w:t>
      </w:r>
      <w:r w:rsidR="00B10104">
        <w:rPr>
          <w:rFonts w:ascii="Arial" w:hAnsi="Arial" w:cs="Arial"/>
          <w:bCs/>
          <w:color w:val="000000" w:themeColor="text1"/>
        </w:rPr>
        <w:t xml:space="preserve">a large stock of </w:t>
      </w:r>
      <w:r w:rsidRPr="003D5C0C">
        <w:rPr>
          <w:rFonts w:ascii="Arial" w:hAnsi="Arial" w:cs="Arial"/>
          <w:bCs/>
          <w:color w:val="000000" w:themeColor="text1"/>
        </w:rPr>
        <w:t xml:space="preserve">three-bedroom semi-detached housing built in the 1930s and 1950s when average life expectancy was around 60 years.  Even if all this housing is assumed to be of suitable quality (which is doubtful) the degree to which it meets the </w:t>
      </w:r>
      <w:r w:rsidRPr="003D5C0C">
        <w:rPr>
          <w:rFonts w:ascii="Arial" w:eastAsiaTheme="minorHAnsi" w:hAnsi="Arial" w:cs="Arial"/>
          <w:color w:val="000000" w:themeColor="text1"/>
          <w:lang w:eastAsia="en-US"/>
        </w:rPr>
        <w:t xml:space="preserve">requirements </w:t>
      </w:r>
      <w:r w:rsidRPr="003D5C0C">
        <w:rPr>
          <w:rFonts w:ascii="Arial" w:hAnsi="Arial" w:cs="Arial"/>
          <w:bCs/>
          <w:color w:val="000000" w:themeColor="text1"/>
        </w:rPr>
        <w:t xml:space="preserve">of an ageing population that may be expected to increasingly require smaller, extra care homes is highly debatable.  The conspicuous absence of such features from the Standard Method encourages further debate and yields further ways in which exceptionalism might be identified. </w:t>
      </w:r>
    </w:p>
    <w:p w14:paraId="6CBE3051" w14:textId="77777777" w:rsidR="00696203" w:rsidRPr="003D5C0C" w:rsidRDefault="00696203" w:rsidP="006633FA">
      <w:pPr>
        <w:spacing w:line="480" w:lineRule="auto"/>
        <w:jc w:val="both"/>
        <w:rPr>
          <w:rFonts w:ascii="Arial" w:hAnsi="Arial" w:cs="Arial"/>
          <w:bCs/>
          <w:color w:val="000000" w:themeColor="text1"/>
        </w:rPr>
      </w:pPr>
    </w:p>
    <w:p w14:paraId="133B43CB" w14:textId="77777777" w:rsidR="00DC50B2" w:rsidRPr="003D5C0C" w:rsidRDefault="00696203" w:rsidP="006633FA">
      <w:pPr>
        <w:spacing w:line="480" w:lineRule="auto"/>
        <w:jc w:val="both"/>
        <w:rPr>
          <w:rFonts w:ascii="Arial" w:hAnsi="Arial" w:cs="Arial"/>
          <w:color w:val="000000" w:themeColor="text1"/>
        </w:rPr>
      </w:pPr>
      <w:r w:rsidRPr="003D5C0C">
        <w:rPr>
          <w:rFonts w:ascii="Arial" w:hAnsi="Arial" w:cs="Arial"/>
          <w:bCs/>
          <w:color w:val="000000" w:themeColor="text1"/>
        </w:rPr>
        <w:lastRenderedPageBreak/>
        <w:t>Understanding the role of the Standard Method in the failures of the turn towards a more authoritarian form of regulatory control of housing supply might best be understood by reference to the improvisational strain in neoliberalism.  From this perspective the construction of the Standard Method, laden with its normative prescription to result in 300,000 new dwellings per annum that follows the existing spatial pattern of development in England</w:t>
      </w:r>
      <w:r w:rsidR="002B0F2C" w:rsidRPr="003D5C0C">
        <w:rPr>
          <w:rFonts w:ascii="Arial" w:hAnsi="Arial" w:cs="Arial"/>
          <w:bCs/>
          <w:color w:val="000000" w:themeColor="text1"/>
        </w:rPr>
        <w:t>,</w:t>
      </w:r>
      <w:r w:rsidRPr="003D5C0C">
        <w:rPr>
          <w:rFonts w:ascii="Arial" w:hAnsi="Arial" w:cs="Arial"/>
          <w:bCs/>
          <w:color w:val="000000" w:themeColor="text1"/>
        </w:rPr>
        <w:t xml:space="preserve"> “</w:t>
      </w:r>
      <w:r w:rsidRPr="003D5C0C">
        <w:rPr>
          <w:rFonts w:ascii="Arial" w:hAnsi="Arial" w:cs="Arial"/>
          <w:color w:val="000000" w:themeColor="text1"/>
        </w:rPr>
        <w:t>speak(s) to the lurching and nonlinear (and yet still identifiably frontal) course of neoliberal programs and projects, and to their proclivity for “</w:t>
      </w:r>
      <w:r w:rsidRPr="003D5C0C">
        <w:rPr>
          <w:rStyle w:val="highlight"/>
          <w:rFonts w:ascii="Arial" w:hAnsi="Arial" w:cs="Arial"/>
          <w:color w:val="000000" w:themeColor="text1"/>
        </w:rPr>
        <w:t>fail</w:t>
      </w:r>
      <w:r w:rsidRPr="003D5C0C">
        <w:rPr>
          <w:rFonts w:ascii="Arial" w:hAnsi="Arial" w:cs="Arial"/>
          <w:color w:val="000000" w:themeColor="text1"/>
        </w:rPr>
        <w:t>ing forward” into improvised institutional solutions typically sought and found within a politically and fiscally narrowed solution space</w:t>
      </w:r>
      <w:r w:rsidR="002B0F2C" w:rsidRPr="003D5C0C">
        <w:rPr>
          <w:rFonts w:ascii="Arial" w:hAnsi="Arial" w:cs="Arial"/>
          <w:color w:val="000000" w:themeColor="text1"/>
        </w:rPr>
        <w:t>”</w:t>
      </w:r>
      <w:r w:rsidRPr="003D5C0C">
        <w:rPr>
          <w:rFonts w:ascii="Arial" w:hAnsi="Arial" w:cs="Arial"/>
          <w:color w:val="000000" w:themeColor="text1"/>
        </w:rPr>
        <w:t xml:space="preserve"> (Peck and Theodore, 2019: 258; Peck 2010).  </w:t>
      </w:r>
    </w:p>
    <w:p w14:paraId="3A045B9A" w14:textId="77777777" w:rsidR="00DC50B2" w:rsidRPr="003D5C0C" w:rsidRDefault="00DC50B2" w:rsidP="006633FA">
      <w:pPr>
        <w:spacing w:line="480" w:lineRule="auto"/>
        <w:jc w:val="both"/>
        <w:rPr>
          <w:rFonts w:ascii="Arial" w:hAnsi="Arial" w:cs="Arial"/>
          <w:color w:val="000000" w:themeColor="text1"/>
        </w:rPr>
      </w:pPr>
    </w:p>
    <w:p w14:paraId="57507EB9" w14:textId="320EDB7C" w:rsidR="00696203" w:rsidRPr="003D5C0C" w:rsidRDefault="00696203" w:rsidP="006633FA">
      <w:pPr>
        <w:spacing w:line="480" w:lineRule="auto"/>
        <w:jc w:val="both"/>
        <w:rPr>
          <w:rFonts w:ascii="Arial" w:hAnsi="Arial" w:cs="Arial"/>
          <w:color w:val="000000" w:themeColor="text1"/>
        </w:rPr>
      </w:pPr>
      <w:r w:rsidRPr="003D5C0C">
        <w:rPr>
          <w:rFonts w:ascii="Arial" w:hAnsi="Arial" w:cs="Arial"/>
          <w:color w:val="000000" w:themeColor="text1"/>
        </w:rPr>
        <w:t xml:space="preserve">The depiction of local authorities as individually unique and ‘exceptional’ is more apparent than real, a result of the Standard Method’s performance.  However, </w:t>
      </w:r>
      <w:r w:rsidR="00DC50B2" w:rsidRPr="003D5C0C">
        <w:rPr>
          <w:rFonts w:ascii="Arial" w:hAnsi="Arial" w:cs="Arial"/>
          <w:color w:val="000000" w:themeColor="text1"/>
        </w:rPr>
        <w:t xml:space="preserve">the </w:t>
      </w:r>
      <w:r w:rsidRPr="003D5C0C">
        <w:rPr>
          <w:rFonts w:ascii="Arial" w:hAnsi="Arial" w:cs="Arial"/>
          <w:color w:val="000000" w:themeColor="text1"/>
        </w:rPr>
        <w:t xml:space="preserve">revelation </w:t>
      </w:r>
      <w:r w:rsidR="00DC50B2" w:rsidRPr="003D5C0C">
        <w:rPr>
          <w:rFonts w:ascii="Arial" w:hAnsi="Arial" w:cs="Arial"/>
          <w:color w:val="000000" w:themeColor="text1"/>
        </w:rPr>
        <w:t xml:space="preserve">of exceptionalism </w:t>
      </w:r>
      <w:r w:rsidRPr="003D5C0C">
        <w:rPr>
          <w:rFonts w:ascii="Arial" w:hAnsi="Arial" w:cs="Arial"/>
          <w:color w:val="000000" w:themeColor="text1"/>
        </w:rPr>
        <w:t xml:space="preserve">now </w:t>
      </w:r>
      <w:r w:rsidR="00B10104">
        <w:rPr>
          <w:rFonts w:ascii="Arial" w:hAnsi="Arial" w:cs="Arial"/>
          <w:color w:val="000000" w:themeColor="text1"/>
        </w:rPr>
        <w:t>(re)</w:t>
      </w:r>
      <w:r w:rsidRPr="003D5C0C">
        <w:rPr>
          <w:rFonts w:ascii="Arial" w:hAnsi="Arial" w:cs="Arial"/>
          <w:color w:val="000000" w:themeColor="text1"/>
        </w:rPr>
        <w:t xml:space="preserve">poses the question, how </w:t>
      </w:r>
      <w:r w:rsidRPr="003D5C0C">
        <w:rPr>
          <w:rFonts w:ascii="Arial" w:hAnsi="Arial" w:cs="Arial"/>
          <w:bCs/>
          <w:i/>
          <w:color w:val="000000" w:themeColor="text1"/>
        </w:rPr>
        <w:t>should</w:t>
      </w:r>
      <w:r w:rsidRPr="003D5C0C">
        <w:rPr>
          <w:rFonts w:ascii="Arial" w:hAnsi="Arial" w:cs="Arial"/>
          <w:bCs/>
          <w:color w:val="000000" w:themeColor="text1"/>
        </w:rPr>
        <w:t xml:space="preserve"> housing requirement be assessed</w:t>
      </w:r>
      <w:r w:rsidR="002B0F2C" w:rsidRPr="003D5C0C">
        <w:rPr>
          <w:rFonts w:ascii="Arial" w:hAnsi="Arial" w:cs="Arial"/>
          <w:bCs/>
          <w:color w:val="000000" w:themeColor="text1"/>
        </w:rPr>
        <w:t xml:space="preserve">?  The answer to this question </w:t>
      </w:r>
      <w:r w:rsidR="00B10104">
        <w:rPr>
          <w:rFonts w:ascii="Arial" w:hAnsi="Arial" w:cs="Arial"/>
          <w:bCs/>
          <w:color w:val="000000" w:themeColor="text1"/>
        </w:rPr>
        <w:t>will depend upon the next twist in the neoliberal governance of housing supply</w:t>
      </w:r>
      <w:r w:rsidR="00730D1B">
        <w:rPr>
          <w:rFonts w:ascii="Arial" w:hAnsi="Arial" w:cs="Arial"/>
          <w:bCs/>
          <w:color w:val="000000" w:themeColor="text1"/>
        </w:rPr>
        <w:t>.  One possibility is a</w:t>
      </w:r>
      <w:r w:rsidRPr="003D5C0C">
        <w:rPr>
          <w:rFonts w:ascii="Arial" w:hAnsi="Arial" w:cs="Arial"/>
          <w:bCs/>
          <w:color w:val="000000" w:themeColor="text1"/>
        </w:rPr>
        <w:t xml:space="preserve"> modification to the Standard Method</w:t>
      </w:r>
      <w:r w:rsidR="00730D1B">
        <w:rPr>
          <w:rFonts w:ascii="Arial" w:hAnsi="Arial" w:cs="Arial"/>
          <w:bCs/>
          <w:color w:val="000000" w:themeColor="text1"/>
        </w:rPr>
        <w:t xml:space="preserve"> - of which there has been one abortive attempt already (MHCLG 2020; BBC 2020b). Alternatively the issue may be devolved</w:t>
      </w:r>
      <w:r w:rsidRPr="003D5C0C">
        <w:rPr>
          <w:rFonts w:ascii="Arial" w:hAnsi="Arial" w:cs="Arial"/>
          <w:bCs/>
          <w:color w:val="000000" w:themeColor="text1"/>
        </w:rPr>
        <w:t xml:space="preserve"> back to local authorities, possibly with some behavioural carrot/stick to encourage the </w:t>
      </w:r>
      <w:r w:rsidR="00730D1B">
        <w:rPr>
          <w:rFonts w:ascii="Arial" w:hAnsi="Arial" w:cs="Arial"/>
          <w:bCs/>
          <w:i/>
          <w:color w:val="000000" w:themeColor="text1"/>
        </w:rPr>
        <w:t xml:space="preserve">a priori </w:t>
      </w:r>
      <w:r w:rsidRPr="003D5C0C">
        <w:rPr>
          <w:rFonts w:ascii="Arial" w:hAnsi="Arial" w:cs="Arial"/>
          <w:bCs/>
          <w:color w:val="000000" w:themeColor="text1"/>
        </w:rPr>
        <w:t xml:space="preserve">desired outcome: 300,000 new dwellings per annum </w:t>
      </w:r>
      <w:r w:rsidR="00166284">
        <w:rPr>
          <w:rFonts w:ascii="Arial" w:hAnsi="Arial" w:cs="Arial"/>
          <w:bCs/>
          <w:color w:val="000000" w:themeColor="text1"/>
        </w:rPr>
        <w:t>to conform with the</w:t>
      </w:r>
      <w:r w:rsidR="00B10104">
        <w:rPr>
          <w:rFonts w:ascii="Arial" w:hAnsi="Arial" w:cs="Arial"/>
          <w:bCs/>
          <w:color w:val="000000" w:themeColor="text1"/>
        </w:rPr>
        <w:t xml:space="preserve"> </w:t>
      </w:r>
      <w:r w:rsidR="002B0F2C" w:rsidRPr="003D5C0C">
        <w:rPr>
          <w:rFonts w:ascii="Arial" w:hAnsi="Arial" w:cs="Arial"/>
          <w:bCs/>
          <w:color w:val="000000" w:themeColor="text1"/>
        </w:rPr>
        <w:t>existing</w:t>
      </w:r>
      <w:r w:rsidR="00B10104">
        <w:rPr>
          <w:rFonts w:ascii="Arial" w:hAnsi="Arial" w:cs="Arial"/>
          <w:bCs/>
          <w:color w:val="000000" w:themeColor="text1"/>
        </w:rPr>
        <w:t xml:space="preserve"> and expected</w:t>
      </w:r>
      <w:r w:rsidR="002B0F2C" w:rsidRPr="003D5C0C">
        <w:rPr>
          <w:rFonts w:ascii="Arial" w:hAnsi="Arial" w:cs="Arial"/>
          <w:bCs/>
          <w:color w:val="000000" w:themeColor="text1"/>
        </w:rPr>
        <w:t xml:space="preserve"> </w:t>
      </w:r>
      <w:r w:rsidRPr="003D5C0C">
        <w:rPr>
          <w:rFonts w:ascii="Arial" w:hAnsi="Arial" w:cs="Arial"/>
          <w:bCs/>
          <w:color w:val="000000" w:themeColor="text1"/>
        </w:rPr>
        <w:t>distribution</w:t>
      </w:r>
      <w:r w:rsidR="002B0F2C" w:rsidRPr="003D5C0C">
        <w:rPr>
          <w:rFonts w:ascii="Arial" w:hAnsi="Arial" w:cs="Arial"/>
          <w:bCs/>
          <w:color w:val="000000" w:themeColor="text1"/>
        </w:rPr>
        <w:t xml:space="preserve"> of development.</w:t>
      </w:r>
    </w:p>
    <w:p w14:paraId="275FC065" w14:textId="2FF8FC7E" w:rsidR="009958F5" w:rsidRPr="003D5C0C" w:rsidRDefault="000D0749" w:rsidP="006633FA">
      <w:pPr>
        <w:spacing w:line="480" w:lineRule="auto"/>
        <w:jc w:val="both"/>
        <w:rPr>
          <w:rFonts w:ascii="Arial" w:hAnsi="Arial" w:cs="Arial"/>
          <w:b/>
          <w:bCs/>
          <w:color w:val="000000" w:themeColor="text1"/>
        </w:rPr>
      </w:pPr>
      <w:r w:rsidRPr="003D5C0C">
        <w:rPr>
          <w:rFonts w:ascii="Arial" w:hAnsi="Arial" w:cs="Arial"/>
          <w:b/>
          <w:bCs/>
          <w:color w:val="000000" w:themeColor="text1"/>
        </w:rPr>
        <w:t>References</w:t>
      </w:r>
    </w:p>
    <w:p w14:paraId="62757E98" w14:textId="77777777" w:rsidR="00D3474B" w:rsidRDefault="00DC50B2" w:rsidP="006633FA">
      <w:pPr>
        <w:spacing w:after="160" w:line="480" w:lineRule="auto"/>
        <w:ind w:left="360"/>
        <w:jc w:val="both"/>
        <w:rPr>
          <w:rFonts w:ascii="Arial" w:eastAsiaTheme="minorHAnsi" w:hAnsi="Arial" w:cs="Arial"/>
          <w:color w:val="000000" w:themeColor="text1"/>
          <w:lang w:eastAsia="en-US"/>
        </w:rPr>
      </w:pPr>
      <w:r w:rsidRPr="003D5C0C">
        <w:rPr>
          <w:rFonts w:ascii="Arial" w:eastAsiaTheme="minorHAnsi" w:hAnsi="Arial" w:cs="Arial"/>
          <w:color w:val="000000" w:themeColor="text1"/>
          <w:lang w:eastAsia="en-US"/>
        </w:rPr>
        <w:t xml:space="preserve">Atkins (2017) </w:t>
      </w:r>
      <w:r w:rsidRPr="003D5C0C">
        <w:rPr>
          <w:rFonts w:ascii="Arial" w:eastAsiaTheme="minorHAnsi" w:hAnsi="Arial" w:cs="Arial"/>
          <w:i/>
          <w:iCs/>
          <w:color w:val="000000" w:themeColor="text1"/>
          <w:lang w:eastAsia="en-US"/>
        </w:rPr>
        <w:t>Epsom and Ewell Greenbelt Study</w:t>
      </w:r>
      <w:r w:rsidRPr="003D5C0C">
        <w:rPr>
          <w:rFonts w:ascii="Arial" w:eastAsiaTheme="minorHAnsi" w:hAnsi="Arial" w:cs="Arial"/>
          <w:color w:val="000000" w:themeColor="text1"/>
          <w:lang w:eastAsia="en-US"/>
        </w:rPr>
        <w:t>.  Atkins: Warrington.  Available at:</w:t>
      </w:r>
    </w:p>
    <w:p w14:paraId="54033FFB" w14:textId="586DFC2F" w:rsidR="00DC50B2" w:rsidRPr="003D5C0C" w:rsidRDefault="00222823" w:rsidP="006633FA">
      <w:pPr>
        <w:spacing w:after="160" w:line="480" w:lineRule="auto"/>
        <w:ind w:left="360"/>
        <w:jc w:val="both"/>
        <w:rPr>
          <w:rFonts w:ascii="Arial" w:eastAsiaTheme="minorHAnsi" w:hAnsi="Arial" w:cs="Arial"/>
          <w:color w:val="000000" w:themeColor="text1"/>
          <w:lang w:eastAsia="en-US"/>
        </w:rPr>
      </w:pPr>
      <w:hyperlink r:id="rId8" w:history="1">
        <w:r w:rsidR="00D3474B" w:rsidRPr="00A33DBD">
          <w:rPr>
            <w:rStyle w:val="Hyperlink"/>
            <w:rFonts w:ascii="Arial" w:eastAsiaTheme="minorHAnsi" w:hAnsi="Arial" w:cs="Arial"/>
            <w:lang w:eastAsia="en-US"/>
          </w:rPr>
          <w:t>https://www.epsom-ewell.gov.uk/sites/default/files/documents/residents/planning/planning-policy/Epsom%20and%20Ewell%20Green%20Belt%20Study%20Final%20version%20May%202017.pdf</w:t>
        </w:r>
      </w:hyperlink>
      <w:r w:rsidR="00DC50B2" w:rsidRPr="003D5C0C">
        <w:rPr>
          <w:rFonts w:ascii="Arial" w:eastAsiaTheme="minorHAnsi" w:hAnsi="Arial" w:cs="Arial"/>
          <w:color w:val="000000" w:themeColor="text1"/>
          <w:lang w:eastAsia="en-US"/>
        </w:rPr>
        <w:t xml:space="preserve"> (accessed 23 April 2020)</w:t>
      </w:r>
    </w:p>
    <w:p w14:paraId="1BBA6F61" w14:textId="77777777" w:rsidR="00DC50B2" w:rsidRPr="003D5C0C" w:rsidRDefault="00DC50B2" w:rsidP="006633FA">
      <w:pPr>
        <w:spacing w:after="160" w:line="480" w:lineRule="auto"/>
        <w:contextualSpacing/>
        <w:jc w:val="both"/>
        <w:rPr>
          <w:rFonts w:ascii="Arial" w:eastAsiaTheme="minorHAnsi" w:hAnsi="Arial" w:cs="Arial"/>
          <w:color w:val="000000" w:themeColor="text1"/>
          <w:lang w:eastAsia="en-US"/>
        </w:rPr>
      </w:pPr>
    </w:p>
    <w:p w14:paraId="5A4FA4FE" w14:textId="59941E9A"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shd w:val="clear" w:color="auto" w:fill="FFFFFF"/>
        </w:rPr>
        <w:t xml:space="preserve">Baker M </w:t>
      </w:r>
      <w:r w:rsidR="00D3474B">
        <w:rPr>
          <w:rFonts w:ascii="Arial" w:hAnsi="Arial" w:cs="Arial"/>
          <w:color w:val="000000" w:themeColor="text1"/>
          <w:shd w:val="clear" w:color="auto" w:fill="FFFFFF"/>
        </w:rPr>
        <w:t>and</w:t>
      </w:r>
      <w:r w:rsidRPr="003D5C0C">
        <w:rPr>
          <w:rFonts w:ascii="Arial" w:hAnsi="Arial" w:cs="Arial"/>
          <w:color w:val="000000" w:themeColor="text1"/>
          <w:shd w:val="clear" w:color="auto" w:fill="FFFFFF"/>
        </w:rPr>
        <w:t xml:space="preserve"> Wong C (1997) Planning for housing land in the English regions: a critique of household projections and Regional Planning Guidance mechanisms. </w:t>
      </w:r>
      <w:r w:rsidRPr="003D5C0C">
        <w:rPr>
          <w:rFonts w:ascii="Arial" w:hAnsi="Arial" w:cs="Arial"/>
          <w:i/>
          <w:iCs/>
          <w:color w:val="000000" w:themeColor="text1"/>
        </w:rPr>
        <w:t>Environment and Planning C: Government and Policy</w:t>
      </w:r>
      <w:r w:rsidRPr="003D5C0C">
        <w:rPr>
          <w:rFonts w:ascii="Arial" w:hAnsi="Arial" w:cs="Arial"/>
          <w:color w:val="000000" w:themeColor="text1"/>
          <w:shd w:val="clear" w:color="auto" w:fill="FFFFFF"/>
        </w:rPr>
        <w:t>, </w:t>
      </w:r>
      <w:r w:rsidRPr="003D5C0C">
        <w:rPr>
          <w:rFonts w:ascii="Arial" w:hAnsi="Arial" w:cs="Arial"/>
          <w:i/>
          <w:iCs/>
          <w:color w:val="000000" w:themeColor="text1"/>
        </w:rPr>
        <w:t>15</w:t>
      </w:r>
      <w:r w:rsidRPr="003D5C0C">
        <w:rPr>
          <w:rFonts w:ascii="Arial" w:hAnsi="Arial" w:cs="Arial"/>
          <w:color w:val="000000" w:themeColor="text1"/>
          <w:shd w:val="clear" w:color="auto" w:fill="FFFFFF"/>
        </w:rPr>
        <w:t>(1), pp.73-87.</w:t>
      </w:r>
    </w:p>
    <w:p w14:paraId="3C798C6D" w14:textId="77777777" w:rsidR="00DC50B2" w:rsidRPr="003D5C0C" w:rsidRDefault="00DC50B2" w:rsidP="006633FA">
      <w:pPr>
        <w:spacing w:line="480" w:lineRule="auto"/>
        <w:jc w:val="both"/>
        <w:rPr>
          <w:rFonts w:ascii="Arial" w:hAnsi="Arial" w:cs="Arial"/>
          <w:color w:val="000000" w:themeColor="text1"/>
        </w:rPr>
      </w:pPr>
    </w:p>
    <w:p w14:paraId="1E0CF782" w14:textId="60C01632" w:rsidR="00DC50B2" w:rsidRPr="003D5C0C" w:rsidRDefault="00DC50B2" w:rsidP="006633FA">
      <w:pPr>
        <w:spacing w:line="480" w:lineRule="auto"/>
        <w:ind w:left="360"/>
        <w:jc w:val="both"/>
        <w:rPr>
          <w:rFonts w:ascii="Arial" w:hAnsi="Arial" w:cs="Arial"/>
          <w:color w:val="000000" w:themeColor="text1"/>
          <w:shd w:val="clear" w:color="auto" w:fill="FFFFFF"/>
        </w:rPr>
      </w:pPr>
      <w:r w:rsidRPr="003D5C0C">
        <w:rPr>
          <w:rFonts w:ascii="Arial" w:hAnsi="Arial" w:cs="Arial"/>
          <w:color w:val="000000" w:themeColor="text1"/>
        </w:rPr>
        <w:t xml:space="preserve">Barker K (2019) Redesigning housing policy, </w:t>
      </w:r>
      <w:r w:rsidRPr="003D5C0C">
        <w:rPr>
          <w:rFonts w:ascii="Arial" w:hAnsi="Arial" w:cs="Arial"/>
          <w:i/>
          <w:iCs/>
          <w:color w:val="000000" w:themeColor="text1"/>
        </w:rPr>
        <w:t>National Institute Economic Review</w:t>
      </w:r>
      <w:r w:rsidRPr="003D5C0C">
        <w:rPr>
          <w:rFonts w:ascii="Arial" w:hAnsi="Arial" w:cs="Arial"/>
          <w:color w:val="000000" w:themeColor="text1"/>
          <w:shd w:val="clear" w:color="auto" w:fill="FFFFFF"/>
        </w:rPr>
        <w:t>, </w:t>
      </w:r>
      <w:r w:rsidRPr="003D5C0C">
        <w:rPr>
          <w:rFonts w:ascii="Arial" w:hAnsi="Arial" w:cs="Arial"/>
          <w:i/>
          <w:iCs/>
          <w:color w:val="000000" w:themeColor="text1"/>
        </w:rPr>
        <w:t>250</w:t>
      </w:r>
      <w:r w:rsidRPr="003D5C0C">
        <w:rPr>
          <w:rFonts w:ascii="Arial" w:hAnsi="Arial" w:cs="Arial"/>
          <w:color w:val="000000" w:themeColor="text1"/>
          <w:shd w:val="clear" w:color="auto" w:fill="FFFFFF"/>
        </w:rPr>
        <w:t>(1), pp. R69-R74</w:t>
      </w:r>
    </w:p>
    <w:p w14:paraId="727FFBC2" w14:textId="77777777" w:rsidR="00DC50B2" w:rsidRPr="003D5C0C" w:rsidRDefault="00DC50B2" w:rsidP="006633FA">
      <w:pPr>
        <w:spacing w:line="480" w:lineRule="auto"/>
        <w:jc w:val="both"/>
        <w:rPr>
          <w:rFonts w:ascii="Arial" w:hAnsi="Arial" w:cs="Arial"/>
          <w:color w:val="000000" w:themeColor="text1"/>
        </w:rPr>
      </w:pPr>
    </w:p>
    <w:p w14:paraId="32EA30E5" w14:textId="4790D353" w:rsidR="00DC50B2" w:rsidRDefault="00DC50B2" w:rsidP="006633FA">
      <w:pPr>
        <w:spacing w:line="480" w:lineRule="auto"/>
        <w:ind w:left="360"/>
        <w:jc w:val="both"/>
        <w:rPr>
          <w:rFonts w:ascii="Arial" w:eastAsiaTheme="minorHAnsi" w:hAnsi="Arial" w:cs="Arial"/>
          <w:color w:val="000000" w:themeColor="text1"/>
          <w:lang w:eastAsia="en-US"/>
        </w:rPr>
      </w:pPr>
      <w:r w:rsidRPr="003D5C0C">
        <w:rPr>
          <w:rFonts w:ascii="Arial" w:eastAsiaTheme="minorHAnsi" w:hAnsi="Arial" w:cs="Arial"/>
          <w:color w:val="000000" w:themeColor="text1"/>
          <w:lang w:eastAsia="en-US"/>
        </w:rPr>
        <w:t>BBC (2020</w:t>
      </w:r>
      <w:r w:rsidR="00730D1B">
        <w:rPr>
          <w:rFonts w:ascii="Arial" w:eastAsiaTheme="minorHAnsi" w:hAnsi="Arial" w:cs="Arial"/>
          <w:color w:val="000000" w:themeColor="text1"/>
          <w:lang w:eastAsia="en-US"/>
        </w:rPr>
        <w:t>a</w:t>
      </w:r>
      <w:r w:rsidRPr="003D5C0C">
        <w:rPr>
          <w:rFonts w:ascii="Arial" w:eastAsiaTheme="minorHAnsi" w:hAnsi="Arial" w:cs="Arial"/>
          <w:color w:val="000000" w:themeColor="text1"/>
          <w:lang w:eastAsia="en-US"/>
        </w:rPr>
        <w:t xml:space="preserve">) Housing shortage. Scale of UK’s housing gap revealed.  </w:t>
      </w:r>
      <w:r w:rsidRPr="003D5C0C">
        <w:rPr>
          <w:rFonts w:ascii="Arial" w:eastAsiaTheme="minorHAnsi" w:hAnsi="Arial" w:cs="Arial"/>
          <w:i/>
          <w:iCs/>
          <w:color w:val="000000" w:themeColor="text1"/>
          <w:lang w:eastAsia="en-US"/>
        </w:rPr>
        <w:t>BBC Online</w:t>
      </w:r>
      <w:r w:rsidRPr="003D5C0C">
        <w:rPr>
          <w:rFonts w:ascii="Arial" w:eastAsiaTheme="minorHAnsi" w:hAnsi="Arial" w:cs="Arial"/>
          <w:color w:val="000000" w:themeColor="text1"/>
          <w:lang w:eastAsia="en-US"/>
        </w:rPr>
        <w:t xml:space="preserve">. Available at: </w:t>
      </w:r>
      <w:hyperlink r:id="rId9" w:history="1">
        <w:r w:rsidRPr="003D5C0C">
          <w:rPr>
            <w:rStyle w:val="Hyperlink"/>
            <w:rFonts w:ascii="Arial" w:eastAsiaTheme="minorHAnsi" w:hAnsi="Arial" w:cs="Arial"/>
            <w:color w:val="000000" w:themeColor="text1"/>
            <w:lang w:eastAsia="en-US"/>
          </w:rPr>
          <w:t>https://www.bbc.co.uk/news/business-51605912</w:t>
        </w:r>
      </w:hyperlink>
      <w:r w:rsidRPr="003D5C0C">
        <w:rPr>
          <w:rFonts w:ascii="Arial" w:eastAsiaTheme="minorHAnsi" w:hAnsi="Arial" w:cs="Arial"/>
          <w:color w:val="000000" w:themeColor="text1"/>
          <w:lang w:eastAsia="en-US"/>
        </w:rPr>
        <w:t xml:space="preserve"> (a</w:t>
      </w:r>
      <w:r w:rsidRPr="003D5C0C">
        <w:rPr>
          <w:rFonts w:ascii="Arial" w:eastAsiaTheme="minorHAnsi" w:hAnsi="Arial" w:cs="Arial"/>
          <w:color w:val="000000" w:themeColor="text1"/>
        </w:rPr>
        <w:t>ccessed 23 February 2020</w:t>
      </w:r>
      <w:r w:rsidRPr="003D5C0C">
        <w:rPr>
          <w:rFonts w:ascii="Arial" w:eastAsiaTheme="minorHAnsi" w:hAnsi="Arial" w:cs="Arial"/>
          <w:color w:val="000000" w:themeColor="text1"/>
          <w:lang w:eastAsia="en-US"/>
        </w:rPr>
        <w:t>)</w:t>
      </w:r>
      <w:r w:rsidR="00D3474B">
        <w:rPr>
          <w:rFonts w:ascii="Arial" w:eastAsiaTheme="minorHAnsi" w:hAnsi="Arial" w:cs="Arial"/>
          <w:color w:val="000000" w:themeColor="text1"/>
          <w:lang w:eastAsia="en-US"/>
        </w:rPr>
        <w:t xml:space="preserve"> accessed 23</w:t>
      </w:r>
      <w:r w:rsidR="00D3474B" w:rsidRPr="00D3474B">
        <w:rPr>
          <w:rFonts w:ascii="Arial" w:eastAsiaTheme="minorHAnsi" w:hAnsi="Arial" w:cs="Arial"/>
          <w:color w:val="000000" w:themeColor="text1"/>
          <w:vertAlign w:val="superscript"/>
          <w:lang w:eastAsia="en-US"/>
        </w:rPr>
        <w:t>rd</w:t>
      </w:r>
      <w:r w:rsidR="00D3474B">
        <w:rPr>
          <w:rFonts w:ascii="Arial" w:eastAsiaTheme="minorHAnsi" w:hAnsi="Arial" w:cs="Arial"/>
          <w:color w:val="000000" w:themeColor="text1"/>
          <w:lang w:eastAsia="en-US"/>
        </w:rPr>
        <w:t xml:space="preserve"> April 2020</w:t>
      </w:r>
      <w:r w:rsidRPr="003D5C0C">
        <w:rPr>
          <w:rFonts w:ascii="Arial" w:eastAsiaTheme="minorHAnsi" w:hAnsi="Arial" w:cs="Arial"/>
          <w:color w:val="000000" w:themeColor="text1"/>
          <w:lang w:eastAsia="en-US"/>
        </w:rPr>
        <w:t>.</w:t>
      </w:r>
    </w:p>
    <w:p w14:paraId="37AEABE7" w14:textId="43059E40" w:rsidR="00730D1B" w:rsidRDefault="00730D1B" w:rsidP="006633FA">
      <w:pPr>
        <w:spacing w:line="480" w:lineRule="auto"/>
        <w:ind w:left="360"/>
        <w:jc w:val="both"/>
        <w:rPr>
          <w:rFonts w:ascii="Arial" w:eastAsiaTheme="minorHAnsi" w:hAnsi="Arial" w:cs="Arial"/>
          <w:color w:val="000000" w:themeColor="text1"/>
          <w:lang w:eastAsia="en-US"/>
        </w:rPr>
      </w:pPr>
    </w:p>
    <w:p w14:paraId="4994D537" w14:textId="22E456C0" w:rsidR="00730D1B" w:rsidRDefault="00730D1B" w:rsidP="006633FA">
      <w:pPr>
        <w:spacing w:line="480" w:lineRule="auto"/>
        <w:ind w:left="360"/>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BBC (2020b) Formula for locating new homes revised after Tory Backlash. Available at: </w:t>
      </w:r>
      <w:hyperlink r:id="rId10" w:history="1">
        <w:r w:rsidRPr="001D7C62">
          <w:rPr>
            <w:rStyle w:val="Hyperlink"/>
            <w:rFonts w:ascii="Arial" w:eastAsiaTheme="minorHAnsi" w:hAnsi="Arial" w:cs="Arial"/>
            <w:lang w:eastAsia="en-US"/>
          </w:rPr>
          <w:t>https://www.bbc.co.uk/news/uk-politics-55322993</w:t>
        </w:r>
      </w:hyperlink>
      <w:r>
        <w:rPr>
          <w:rFonts w:ascii="Arial" w:eastAsiaTheme="minorHAnsi" w:hAnsi="Arial" w:cs="Arial"/>
          <w:color w:val="000000" w:themeColor="text1"/>
          <w:lang w:eastAsia="en-US"/>
        </w:rPr>
        <w:t xml:space="preserve"> (accessed 17th December 2020).</w:t>
      </w:r>
    </w:p>
    <w:p w14:paraId="2CE0CFCE" w14:textId="77777777" w:rsidR="00730D1B" w:rsidRDefault="00730D1B" w:rsidP="006633FA">
      <w:pPr>
        <w:spacing w:line="480" w:lineRule="auto"/>
        <w:ind w:left="360"/>
        <w:jc w:val="both"/>
        <w:rPr>
          <w:rFonts w:ascii="Arial" w:eastAsiaTheme="minorHAnsi" w:hAnsi="Arial" w:cs="Arial"/>
          <w:color w:val="000000" w:themeColor="text1"/>
          <w:lang w:eastAsia="en-US"/>
        </w:rPr>
      </w:pPr>
    </w:p>
    <w:p w14:paraId="2B77CCDB" w14:textId="1802A1A8" w:rsidR="00DC50B2" w:rsidRPr="003D5C0C" w:rsidRDefault="00DC50B2" w:rsidP="006633FA">
      <w:pPr>
        <w:spacing w:line="480" w:lineRule="auto"/>
        <w:ind w:left="360"/>
        <w:jc w:val="both"/>
        <w:rPr>
          <w:rFonts w:ascii="Arial" w:eastAsiaTheme="minorHAnsi" w:hAnsi="Arial" w:cs="Arial"/>
          <w:color w:val="000000" w:themeColor="text1"/>
          <w:lang w:eastAsia="en-US"/>
        </w:rPr>
      </w:pPr>
      <w:r w:rsidRPr="003D5C0C">
        <w:rPr>
          <w:rFonts w:ascii="Arial" w:eastAsiaTheme="minorHAnsi" w:hAnsi="Arial" w:cs="Arial"/>
          <w:color w:val="000000" w:themeColor="text1"/>
          <w:lang w:eastAsia="en-US"/>
        </w:rPr>
        <w:t xml:space="preserve">Bentley D (2016) We aren’t building enough houses – and we aren’t building them in the right places.  </w:t>
      </w:r>
      <w:r w:rsidRPr="003D5C0C">
        <w:rPr>
          <w:rFonts w:ascii="Arial" w:eastAsiaTheme="minorHAnsi" w:hAnsi="Arial" w:cs="Arial"/>
          <w:i/>
          <w:iCs/>
          <w:color w:val="000000" w:themeColor="text1"/>
          <w:lang w:eastAsia="en-US"/>
        </w:rPr>
        <w:t>Prospect Magazine</w:t>
      </w:r>
      <w:r w:rsidRPr="003D5C0C">
        <w:rPr>
          <w:rFonts w:ascii="Arial" w:eastAsiaTheme="minorHAnsi" w:hAnsi="Arial" w:cs="Arial"/>
          <w:color w:val="000000" w:themeColor="text1"/>
          <w:lang w:eastAsia="en-US"/>
        </w:rPr>
        <w:t xml:space="preserve">.  Available at: </w:t>
      </w:r>
      <w:hyperlink r:id="rId11" w:history="1">
        <w:r w:rsidRPr="003D5C0C">
          <w:rPr>
            <w:rFonts w:ascii="Arial" w:eastAsiaTheme="minorHAnsi" w:hAnsi="Arial" w:cs="Arial"/>
            <w:color w:val="000000" w:themeColor="text1"/>
            <w:u w:val="single"/>
            <w:lang w:eastAsia="en-US"/>
          </w:rPr>
          <w:t>https://www.prospectmagazine.co.uk/politics/we-arent-building-enough-houses-and-were-building-them-in-the-wrong-places</w:t>
        </w:r>
      </w:hyperlink>
      <w:r w:rsidRPr="003D5C0C">
        <w:rPr>
          <w:rFonts w:ascii="Arial" w:eastAsiaTheme="minorHAnsi" w:hAnsi="Arial" w:cs="Arial"/>
          <w:color w:val="000000" w:themeColor="text1"/>
          <w:lang w:eastAsia="en-US"/>
        </w:rPr>
        <w:t xml:space="preserve"> (accessed 25 January 2020).</w:t>
      </w:r>
    </w:p>
    <w:p w14:paraId="2DFAB079" w14:textId="77777777" w:rsidR="00DC50B2" w:rsidRPr="003D5C0C" w:rsidRDefault="00DC50B2" w:rsidP="006633FA">
      <w:pPr>
        <w:spacing w:line="480" w:lineRule="auto"/>
        <w:jc w:val="both"/>
        <w:rPr>
          <w:rFonts w:ascii="Arial" w:hAnsi="Arial" w:cs="Arial"/>
          <w:color w:val="000000" w:themeColor="text1"/>
          <w:shd w:val="clear" w:color="auto" w:fill="FFFFFF"/>
        </w:rPr>
      </w:pPr>
    </w:p>
    <w:p w14:paraId="0550CD4E" w14:textId="7FF0A2D4" w:rsidR="00DC50B2" w:rsidRPr="003D5C0C" w:rsidRDefault="00DC50B2" w:rsidP="006633FA">
      <w:pPr>
        <w:pStyle w:val="Heading2"/>
        <w:spacing w:line="480" w:lineRule="auto"/>
        <w:ind w:left="360"/>
        <w:jc w:val="both"/>
        <w:rPr>
          <w:rFonts w:ascii="Arial" w:hAnsi="Arial" w:cs="Arial"/>
          <w:color w:val="000000" w:themeColor="text1"/>
          <w:sz w:val="24"/>
          <w:szCs w:val="24"/>
        </w:rPr>
      </w:pPr>
      <w:r w:rsidRPr="003D5C0C">
        <w:rPr>
          <w:rFonts w:ascii="Arial" w:hAnsi="Arial" w:cs="Arial"/>
          <w:bCs/>
          <w:color w:val="000000" w:themeColor="text1"/>
          <w:sz w:val="24"/>
          <w:szCs w:val="24"/>
        </w:rPr>
        <w:t xml:space="preserve">Bickerdike H (2019) </w:t>
      </w:r>
      <w:r w:rsidRPr="003D5C0C">
        <w:rPr>
          <w:rFonts w:ascii="Arial" w:hAnsi="Arial" w:cs="Arial"/>
          <w:color w:val="000000" w:themeColor="text1"/>
          <w:sz w:val="24"/>
          <w:szCs w:val="24"/>
        </w:rPr>
        <w:t xml:space="preserve">What impact is the standard method for assessing local housing need having on housing requirements in local plans? </w:t>
      </w:r>
      <w:r w:rsidRPr="003D5C0C">
        <w:rPr>
          <w:rFonts w:ascii="Arial" w:hAnsi="Arial" w:cs="Arial"/>
          <w:i/>
          <w:iCs/>
          <w:color w:val="000000" w:themeColor="text1"/>
          <w:sz w:val="24"/>
          <w:szCs w:val="24"/>
        </w:rPr>
        <w:t>Lichfields</w:t>
      </w:r>
      <w:r w:rsidRPr="003D5C0C">
        <w:rPr>
          <w:rFonts w:ascii="Arial" w:hAnsi="Arial" w:cs="Arial"/>
          <w:color w:val="000000" w:themeColor="text1"/>
          <w:sz w:val="24"/>
          <w:szCs w:val="24"/>
        </w:rPr>
        <w:t xml:space="preserve">. Available at: </w:t>
      </w:r>
      <w:hyperlink r:id="rId12" w:history="1">
        <w:r w:rsidRPr="003D5C0C">
          <w:rPr>
            <w:rStyle w:val="Hyperlink"/>
            <w:rFonts w:ascii="Arial" w:hAnsi="Arial" w:cs="Arial"/>
            <w:color w:val="000000" w:themeColor="text1"/>
            <w:sz w:val="24"/>
            <w:szCs w:val="24"/>
          </w:rPr>
          <w:t>https://lichfields.uk/blog/2019/october/10/what-impact-is-the-standard-method-for-assessing-local-housing-need-having-on-housing-requirements-in-local-plans/</w:t>
        </w:r>
      </w:hyperlink>
      <w:r w:rsidRPr="003D5C0C">
        <w:rPr>
          <w:rFonts w:ascii="Arial" w:hAnsi="Arial" w:cs="Arial"/>
          <w:color w:val="000000" w:themeColor="text1"/>
          <w:sz w:val="24"/>
          <w:szCs w:val="24"/>
        </w:rPr>
        <w:t xml:space="preserve"> (accessed 23 April 2020).</w:t>
      </w:r>
    </w:p>
    <w:p w14:paraId="76108036" w14:textId="77777777" w:rsidR="00B574F7" w:rsidRDefault="00B574F7" w:rsidP="006633FA">
      <w:pPr>
        <w:spacing w:after="160" w:line="480" w:lineRule="auto"/>
        <w:ind w:left="360"/>
        <w:jc w:val="both"/>
        <w:rPr>
          <w:rFonts w:ascii="Arial" w:hAnsi="Arial" w:cs="Arial"/>
          <w:color w:val="000000" w:themeColor="text1"/>
        </w:rPr>
      </w:pPr>
    </w:p>
    <w:p w14:paraId="7407ACCB" w14:textId="76E12D60" w:rsidR="00B574F7" w:rsidRPr="00730D1B" w:rsidRDefault="00B574F7" w:rsidP="006633FA">
      <w:pPr>
        <w:spacing w:after="160" w:line="480" w:lineRule="auto"/>
        <w:ind w:left="360"/>
        <w:jc w:val="both"/>
        <w:rPr>
          <w:rFonts w:ascii="Arial" w:hAnsi="Arial" w:cs="Arial"/>
          <w:color w:val="000000" w:themeColor="text1"/>
        </w:rPr>
      </w:pPr>
      <w:r>
        <w:rPr>
          <w:rFonts w:ascii="Arial" w:hAnsi="Arial" w:cs="Arial"/>
          <w:color w:val="000000" w:themeColor="text1"/>
        </w:rPr>
        <w:t xml:space="preserve">Bradley, Q. (2020) The </w:t>
      </w:r>
      <w:proofErr w:type="spellStart"/>
      <w:r>
        <w:rPr>
          <w:rFonts w:ascii="Arial" w:hAnsi="Arial" w:cs="Arial"/>
          <w:color w:val="000000" w:themeColor="text1"/>
        </w:rPr>
        <w:t>financialisation</w:t>
      </w:r>
      <w:proofErr w:type="spellEnd"/>
      <w:r>
        <w:rPr>
          <w:rFonts w:ascii="Arial" w:hAnsi="Arial" w:cs="Arial"/>
          <w:color w:val="000000" w:themeColor="text1"/>
        </w:rPr>
        <w:t xml:space="preserve"> of housing land supply in England.  </w:t>
      </w:r>
      <w:r>
        <w:rPr>
          <w:rFonts w:ascii="Arial" w:hAnsi="Arial" w:cs="Arial"/>
          <w:i/>
          <w:color w:val="000000" w:themeColor="text1"/>
        </w:rPr>
        <w:t xml:space="preserve">Urban Studies, </w:t>
      </w:r>
      <w:r w:rsidR="00730D1B">
        <w:rPr>
          <w:rFonts w:ascii="Arial" w:hAnsi="Arial" w:cs="Arial"/>
          <w:color w:val="000000" w:themeColor="text1"/>
        </w:rPr>
        <w:t>online first.</w:t>
      </w:r>
    </w:p>
    <w:p w14:paraId="57B4F28B" w14:textId="72139352" w:rsidR="00DC50B2" w:rsidRPr="003D5C0C" w:rsidRDefault="00DC50B2" w:rsidP="006633FA">
      <w:pPr>
        <w:spacing w:after="160" w:line="480" w:lineRule="auto"/>
        <w:ind w:left="360"/>
        <w:jc w:val="both"/>
        <w:rPr>
          <w:rFonts w:ascii="Arial" w:hAnsi="Arial" w:cs="Arial"/>
          <w:color w:val="000000" w:themeColor="text1"/>
        </w:rPr>
      </w:pPr>
      <w:r w:rsidRPr="003D5C0C">
        <w:rPr>
          <w:rFonts w:ascii="Arial" w:hAnsi="Arial" w:cs="Arial"/>
          <w:color w:val="000000" w:themeColor="text1"/>
        </w:rPr>
        <w:t xml:space="preserve">Bramley G, Karley N. </w:t>
      </w:r>
      <w:r w:rsidR="00D3474B">
        <w:rPr>
          <w:rFonts w:ascii="Arial" w:hAnsi="Arial" w:cs="Arial"/>
          <w:color w:val="000000" w:themeColor="text1"/>
        </w:rPr>
        <w:t>and</w:t>
      </w:r>
      <w:r w:rsidRPr="003D5C0C">
        <w:rPr>
          <w:rFonts w:ascii="Arial" w:hAnsi="Arial" w:cs="Arial"/>
          <w:color w:val="000000" w:themeColor="text1"/>
        </w:rPr>
        <w:t xml:space="preserve"> Watkins D. (2005) </w:t>
      </w:r>
      <w:r w:rsidRPr="003D5C0C">
        <w:rPr>
          <w:rFonts w:ascii="Arial" w:hAnsi="Arial" w:cs="Arial"/>
          <w:i/>
          <w:iCs/>
          <w:color w:val="000000" w:themeColor="text1"/>
        </w:rPr>
        <w:t>Local Housing Need and Affordability Model for Scotland Update</w:t>
      </w:r>
      <w:r w:rsidRPr="003D5C0C">
        <w:rPr>
          <w:rFonts w:ascii="Arial" w:hAnsi="Arial" w:cs="Arial"/>
          <w:color w:val="000000" w:themeColor="text1"/>
        </w:rPr>
        <w:t xml:space="preserve"> </w:t>
      </w:r>
      <w:r w:rsidRPr="003D5C0C">
        <w:rPr>
          <w:rFonts w:ascii="Arial" w:hAnsi="Arial" w:cs="Arial"/>
          <w:i/>
          <w:iCs/>
          <w:color w:val="000000" w:themeColor="text1"/>
        </w:rPr>
        <w:t>(2005 Based)</w:t>
      </w:r>
      <w:r w:rsidRPr="003D5C0C">
        <w:rPr>
          <w:rFonts w:ascii="Arial" w:hAnsi="Arial" w:cs="Arial"/>
          <w:color w:val="000000" w:themeColor="text1"/>
        </w:rPr>
        <w:t>. Research from Communities Scotland Report 72</w:t>
      </w:r>
      <w:r w:rsidR="00D3474B">
        <w:rPr>
          <w:rFonts w:ascii="Arial" w:hAnsi="Arial" w:cs="Arial"/>
          <w:color w:val="000000" w:themeColor="text1"/>
        </w:rPr>
        <w:t xml:space="preserve">. </w:t>
      </w:r>
      <w:r w:rsidRPr="003D5C0C">
        <w:rPr>
          <w:rFonts w:ascii="Arial" w:hAnsi="Arial" w:cs="Arial"/>
          <w:color w:val="000000" w:themeColor="text1"/>
        </w:rPr>
        <w:t>Scottish Executive and Communities</w:t>
      </w:r>
      <w:r w:rsidR="00D3474B">
        <w:rPr>
          <w:rFonts w:ascii="Arial" w:hAnsi="Arial" w:cs="Arial"/>
          <w:color w:val="000000" w:themeColor="text1"/>
        </w:rPr>
        <w:t>: Edinburgh.</w:t>
      </w:r>
    </w:p>
    <w:p w14:paraId="53C9B40F" w14:textId="77777777" w:rsidR="00DC50B2" w:rsidRPr="003D5C0C" w:rsidRDefault="00DC50B2" w:rsidP="006633FA">
      <w:pPr>
        <w:spacing w:after="160" w:line="480" w:lineRule="auto"/>
        <w:contextualSpacing/>
        <w:jc w:val="both"/>
        <w:rPr>
          <w:rFonts w:ascii="Arial" w:eastAsiaTheme="minorHAnsi" w:hAnsi="Arial" w:cs="Arial"/>
          <w:color w:val="000000" w:themeColor="text1"/>
          <w:lang w:eastAsia="en-US"/>
        </w:rPr>
      </w:pPr>
    </w:p>
    <w:p w14:paraId="7C0D7D0F" w14:textId="593231E9" w:rsidR="00DC50B2" w:rsidRPr="003D5C0C" w:rsidRDefault="00DC50B2" w:rsidP="006633FA">
      <w:pPr>
        <w:spacing w:after="160" w:line="480" w:lineRule="auto"/>
        <w:ind w:left="360"/>
        <w:jc w:val="both"/>
        <w:rPr>
          <w:rFonts w:ascii="Arial" w:hAnsi="Arial" w:cs="Arial"/>
          <w:color w:val="000000" w:themeColor="text1"/>
        </w:rPr>
      </w:pPr>
      <w:r w:rsidRPr="003D5C0C">
        <w:rPr>
          <w:rFonts w:ascii="Arial" w:hAnsi="Arial" w:cs="Arial"/>
          <w:color w:val="000000" w:themeColor="text1"/>
        </w:rPr>
        <w:t xml:space="preserve">Bramley G, Pawson H, White M, Watkins D, </w:t>
      </w:r>
      <w:r w:rsidR="00D3474B">
        <w:rPr>
          <w:rFonts w:ascii="Arial" w:hAnsi="Arial" w:cs="Arial"/>
          <w:color w:val="000000" w:themeColor="text1"/>
        </w:rPr>
        <w:t>and</w:t>
      </w:r>
      <w:r w:rsidRPr="003D5C0C">
        <w:rPr>
          <w:rFonts w:ascii="Arial" w:hAnsi="Arial" w:cs="Arial"/>
          <w:color w:val="000000" w:themeColor="text1"/>
        </w:rPr>
        <w:t xml:space="preserve"> Pleace N (2010) </w:t>
      </w:r>
      <w:r w:rsidRPr="003D5C0C">
        <w:rPr>
          <w:rFonts w:ascii="Arial" w:hAnsi="Arial" w:cs="Arial"/>
          <w:i/>
          <w:iCs/>
          <w:color w:val="000000" w:themeColor="text1"/>
        </w:rPr>
        <w:t>Estimating Housing Need</w:t>
      </w:r>
      <w:r w:rsidR="00D3474B">
        <w:rPr>
          <w:rFonts w:ascii="Arial" w:hAnsi="Arial" w:cs="Arial"/>
          <w:iCs/>
          <w:color w:val="000000" w:themeColor="text1"/>
        </w:rPr>
        <w:t>.</w:t>
      </w:r>
      <w:r w:rsidRPr="003D5C0C">
        <w:rPr>
          <w:rFonts w:ascii="Arial" w:hAnsi="Arial" w:cs="Arial"/>
          <w:color w:val="000000" w:themeColor="text1"/>
        </w:rPr>
        <w:t xml:space="preserve"> Department for Communities and Local Government</w:t>
      </w:r>
      <w:r w:rsidR="00D3474B">
        <w:rPr>
          <w:rFonts w:ascii="Arial" w:hAnsi="Arial" w:cs="Arial"/>
          <w:color w:val="000000" w:themeColor="text1"/>
        </w:rPr>
        <w:t>: London</w:t>
      </w:r>
      <w:r w:rsidRPr="003D5C0C">
        <w:rPr>
          <w:rFonts w:ascii="Arial" w:hAnsi="Arial" w:cs="Arial"/>
          <w:color w:val="000000" w:themeColor="text1"/>
        </w:rPr>
        <w:t>.</w:t>
      </w:r>
    </w:p>
    <w:p w14:paraId="2C83B1F2" w14:textId="77777777" w:rsidR="00DC50B2" w:rsidRPr="003D5C0C" w:rsidRDefault="00DC50B2" w:rsidP="006633FA">
      <w:pPr>
        <w:spacing w:after="160" w:line="480" w:lineRule="auto"/>
        <w:contextualSpacing/>
        <w:jc w:val="both"/>
        <w:rPr>
          <w:rFonts w:ascii="Arial" w:eastAsiaTheme="minorHAnsi" w:hAnsi="Arial" w:cs="Arial"/>
          <w:color w:val="000000" w:themeColor="text1"/>
          <w:lang w:eastAsia="en-US"/>
        </w:rPr>
      </w:pPr>
    </w:p>
    <w:p w14:paraId="534E5061" w14:textId="37CB2966" w:rsidR="00DC50B2" w:rsidRPr="003D5C0C" w:rsidRDefault="00DC50B2" w:rsidP="006633FA">
      <w:pPr>
        <w:spacing w:after="160" w:line="480" w:lineRule="auto"/>
        <w:ind w:left="360"/>
        <w:jc w:val="both"/>
        <w:rPr>
          <w:rFonts w:ascii="Arial" w:hAnsi="Arial" w:cs="Arial"/>
          <w:color w:val="000000" w:themeColor="text1"/>
        </w:rPr>
      </w:pPr>
      <w:r w:rsidRPr="003D5C0C">
        <w:rPr>
          <w:rFonts w:ascii="Arial" w:hAnsi="Arial" w:cs="Arial"/>
          <w:color w:val="000000" w:themeColor="text1"/>
        </w:rPr>
        <w:t xml:space="preserve">Bramley G (2012) Affordability, poverty and housing need: Triangulating measures and standard. </w:t>
      </w:r>
      <w:r w:rsidRPr="003D5C0C">
        <w:rPr>
          <w:rFonts w:ascii="Arial" w:hAnsi="Arial" w:cs="Arial"/>
          <w:i/>
          <w:iCs/>
          <w:color w:val="000000" w:themeColor="text1"/>
        </w:rPr>
        <w:t>Journal of Housing and the Built Environment.</w:t>
      </w:r>
      <w:r w:rsidRPr="003D5C0C">
        <w:rPr>
          <w:rFonts w:ascii="Arial" w:hAnsi="Arial" w:cs="Arial"/>
          <w:color w:val="000000" w:themeColor="text1"/>
        </w:rPr>
        <w:t xml:space="preserve"> 27, 133–151.</w:t>
      </w:r>
    </w:p>
    <w:p w14:paraId="7E6E6D4E" w14:textId="77777777" w:rsidR="00DC50B2" w:rsidRPr="003D5C0C" w:rsidRDefault="00DC50B2" w:rsidP="006633FA">
      <w:pPr>
        <w:spacing w:after="160" w:line="480" w:lineRule="auto"/>
        <w:contextualSpacing/>
        <w:jc w:val="both"/>
        <w:rPr>
          <w:rFonts w:ascii="Arial" w:eastAsiaTheme="minorHAnsi" w:hAnsi="Arial" w:cs="Arial"/>
          <w:color w:val="000000" w:themeColor="text1"/>
          <w:lang w:eastAsia="en-US"/>
        </w:rPr>
      </w:pPr>
    </w:p>
    <w:p w14:paraId="6D6441E5" w14:textId="6C7623C4"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shd w:val="clear" w:color="auto" w:fill="FFFFFF"/>
        </w:rPr>
        <w:t xml:space="preserve">Bramley G </w:t>
      </w:r>
      <w:r w:rsidR="00D3474B">
        <w:rPr>
          <w:rFonts w:ascii="Arial" w:hAnsi="Arial" w:cs="Arial"/>
          <w:color w:val="000000" w:themeColor="text1"/>
          <w:shd w:val="clear" w:color="auto" w:fill="FFFFFF"/>
        </w:rPr>
        <w:t>and</w:t>
      </w:r>
      <w:r w:rsidRPr="003D5C0C">
        <w:rPr>
          <w:rFonts w:ascii="Arial" w:hAnsi="Arial" w:cs="Arial"/>
          <w:color w:val="000000" w:themeColor="text1"/>
          <w:shd w:val="clear" w:color="auto" w:fill="FFFFFF"/>
        </w:rPr>
        <w:t xml:space="preserve"> Watkins D (2016) Housebuilding, demographic change and affordability as outcomes of local planning decisions: exploring interactions using a sub-regional model of housing markets in England. </w:t>
      </w:r>
      <w:r w:rsidRPr="003D5C0C">
        <w:rPr>
          <w:rFonts w:ascii="Arial" w:hAnsi="Arial" w:cs="Arial"/>
          <w:i/>
          <w:iCs/>
          <w:color w:val="000000" w:themeColor="text1"/>
        </w:rPr>
        <w:t>Progress in Planning</w:t>
      </w:r>
      <w:r w:rsidRPr="003D5C0C">
        <w:rPr>
          <w:rFonts w:ascii="Arial" w:hAnsi="Arial" w:cs="Arial"/>
          <w:color w:val="000000" w:themeColor="text1"/>
          <w:shd w:val="clear" w:color="auto" w:fill="FFFFFF"/>
        </w:rPr>
        <w:t>, </w:t>
      </w:r>
      <w:r w:rsidRPr="003D5C0C">
        <w:rPr>
          <w:rFonts w:ascii="Arial" w:hAnsi="Arial" w:cs="Arial"/>
          <w:i/>
          <w:iCs/>
          <w:color w:val="000000" w:themeColor="text1"/>
        </w:rPr>
        <w:t>104</w:t>
      </w:r>
      <w:r w:rsidRPr="003D5C0C">
        <w:rPr>
          <w:rFonts w:ascii="Arial" w:hAnsi="Arial" w:cs="Arial"/>
          <w:color w:val="000000" w:themeColor="text1"/>
          <w:shd w:val="clear" w:color="auto" w:fill="FFFFFF"/>
        </w:rPr>
        <w:t>, 1-35</w:t>
      </w:r>
    </w:p>
    <w:p w14:paraId="3A40D212" w14:textId="77777777" w:rsidR="00DC50B2" w:rsidRPr="003D5C0C" w:rsidRDefault="00DC50B2" w:rsidP="006633FA">
      <w:pPr>
        <w:spacing w:line="480" w:lineRule="auto"/>
        <w:jc w:val="both"/>
        <w:rPr>
          <w:rFonts w:ascii="Arial" w:hAnsi="Arial" w:cs="Arial"/>
          <w:color w:val="000000" w:themeColor="text1"/>
        </w:rPr>
      </w:pPr>
    </w:p>
    <w:p w14:paraId="63C7DB52" w14:textId="40A03EF0"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rPr>
        <w:lastRenderedPageBreak/>
        <w:t xml:space="preserve">Bramley G (2018), </w:t>
      </w:r>
      <w:r w:rsidRPr="003D5C0C">
        <w:rPr>
          <w:rFonts w:ascii="Arial" w:hAnsi="Arial" w:cs="Arial"/>
          <w:i/>
          <w:iCs/>
          <w:color w:val="000000" w:themeColor="text1"/>
        </w:rPr>
        <w:t>Housing Supply Requirements across Great Britain: for low-income households and homeless people</w:t>
      </w:r>
      <w:r w:rsidR="00D3474B">
        <w:rPr>
          <w:rFonts w:ascii="Arial" w:hAnsi="Arial" w:cs="Arial"/>
          <w:color w:val="000000" w:themeColor="text1"/>
        </w:rPr>
        <w:t>.</w:t>
      </w:r>
      <w:r w:rsidRPr="003D5C0C">
        <w:rPr>
          <w:rFonts w:ascii="Arial" w:hAnsi="Arial" w:cs="Arial"/>
          <w:color w:val="000000" w:themeColor="text1"/>
        </w:rPr>
        <w:t xml:space="preserve"> Crisis and National Housing</w:t>
      </w:r>
      <w:r w:rsidR="00D3474B">
        <w:rPr>
          <w:rFonts w:ascii="Arial" w:hAnsi="Arial" w:cs="Arial"/>
          <w:color w:val="000000" w:themeColor="text1"/>
        </w:rPr>
        <w:t xml:space="preserve"> </w:t>
      </w:r>
      <w:r w:rsidRPr="003D5C0C">
        <w:rPr>
          <w:rFonts w:ascii="Arial" w:hAnsi="Arial" w:cs="Arial"/>
          <w:color w:val="000000" w:themeColor="text1"/>
        </w:rPr>
        <w:t>Federation</w:t>
      </w:r>
      <w:r w:rsidR="00D3474B">
        <w:rPr>
          <w:rFonts w:ascii="Arial" w:hAnsi="Arial" w:cs="Arial"/>
          <w:color w:val="000000" w:themeColor="text1"/>
        </w:rPr>
        <w:t>: London</w:t>
      </w:r>
      <w:r w:rsidRPr="003D5C0C">
        <w:rPr>
          <w:rFonts w:ascii="Arial" w:hAnsi="Arial" w:cs="Arial"/>
          <w:color w:val="000000" w:themeColor="text1"/>
        </w:rPr>
        <w:t>.</w:t>
      </w:r>
    </w:p>
    <w:p w14:paraId="0535D061" w14:textId="77777777" w:rsidR="00DC50B2" w:rsidRPr="003D5C0C" w:rsidRDefault="00DC50B2" w:rsidP="006633FA">
      <w:pPr>
        <w:pStyle w:val="ListParagraph"/>
        <w:spacing w:line="480" w:lineRule="auto"/>
        <w:jc w:val="both"/>
        <w:rPr>
          <w:rFonts w:ascii="Arial" w:hAnsi="Arial" w:cs="Arial"/>
          <w:color w:val="000000" w:themeColor="text1"/>
        </w:rPr>
      </w:pPr>
    </w:p>
    <w:p w14:paraId="7C87C8D0" w14:textId="615C6BF3"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rPr>
        <w:t>Brenner N, Peck</w:t>
      </w:r>
      <w:r w:rsidR="00D3474B">
        <w:rPr>
          <w:rFonts w:ascii="Arial" w:hAnsi="Arial" w:cs="Arial"/>
          <w:color w:val="000000" w:themeColor="text1"/>
        </w:rPr>
        <w:t xml:space="preserve"> J</w:t>
      </w:r>
      <w:r w:rsidRPr="003D5C0C">
        <w:rPr>
          <w:rFonts w:ascii="Arial" w:hAnsi="Arial" w:cs="Arial"/>
          <w:color w:val="000000" w:themeColor="text1"/>
        </w:rPr>
        <w:t xml:space="preserve"> and Theodore</w:t>
      </w:r>
      <w:r w:rsidR="00D3474B">
        <w:rPr>
          <w:rFonts w:ascii="Arial" w:hAnsi="Arial" w:cs="Arial"/>
          <w:color w:val="000000" w:themeColor="text1"/>
        </w:rPr>
        <w:t xml:space="preserve"> N</w:t>
      </w:r>
      <w:r w:rsidRPr="003D5C0C">
        <w:rPr>
          <w:rFonts w:ascii="Arial" w:hAnsi="Arial" w:cs="Arial"/>
          <w:color w:val="000000" w:themeColor="text1"/>
        </w:rPr>
        <w:t xml:space="preserve"> </w:t>
      </w:r>
      <w:r w:rsidR="00D3474B">
        <w:rPr>
          <w:rFonts w:ascii="Arial" w:hAnsi="Arial" w:cs="Arial"/>
          <w:color w:val="000000" w:themeColor="text1"/>
        </w:rPr>
        <w:t>(</w:t>
      </w:r>
      <w:r w:rsidRPr="003D5C0C">
        <w:rPr>
          <w:rFonts w:ascii="Arial" w:hAnsi="Arial" w:cs="Arial"/>
          <w:color w:val="000000" w:themeColor="text1"/>
        </w:rPr>
        <w:t>2010</w:t>
      </w:r>
      <w:r w:rsidR="00D3474B">
        <w:rPr>
          <w:rFonts w:ascii="Arial" w:hAnsi="Arial" w:cs="Arial"/>
          <w:color w:val="000000" w:themeColor="text1"/>
        </w:rPr>
        <w:t>)</w:t>
      </w:r>
      <w:r w:rsidRPr="003D5C0C">
        <w:rPr>
          <w:rFonts w:ascii="Arial" w:hAnsi="Arial" w:cs="Arial"/>
          <w:color w:val="000000" w:themeColor="text1"/>
        </w:rPr>
        <w:t xml:space="preserve"> Variegated Neoliberalization: Geogra-phies, Modalities, Pathways. </w:t>
      </w:r>
      <w:r w:rsidRPr="00D3474B">
        <w:rPr>
          <w:rFonts w:ascii="Arial" w:hAnsi="Arial" w:cs="Arial"/>
          <w:i/>
          <w:color w:val="000000" w:themeColor="text1"/>
        </w:rPr>
        <w:t>Global Networks</w:t>
      </w:r>
      <w:r w:rsidR="00D3474B">
        <w:rPr>
          <w:rFonts w:ascii="Arial" w:hAnsi="Arial" w:cs="Arial"/>
          <w:color w:val="000000" w:themeColor="text1"/>
        </w:rPr>
        <w:t>,</w:t>
      </w:r>
      <w:r w:rsidRPr="003D5C0C">
        <w:rPr>
          <w:rFonts w:ascii="Arial" w:hAnsi="Arial" w:cs="Arial"/>
          <w:color w:val="000000" w:themeColor="text1"/>
        </w:rPr>
        <w:t xml:space="preserve"> 10</w:t>
      </w:r>
      <w:r w:rsidR="00D3474B">
        <w:rPr>
          <w:rFonts w:ascii="Arial" w:hAnsi="Arial" w:cs="Arial"/>
          <w:color w:val="000000" w:themeColor="text1"/>
        </w:rPr>
        <w:t xml:space="preserve"> (2), </w:t>
      </w:r>
      <w:r w:rsidRPr="003D5C0C">
        <w:rPr>
          <w:rFonts w:ascii="Arial" w:hAnsi="Arial" w:cs="Arial"/>
          <w:color w:val="000000" w:themeColor="text1"/>
        </w:rPr>
        <w:t>182–222</w:t>
      </w:r>
      <w:r w:rsidR="00D3474B">
        <w:rPr>
          <w:rFonts w:ascii="Arial" w:hAnsi="Arial" w:cs="Arial"/>
          <w:color w:val="000000" w:themeColor="text1"/>
        </w:rPr>
        <w:t>.</w:t>
      </w:r>
    </w:p>
    <w:p w14:paraId="002FE0E2" w14:textId="77777777" w:rsidR="00DC50B2" w:rsidRPr="003D5C0C" w:rsidRDefault="00DC50B2" w:rsidP="006633FA">
      <w:pPr>
        <w:spacing w:line="480" w:lineRule="auto"/>
        <w:jc w:val="both"/>
        <w:rPr>
          <w:rFonts w:ascii="Arial" w:hAnsi="Arial" w:cs="Arial"/>
          <w:color w:val="000000" w:themeColor="text1"/>
        </w:rPr>
      </w:pPr>
    </w:p>
    <w:p w14:paraId="47D2E165" w14:textId="2A3F9FCD"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rPr>
        <w:t>Cahill D</w:t>
      </w:r>
      <w:r w:rsidR="00D3474B">
        <w:rPr>
          <w:rFonts w:ascii="Arial" w:hAnsi="Arial" w:cs="Arial"/>
          <w:color w:val="000000" w:themeColor="text1"/>
        </w:rPr>
        <w:t>,</w:t>
      </w:r>
      <w:r w:rsidRPr="003D5C0C">
        <w:rPr>
          <w:rFonts w:ascii="Arial" w:hAnsi="Arial" w:cs="Arial"/>
          <w:color w:val="000000" w:themeColor="text1"/>
        </w:rPr>
        <w:t xml:space="preserve"> Cooper M, Konings M. and Primrose D (2018) </w:t>
      </w:r>
      <w:r w:rsidRPr="003D5C0C">
        <w:rPr>
          <w:rFonts w:ascii="Arial" w:hAnsi="Arial" w:cs="Arial"/>
          <w:i/>
          <w:color w:val="000000" w:themeColor="text1"/>
        </w:rPr>
        <w:t>The Sage handbook of neoliberalism</w:t>
      </w:r>
      <w:r w:rsidR="00D3474B">
        <w:rPr>
          <w:rFonts w:ascii="Arial" w:hAnsi="Arial" w:cs="Arial"/>
          <w:i/>
          <w:color w:val="000000" w:themeColor="text1"/>
        </w:rPr>
        <w:t xml:space="preserve">. </w:t>
      </w:r>
      <w:r w:rsidRPr="003D5C0C">
        <w:rPr>
          <w:rFonts w:ascii="Arial" w:hAnsi="Arial" w:cs="Arial"/>
          <w:color w:val="000000" w:themeColor="text1"/>
        </w:rPr>
        <w:t xml:space="preserve">Sage: London.     </w:t>
      </w:r>
    </w:p>
    <w:p w14:paraId="001DA861" w14:textId="77777777" w:rsidR="00DC50B2" w:rsidRPr="003D5C0C" w:rsidRDefault="00DC50B2" w:rsidP="006633FA">
      <w:pPr>
        <w:spacing w:line="480" w:lineRule="auto"/>
        <w:jc w:val="both"/>
        <w:rPr>
          <w:rFonts w:ascii="Arial" w:hAnsi="Arial" w:cs="Arial"/>
          <w:color w:val="000000" w:themeColor="text1"/>
        </w:rPr>
      </w:pPr>
    </w:p>
    <w:p w14:paraId="50C7CEDD" w14:textId="77777777"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rPr>
        <w:t xml:space="preserve">Christophers, B. (2013) Wild dragons in the city: urban political economy , affordable housing development and the performative world-making of economic models.  </w:t>
      </w:r>
      <w:r w:rsidRPr="00D3474B">
        <w:rPr>
          <w:rFonts w:ascii="Arial" w:hAnsi="Arial" w:cs="Arial"/>
          <w:i/>
          <w:color w:val="000000" w:themeColor="text1"/>
        </w:rPr>
        <w:t>International Journal of Urban and Regional Research</w:t>
      </w:r>
      <w:r w:rsidRPr="003D5C0C">
        <w:rPr>
          <w:rFonts w:ascii="Arial" w:hAnsi="Arial" w:cs="Arial"/>
          <w:color w:val="000000" w:themeColor="text1"/>
        </w:rPr>
        <w:t>, 38 (1), 79-97.</w:t>
      </w:r>
    </w:p>
    <w:p w14:paraId="1C57D636" w14:textId="77777777" w:rsidR="00DC50B2" w:rsidRPr="003D5C0C" w:rsidRDefault="00DC50B2" w:rsidP="006633FA">
      <w:pPr>
        <w:spacing w:line="480" w:lineRule="auto"/>
        <w:jc w:val="both"/>
        <w:rPr>
          <w:rFonts w:ascii="Arial" w:hAnsi="Arial" w:cs="Arial"/>
          <w:color w:val="000000" w:themeColor="text1"/>
        </w:rPr>
      </w:pPr>
    </w:p>
    <w:p w14:paraId="4BBDCF01" w14:textId="4F4F6693"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shd w:val="clear" w:color="auto" w:fill="FFFFFF"/>
        </w:rPr>
        <w:t xml:space="preserve">Crosby N </w:t>
      </w:r>
      <w:r w:rsidR="00D3474B">
        <w:rPr>
          <w:rFonts w:ascii="Arial" w:hAnsi="Arial" w:cs="Arial"/>
          <w:color w:val="000000" w:themeColor="text1"/>
          <w:shd w:val="clear" w:color="auto" w:fill="FFFFFF"/>
        </w:rPr>
        <w:t>and</w:t>
      </w:r>
      <w:r w:rsidRPr="003D5C0C">
        <w:rPr>
          <w:rFonts w:ascii="Arial" w:hAnsi="Arial" w:cs="Arial"/>
          <w:color w:val="000000" w:themeColor="text1"/>
          <w:shd w:val="clear" w:color="auto" w:fill="FFFFFF"/>
        </w:rPr>
        <w:t xml:space="preserve"> Henneberry J (2016) Financialisation, the valuation of investment property and the urban built environment in the UK. </w:t>
      </w:r>
      <w:r w:rsidRPr="003D5C0C">
        <w:rPr>
          <w:rFonts w:ascii="Arial" w:hAnsi="Arial" w:cs="Arial"/>
          <w:i/>
          <w:iCs/>
          <w:color w:val="000000" w:themeColor="text1"/>
        </w:rPr>
        <w:t>Urban Studies</w:t>
      </w:r>
      <w:r w:rsidRPr="003D5C0C">
        <w:rPr>
          <w:rFonts w:ascii="Arial" w:hAnsi="Arial" w:cs="Arial"/>
          <w:color w:val="000000" w:themeColor="text1"/>
          <w:shd w:val="clear" w:color="auto" w:fill="FFFFFF"/>
        </w:rPr>
        <w:t>, </w:t>
      </w:r>
      <w:r w:rsidRPr="00D3474B">
        <w:rPr>
          <w:rFonts w:ascii="Arial" w:hAnsi="Arial" w:cs="Arial"/>
          <w:iCs/>
          <w:color w:val="000000" w:themeColor="text1"/>
        </w:rPr>
        <w:t>53</w:t>
      </w:r>
      <w:r w:rsidR="00D3474B">
        <w:rPr>
          <w:rFonts w:ascii="Arial" w:hAnsi="Arial" w:cs="Arial"/>
          <w:color w:val="000000" w:themeColor="text1"/>
          <w:shd w:val="clear" w:color="auto" w:fill="FFFFFF"/>
        </w:rPr>
        <w:t xml:space="preserve"> </w:t>
      </w:r>
      <w:r w:rsidRPr="003D5C0C">
        <w:rPr>
          <w:rFonts w:ascii="Arial" w:hAnsi="Arial" w:cs="Arial"/>
          <w:color w:val="000000" w:themeColor="text1"/>
          <w:shd w:val="clear" w:color="auto" w:fill="FFFFFF"/>
        </w:rPr>
        <w:t>(7), 1424-1441.</w:t>
      </w:r>
    </w:p>
    <w:p w14:paraId="4BBB2677" w14:textId="77777777" w:rsidR="00DC50B2" w:rsidRPr="003D5C0C" w:rsidRDefault="00DC50B2" w:rsidP="006633FA">
      <w:pPr>
        <w:spacing w:line="480" w:lineRule="auto"/>
        <w:jc w:val="both"/>
        <w:rPr>
          <w:rFonts w:ascii="Arial" w:hAnsi="Arial" w:cs="Arial"/>
          <w:color w:val="000000" w:themeColor="text1"/>
          <w:shd w:val="clear" w:color="auto" w:fill="FFFFFF"/>
        </w:rPr>
      </w:pPr>
    </w:p>
    <w:p w14:paraId="65BF798C" w14:textId="01945CFF"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shd w:val="clear" w:color="auto" w:fill="FFFFFF"/>
        </w:rPr>
        <w:t xml:space="preserve">Ferrari E, Leahy-Laughlin D </w:t>
      </w:r>
      <w:r w:rsidR="00D3474B">
        <w:rPr>
          <w:rFonts w:ascii="Arial" w:hAnsi="Arial" w:cs="Arial"/>
          <w:color w:val="000000" w:themeColor="text1"/>
          <w:shd w:val="clear" w:color="auto" w:fill="FFFFFF"/>
        </w:rPr>
        <w:t>and</w:t>
      </w:r>
      <w:r w:rsidRPr="003D5C0C">
        <w:rPr>
          <w:rFonts w:ascii="Arial" w:hAnsi="Arial" w:cs="Arial"/>
          <w:color w:val="000000" w:themeColor="text1"/>
          <w:shd w:val="clear" w:color="auto" w:fill="FFFFFF"/>
        </w:rPr>
        <w:t xml:space="preserve"> Watkins C (2011) Planning and the housing market: reflections on strategic housing market assessment in England. </w:t>
      </w:r>
      <w:r w:rsidRPr="003D5C0C">
        <w:rPr>
          <w:rFonts w:ascii="Arial" w:hAnsi="Arial" w:cs="Arial"/>
          <w:i/>
          <w:iCs/>
          <w:color w:val="000000" w:themeColor="text1"/>
        </w:rPr>
        <w:t>Town Planning Review</w:t>
      </w:r>
      <w:r w:rsidRPr="003D5C0C">
        <w:rPr>
          <w:rFonts w:ascii="Arial" w:hAnsi="Arial" w:cs="Arial"/>
          <w:color w:val="000000" w:themeColor="text1"/>
          <w:shd w:val="clear" w:color="auto" w:fill="FFFFFF"/>
        </w:rPr>
        <w:t>, </w:t>
      </w:r>
      <w:r w:rsidRPr="00D3474B">
        <w:rPr>
          <w:rFonts w:ascii="Arial" w:hAnsi="Arial" w:cs="Arial"/>
          <w:iCs/>
          <w:color w:val="000000" w:themeColor="text1"/>
        </w:rPr>
        <w:t>82</w:t>
      </w:r>
      <w:r w:rsidRPr="00D3474B">
        <w:rPr>
          <w:rFonts w:ascii="Arial" w:hAnsi="Arial" w:cs="Arial"/>
          <w:color w:val="000000" w:themeColor="text1"/>
          <w:shd w:val="clear" w:color="auto" w:fill="FFFFFF"/>
        </w:rPr>
        <w:t>(4)</w:t>
      </w:r>
      <w:r w:rsidRPr="003D5C0C">
        <w:rPr>
          <w:rFonts w:ascii="Arial" w:hAnsi="Arial" w:cs="Arial"/>
          <w:color w:val="000000" w:themeColor="text1"/>
          <w:shd w:val="clear" w:color="auto" w:fill="FFFFFF"/>
        </w:rPr>
        <w:t>, 393-424</w:t>
      </w:r>
      <w:r w:rsidR="00D3474B">
        <w:rPr>
          <w:rFonts w:ascii="Arial" w:hAnsi="Arial" w:cs="Arial"/>
          <w:color w:val="000000" w:themeColor="text1"/>
          <w:shd w:val="clear" w:color="auto" w:fill="FFFFFF"/>
        </w:rPr>
        <w:t>.</w:t>
      </w:r>
    </w:p>
    <w:p w14:paraId="7DA6D349" w14:textId="77777777" w:rsidR="00DC50B2" w:rsidRPr="003D5C0C" w:rsidRDefault="00DC50B2" w:rsidP="006633FA">
      <w:pPr>
        <w:spacing w:line="480" w:lineRule="auto"/>
        <w:jc w:val="both"/>
        <w:rPr>
          <w:rFonts w:ascii="Arial" w:hAnsi="Arial" w:cs="Arial"/>
          <w:color w:val="000000" w:themeColor="text1"/>
        </w:rPr>
      </w:pPr>
    </w:p>
    <w:p w14:paraId="04049926" w14:textId="7322264B"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rPr>
        <w:t xml:space="preserve">Holmans A (2012) </w:t>
      </w:r>
      <w:r w:rsidRPr="003D5C0C">
        <w:rPr>
          <w:rFonts w:ascii="Arial" w:hAnsi="Arial" w:cs="Arial"/>
          <w:i/>
          <w:iCs/>
          <w:color w:val="000000" w:themeColor="text1"/>
        </w:rPr>
        <w:t>Household Projections in England: their history and uses</w:t>
      </w:r>
      <w:r w:rsidRPr="003D5C0C">
        <w:rPr>
          <w:rFonts w:ascii="Arial" w:hAnsi="Arial" w:cs="Arial"/>
          <w:color w:val="000000" w:themeColor="text1"/>
        </w:rPr>
        <w:t>, Cambridge Centre for Housing &amp; Planning Research</w:t>
      </w:r>
      <w:r w:rsidR="00D3474B">
        <w:rPr>
          <w:rFonts w:ascii="Arial" w:hAnsi="Arial" w:cs="Arial"/>
          <w:color w:val="000000" w:themeColor="text1"/>
        </w:rPr>
        <w:t>. A</w:t>
      </w:r>
      <w:r w:rsidRPr="003D5C0C">
        <w:rPr>
          <w:rFonts w:ascii="Arial" w:hAnsi="Arial" w:cs="Arial"/>
          <w:color w:val="000000" w:themeColor="text1"/>
        </w:rPr>
        <w:t xml:space="preserve">vailable at: </w:t>
      </w:r>
      <w:hyperlink r:id="rId13" w:history="1">
        <w:r w:rsidRPr="003D5C0C">
          <w:rPr>
            <w:rStyle w:val="Hyperlink"/>
            <w:rFonts w:ascii="Arial" w:eastAsiaTheme="majorEastAsia" w:hAnsi="Arial" w:cs="Arial"/>
            <w:color w:val="000000" w:themeColor="text1"/>
          </w:rPr>
          <w:t>http://citeseerx.ist.psu.edu/viewdoc/download?doi=10.1.1.406.2324&amp;rep=rep1&amp;type=pdf</w:t>
        </w:r>
      </w:hyperlink>
      <w:r w:rsidRPr="003D5C0C">
        <w:rPr>
          <w:rStyle w:val="Hyperlink"/>
          <w:rFonts w:ascii="Arial" w:eastAsiaTheme="majorEastAsia" w:hAnsi="Arial" w:cs="Arial"/>
          <w:color w:val="000000" w:themeColor="text1"/>
        </w:rPr>
        <w:t xml:space="preserve"> (accessed 20</w:t>
      </w:r>
      <w:r w:rsidRPr="003D5C0C">
        <w:rPr>
          <w:rStyle w:val="Hyperlink"/>
          <w:rFonts w:ascii="Arial" w:eastAsiaTheme="majorEastAsia" w:hAnsi="Arial" w:cs="Arial"/>
          <w:color w:val="000000" w:themeColor="text1"/>
          <w:vertAlign w:val="superscript"/>
        </w:rPr>
        <w:t xml:space="preserve"> </w:t>
      </w:r>
      <w:r w:rsidRPr="003D5C0C">
        <w:rPr>
          <w:rFonts w:ascii="Arial" w:hAnsi="Arial" w:cs="Arial"/>
          <w:color w:val="000000" w:themeColor="text1"/>
        </w:rPr>
        <w:t>May 2020)</w:t>
      </w:r>
    </w:p>
    <w:p w14:paraId="3F740392" w14:textId="77777777" w:rsidR="00DC50B2" w:rsidRPr="003D5C0C" w:rsidRDefault="00DC50B2" w:rsidP="006633FA">
      <w:pPr>
        <w:spacing w:line="480" w:lineRule="auto"/>
        <w:jc w:val="both"/>
        <w:rPr>
          <w:rFonts w:ascii="Arial" w:eastAsiaTheme="minorHAnsi" w:hAnsi="Arial" w:cs="Arial"/>
          <w:color w:val="000000" w:themeColor="text1"/>
          <w:lang w:eastAsia="en-US"/>
        </w:rPr>
      </w:pPr>
    </w:p>
    <w:p w14:paraId="60B9DDCA" w14:textId="7E48D598" w:rsidR="00DC50B2" w:rsidRPr="003D5C0C" w:rsidRDefault="00DC50B2" w:rsidP="006633FA">
      <w:pPr>
        <w:spacing w:line="480" w:lineRule="auto"/>
        <w:ind w:left="360"/>
        <w:jc w:val="both"/>
        <w:rPr>
          <w:rFonts w:ascii="Arial" w:eastAsiaTheme="minorHAnsi" w:hAnsi="Arial" w:cs="Arial"/>
          <w:color w:val="000000" w:themeColor="text1"/>
          <w:lang w:eastAsia="en-US"/>
        </w:rPr>
      </w:pPr>
      <w:r w:rsidRPr="003D5C0C">
        <w:rPr>
          <w:rFonts w:ascii="Arial" w:eastAsiaTheme="minorHAnsi" w:hAnsi="Arial" w:cs="Arial"/>
          <w:color w:val="000000" w:themeColor="text1"/>
          <w:lang w:eastAsia="en-US"/>
        </w:rPr>
        <w:t xml:space="preserve">Hannah F (2017) Seriously, why aren’t we building enough homes? </w:t>
      </w:r>
      <w:r w:rsidRPr="003D5C0C">
        <w:rPr>
          <w:rFonts w:ascii="Arial" w:eastAsiaTheme="minorHAnsi" w:hAnsi="Arial" w:cs="Arial"/>
          <w:i/>
          <w:iCs/>
          <w:color w:val="000000" w:themeColor="text1"/>
          <w:lang w:eastAsia="en-US"/>
        </w:rPr>
        <w:t>Love Money</w:t>
      </w:r>
      <w:r w:rsidRPr="003D5C0C">
        <w:rPr>
          <w:rFonts w:ascii="Arial" w:eastAsiaTheme="minorHAnsi" w:hAnsi="Arial" w:cs="Arial"/>
          <w:color w:val="000000" w:themeColor="text1"/>
          <w:lang w:eastAsia="en-US"/>
        </w:rPr>
        <w:t xml:space="preserve">, available at: </w:t>
      </w:r>
      <w:hyperlink r:id="rId14" w:history="1">
        <w:r w:rsidRPr="003D5C0C">
          <w:rPr>
            <w:rFonts w:ascii="Arial" w:eastAsiaTheme="minorHAnsi" w:hAnsi="Arial" w:cs="Arial"/>
            <w:color w:val="000000" w:themeColor="text1"/>
            <w:u w:val="single"/>
            <w:lang w:eastAsia="en-US"/>
          </w:rPr>
          <w:t>https://www.lovemoney.com/news/68449/why-uk-not-building-enough-homes</w:t>
        </w:r>
      </w:hyperlink>
      <w:r w:rsidRPr="003D5C0C">
        <w:rPr>
          <w:rFonts w:ascii="Arial" w:eastAsiaTheme="minorHAnsi" w:hAnsi="Arial" w:cs="Arial"/>
          <w:color w:val="000000" w:themeColor="text1"/>
          <w:lang w:eastAsia="en-US"/>
        </w:rPr>
        <w:t xml:space="preserve"> (accessed 25 January 2020).</w:t>
      </w:r>
    </w:p>
    <w:p w14:paraId="557E81D9" w14:textId="77777777" w:rsidR="00DC50B2" w:rsidRPr="003D5C0C" w:rsidRDefault="00DC50B2" w:rsidP="006633FA">
      <w:pPr>
        <w:spacing w:line="480" w:lineRule="auto"/>
        <w:jc w:val="both"/>
        <w:rPr>
          <w:rFonts w:ascii="Arial" w:eastAsiaTheme="minorHAnsi" w:hAnsi="Arial" w:cs="Arial"/>
          <w:color w:val="000000" w:themeColor="text1"/>
          <w:lang w:eastAsia="en-US"/>
        </w:rPr>
      </w:pPr>
    </w:p>
    <w:p w14:paraId="71483826" w14:textId="1AA9DEBD" w:rsidR="00DC50B2" w:rsidRPr="003D5C0C" w:rsidRDefault="00DC50B2" w:rsidP="006633FA">
      <w:pPr>
        <w:spacing w:line="480" w:lineRule="auto"/>
        <w:ind w:left="360"/>
        <w:jc w:val="both"/>
        <w:rPr>
          <w:rFonts w:ascii="Arial" w:hAnsi="Arial" w:cs="Arial"/>
          <w:b/>
          <w:bCs/>
          <w:color w:val="000000" w:themeColor="text1"/>
        </w:rPr>
      </w:pPr>
      <w:r w:rsidRPr="003D5C0C">
        <w:rPr>
          <w:rFonts w:ascii="Arial" w:eastAsiaTheme="minorHAnsi" w:hAnsi="Arial" w:cs="Arial"/>
          <w:color w:val="000000" w:themeColor="text1"/>
          <w:lang w:eastAsia="en-US"/>
        </w:rPr>
        <w:t xml:space="preserve">Johnston C (2015) Why can’t Britain build enough homes to meet demand? </w:t>
      </w:r>
      <w:r w:rsidRPr="003D5C0C">
        <w:rPr>
          <w:rFonts w:ascii="Arial" w:eastAsiaTheme="minorHAnsi" w:hAnsi="Arial" w:cs="Arial"/>
          <w:i/>
          <w:iCs/>
          <w:color w:val="000000" w:themeColor="text1"/>
          <w:lang w:eastAsia="en-US"/>
        </w:rPr>
        <w:t>BBC</w:t>
      </w:r>
      <w:r w:rsidRPr="003D5C0C">
        <w:rPr>
          <w:rFonts w:ascii="Arial" w:eastAsiaTheme="minorHAnsi" w:hAnsi="Arial" w:cs="Arial"/>
          <w:color w:val="000000" w:themeColor="text1"/>
          <w:lang w:eastAsia="en-US"/>
        </w:rPr>
        <w:t xml:space="preserve">.  Available at: </w:t>
      </w:r>
      <w:hyperlink r:id="rId15" w:history="1">
        <w:r w:rsidRPr="003D5C0C">
          <w:rPr>
            <w:rFonts w:ascii="Arial" w:eastAsiaTheme="minorHAnsi" w:hAnsi="Arial" w:cs="Arial"/>
            <w:color w:val="000000" w:themeColor="text1"/>
            <w:u w:val="single"/>
            <w:lang w:eastAsia="en-US"/>
          </w:rPr>
          <w:t>https://www.bbc.co.uk/news/business-33539816</w:t>
        </w:r>
      </w:hyperlink>
      <w:r w:rsidRPr="003D5C0C">
        <w:rPr>
          <w:rFonts w:ascii="Arial" w:eastAsiaTheme="minorHAnsi" w:hAnsi="Arial" w:cs="Arial"/>
          <w:color w:val="000000" w:themeColor="text1"/>
          <w:lang w:eastAsia="en-US"/>
        </w:rPr>
        <w:t xml:space="preserve"> (accessed 25 January 2020).</w:t>
      </w:r>
    </w:p>
    <w:p w14:paraId="7A9EED3B" w14:textId="77777777" w:rsidR="00DC50B2" w:rsidRPr="003D5C0C" w:rsidRDefault="00DC50B2" w:rsidP="006633FA">
      <w:pPr>
        <w:spacing w:after="160" w:line="480" w:lineRule="auto"/>
        <w:contextualSpacing/>
        <w:jc w:val="both"/>
        <w:rPr>
          <w:rFonts w:ascii="Arial" w:eastAsiaTheme="minorHAnsi" w:hAnsi="Arial" w:cs="Arial"/>
          <w:color w:val="000000" w:themeColor="text1"/>
          <w:lang w:eastAsia="en-US"/>
        </w:rPr>
      </w:pPr>
    </w:p>
    <w:p w14:paraId="3DFFF223" w14:textId="416133E0" w:rsidR="00DC50B2" w:rsidRPr="003D5C0C" w:rsidRDefault="00DC50B2" w:rsidP="006633FA">
      <w:pPr>
        <w:spacing w:after="160" w:line="480" w:lineRule="auto"/>
        <w:ind w:left="360"/>
        <w:jc w:val="both"/>
        <w:rPr>
          <w:rFonts w:ascii="Arial" w:eastAsiaTheme="minorHAnsi" w:hAnsi="Arial" w:cs="Arial"/>
          <w:color w:val="000000" w:themeColor="text1"/>
          <w:lang w:eastAsia="en-US"/>
        </w:rPr>
      </w:pPr>
      <w:r w:rsidRPr="003D5C0C">
        <w:rPr>
          <w:rFonts w:ascii="Arial" w:eastAsiaTheme="minorHAnsi" w:hAnsi="Arial" w:cs="Arial"/>
          <w:color w:val="000000" w:themeColor="text1"/>
          <w:lang w:eastAsia="en-US"/>
        </w:rPr>
        <w:t xml:space="preserve">Li M </w:t>
      </w:r>
      <w:r w:rsidR="00D3474B">
        <w:rPr>
          <w:rFonts w:ascii="Arial" w:eastAsiaTheme="minorHAnsi" w:hAnsi="Arial" w:cs="Arial"/>
          <w:color w:val="000000" w:themeColor="text1"/>
          <w:lang w:eastAsia="en-US"/>
        </w:rPr>
        <w:t>and</w:t>
      </w:r>
      <w:r w:rsidRPr="003D5C0C">
        <w:rPr>
          <w:rFonts w:ascii="Arial" w:eastAsiaTheme="minorHAnsi" w:hAnsi="Arial" w:cs="Arial"/>
          <w:color w:val="000000" w:themeColor="text1"/>
          <w:lang w:eastAsia="en-US"/>
        </w:rPr>
        <w:t xml:space="preserve"> Shan R (2020) </w:t>
      </w:r>
      <w:r w:rsidRPr="003D5C0C">
        <w:rPr>
          <w:rFonts w:ascii="Arial" w:eastAsiaTheme="minorHAnsi" w:hAnsi="Arial" w:cs="Arial"/>
          <w:i/>
          <w:iCs/>
          <w:color w:val="000000" w:themeColor="text1"/>
          <w:lang w:eastAsia="en-US"/>
        </w:rPr>
        <w:t>Housing need in Canada: Age period cohort effects and transitions</w:t>
      </w:r>
      <w:r w:rsidRPr="003D5C0C">
        <w:rPr>
          <w:rFonts w:ascii="Arial" w:eastAsiaTheme="minorHAnsi" w:hAnsi="Arial" w:cs="Arial"/>
          <w:color w:val="000000" w:themeColor="text1"/>
          <w:lang w:eastAsia="en-US"/>
        </w:rPr>
        <w:t xml:space="preserve">. SSRN, Available at:  </w:t>
      </w:r>
      <w:hyperlink r:id="rId16" w:history="1">
        <w:r w:rsidRPr="003D5C0C">
          <w:rPr>
            <w:rStyle w:val="Hyperlink"/>
            <w:rFonts w:ascii="Arial" w:eastAsiaTheme="minorHAnsi" w:hAnsi="Arial" w:cs="Arial"/>
            <w:color w:val="000000" w:themeColor="text1"/>
            <w:lang w:eastAsia="en-US"/>
          </w:rPr>
          <w:t>https://papers.ssrn.com/sol3/papers.cfm?abstract_id=3551455</w:t>
        </w:r>
      </w:hyperlink>
      <w:r w:rsidRPr="003D5C0C">
        <w:rPr>
          <w:rFonts w:ascii="Arial" w:eastAsiaTheme="minorHAnsi" w:hAnsi="Arial" w:cs="Arial"/>
          <w:color w:val="000000" w:themeColor="text1"/>
          <w:lang w:eastAsia="en-US"/>
        </w:rPr>
        <w:t xml:space="preserve"> (accessed 20 May 2020).</w:t>
      </w:r>
    </w:p>
    <w:p w14:paraId="1EF8EC61" w14:textId="77777777" w:rsidR="00DC50B2" w:rsidRPr="003D5C0C" w:rsidRDefault="00DC50B2" w:rsidP="006633FA">
      <w:pPr>
        <w:spacing w:after="160" w:line="480" w:lineRule="auto"/>
        <w:contextualSpacing/>
        <w:jc w:val="both"/>
        <w:rPr>
          <w:rFonts w:ascii="Arial" w:eastAsiaTheme="minorHAnsi" w:hAnsi="Arial" w:cs="Arial"/>
          <w:color w:val="000000" w:themeColor="text1"/>
          <w:lang w:eastAsia="en-US"/>
        </w:rPr>
      </w:pPr>
    </w:p>
    <w:p w14:paraId="4E90F98A" w14:textId="0B3E3A7B"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shd w:val="clear" w:color="auto" w:fill="FFFFFF"/>
        </w:rPr>
        <w:t>McAllister P</w:t>
      </w:r>
      <w:r w:rsidR="00D3474B">
        <w:rPr>
          <w:rFonts w:ascii="Arial" w:hAnsi="Arial" w:cs="Arial"/>
          <w:color w:val="000000" w:themeColor="text1"/>
          <w:shd w:val="clear" w:color="auto" w:fill="FFFFFF"/>
        </w:rPr>
        <w:t>,</w:t>
      </w:r>
      <w:r w:rsidRPr="003D5C0C">
        <w:rPr>
          <w:rFonts w:ascii="Arial" w:hAnsi="Arial" w:cs="Arial"/>
          <w:color w:val="000000" w:themeColor="text1"/>
          <w:shd w:val="clear" w:color="auto" w:fill="FFFFFF"/>
        </w:rPr>
        <w:t xml:space="preserve"> Street E</w:t>
      </w:r>
      <w:r w:rsidR="00D3474B">
        <w:rPr>
          <w:rFonts w:ascii="Arial" w:hAnsi="Arial" w:cs="Arial"/>
          <w:color w:val="000000" w:themeColor="text1"/>
          <w:shd w:val="clear" w:color="auto" w:fill="FFFFFF"/>
        </w:rPr>
        <w:t>,</w:t>
      </w:r>
      <w:r w:rsidRPr="003D5C0C">
        <w:rPr>
          <w:rFonts w:ascii="Arial" w:hAnsi="Arial" w:cs="Arial"/>
          <w:color w:val="000000" w:themeColor="text1"/>
          <w:shd w:val="clear" w:color="auto" w:fill="FFFFFF"/>
        </w:rPr>
        <w:t xml:space="preserve"> </w:t>
      </w:r>
      <w:r w:rsidR="00D3474B">
        <w:rPr>
          <w:rFonts w:ascii="Arial" w:hAnsi="Arial" w:cs="Arial"/>
          <w:color w:val="000000" w:themeColor="text1"/>
          <w:shd w:val="clear" w:color="auto" w:fill="FFFFFF"/>
        </w:rPr>
        <w:t>and</w:t>
      </w:r>
      <w:r w:rsidRPr="003D5C0C">
        <w:rPr>
          <w:rFonts w:ascii="Arial" w:hAnsi="Arial" w:cs="Arial"/>
          <w:color w:val="000000" w:themeColor="text1"/>
          <w:shd w:val="clear" w:color="auto" w:fill="FFFFFF"/>
        </w:rPr>
        <w:t xml:space="preserve"> Wyatt P (2016) Governing calculative practices: An investigation of development viability modelling in the English planning system. </w:t>
      </w:r>
      <w:r w:rsidRPr="003D5C0C">
        <w:rPr>
          <w:rFonts w:ascii="Arial" w:hAnsi="Arial" w:cs="Arial"/>
          <w:i/>
          <w:iCs/>
          <w:color w:val="000000" w:themeColor="text1"/>
        </w:rPr>
        <w:t>Urban Studies</w:t>
      </w:r>
      <w:r w:rsidRPr="003D5C0C">
        <w:rPr>
          <w:rFonts w:ascii="Arial" w:hAnsi="Arial" w:cs="Arial"/>
          <w:color w:val="000000" w:themeColor="text1"/>
          <w:shd w:val="clear" w:color="auto" w:fill="FFFFFF"/>
        </w:rPr>
        <w:t>, </w:t>
      </w:r>
      <w:r w:rsidRPr="00D3474B">
        <w:rPr>
          <w:rFonts w:ascii="Arial" w:hAnsi="Arial" w:cs="Arial"/>
          <w:iCs/>
          <w:color w:val="000000" w:themeColor="text1"/>
        </w:rPr>
        <w:t>53</w:t>
      </w:r>
      <w:r w:rsidR="00D3474B">
        <w:rPr>
          <w:rFonts w:ascii="Arial" w:hAnsi="Arial" w:cs="Arial"/>
          <w:color w:val="000000" w:themeColor="text1"/>
          <w:shd w:val="clear" w:color="auto" w:fill="FFFFFF"/>
        </w:rPr>
        <w:t xml:space="preserve"> </w:t>
      </w:r>
      <w:r w:rsidRPr="003D5C0C">
        <w:rPr>
          <w:rFonts w:ascii="Arial" w:hAnsi="Arial" w:cs="Arial"/>
          <w:color w:val="000000" w:themeColor="text1"/>
          <w:shd w:val="clear" w:color="auto" w:fill="FFFFFF"/>
        </w:rPr>
        <w:t>(11), 2363-2379.</w:t>
      </w:r>
    </w:p>
    <w:p w14:paraId="2AC1F4BB" w14:textId="77777777" w:rsidR="00DC50B2" w:rsidRPr="003D5C0C" w:rsidRDefault="00DC50B2" w:rsidP="006633FA">
      <w:pPr>
        <w:spacing w:line="480" w:lineRule="auto"/>
        <w:jc w:val="both"/>
        <w:rPr>
          <w:rFonts w:ascii="Arial" w:hAnsi="Arial" w:cs="Arial"/>
          <w:color w:val="000000" w:themeColor="text1"/>
          <w:shd w:val="clear" w:color="auto" w:fill="FFFFFF"/>
        </w:rPr>
      </w:pPr>
    </w:p>
    <w:p w14:paraId="7C0A3E3B" w14:textId="2DDB77BF" w:rsidR="00DC50B2"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rPr>
        <w:t xml:space="preserve">MHCLG (2019) </w:t>
      </w:r>
      <w:r w:rsidRPr="003D5C0C">
        <w:rPr>
          <w:rFonts w:ascii="Arial" w:hAnsi="Arial" w:cs="Arial"/>
          <w:i/>
          <w:iCs/>
          <w:color w:val="000000" w:themeColor="text1"/>
        </w:rPr>
        <w:t>Guidance: Housing and Economic Needs Assessment</w:t>
      </w:r>
      <w:r w:rsidRPr="003D5C0C">
        <w:rPr>
          <w:rFonts w:ascii="Arial" w:hAnsi="Arial" w:cs="Arial"/>
          <w:color w:val="000000" w:themeColor="text1"/>
        </w:rPr>
        <w:t xml:space="preserve">. Ministry of Housing, Communities and Local Government: London. Available at: </w:t>
      </w:r>
      <w:hyperlink r:id="rId17" w:history="1">
        <w:r w:rsidRPr="003D5C0C">
          <w:rPr>
            <w:rStyle w:val="Hyperlink"/>
            <w:rFonts w:ascii="Arial" w:eastAsiaTheme="majorEastAsia" w:hAnsi="Arial" w:cs="Arial"/>
            <w:color w:val="000000" w:themeColor="text1"/>
          </w:rPr>
          <w:t>https://www.gov.uk/guidance/housing-and-economic-development-needs-assessments</w:t>
        </w:r>
      </w:hyperlink>
      <w:r w:rsidRPr="003D5C0C">
        <w:rPr>
          <w:rFonts w:ascii="Arial" w:hAnsi="Arial" w:cs="Arial"/>
          <w:color w:val="000000" w:themeColor="text1"/>
        </w:rPr>
        <w:t xml:space="preserve">  (accessed 20 February 2020).</w:t>
      </w:r>
    </w:p>
    <w:p w14:paraId="578DB92B" w14:textId="73059E34" w:rsidR="00730D1B" w:rsidRDefault="00730D1B" w:rsidP="006633FA">
      <w:pPr>
        <w:spacing w:line="480" w:lineRule="auto"/>
        <w:ind w:left="360"/>
        <w:jc w:val="both"/>
        <w:rPr>
          <w:rFonts w:ascii="Arial" w:hAnsi="Arial" w:cs="Arial"/>
          <w:color w:val="000000" w:themeColor="text1"/>
        </w:rPr>
      </w:pPr>
    </w:p>
    <w:p w14:paraId="39932D33" w14:textId="78099C80" w:rsidR="00730D1B" w:rsidRDefault="00730D1B" w:rsidP="006633FA">
      <w:pPr>
        <w:spacing w:line="480" w:lineRule="auto"/>
        <w:ind w:left="360"/>
        <w:jc w:val="both"/>
        <w:rPr>
          <w:rFonts w:ascii="Arial" w:hAnsi="Arial" w:cs="Arial"/>
          <w:color w:val="000000" w:themeColor="text1"/>
        </w:rPr>
      </w:pPr>
      <w:r>
        <w:rPr>
          <w:rFonts w:ascii="Arial" w:hAnsi="Arial" w:cs="Arial"/>
          <w:color w:val="000000" w:themeColor="text1"/>
        </w:rPr>
        <w:lastRenderedPageBreak/>
        <w:t xml:space="preserve">MHCLG (2020) </w:t>
      </w:r>
      <w:r w:rsidRPr="00730D1B">
        <w:rPr>
          <w:rFonts w:ascii="Arial" w:hAnsi="Arial" w:cs="Arial"/>
          <w:i/>
          <w:color w:val="000000" w:themeColor="text1"/>
        </w:rPr>
        <w:t>Changes to the current planning system. Consultation on changes to planning policy and regulations</w:t>
      </w:r>
      <w:r>
        <w:rPr>
          <w:rFonts w:ascii="Arial" w:hAnsi="Arial" w:cs="Arial"/>
          <w:color w:val="000000" w:themeColor="text1"/>
        </w:rPr>
        <w:t xml:space="preserve">.  MHCLG: London.  Available at: </w:t>
      </w:r>
    </w:p>
    <w:p w14:paraId="23C5CF17" w14:textId="37930715" w:rsidR="00730D1B" w:rsidRDefault="00222823" w:rsidP="006633FA">
      <w:pPr>
        <w:spacing w:line="480" w:lineRule="auto"/>
        <w:ind w:left="360"/>
        <w:jc w:val="both"/>
        <w:rPr>
          <w:rFonts w:ascii="Arial" w:hAnsi="Arial" w:cs="Arial"/>
          <w:color w:val="000000" w:themeColor="text1"/>
        </w:rPr>
      </w:pPr>
      <w:hyperlink r:id="rId18" w:history="1">
        <w:r w:rsidR="00730D1B" w:rsidRPr="001D7C62">
          <w:rPr>
            <w:rStyle w:val="Hyperlink"/>
            <w:rFonts w:ascii="Arial" w:hAnsi="Arial" w:cs="Arial"/>
          </w:rPr>
          <w:t>https://assets.publishing.service.gov.uk/government/uploads/system/uploads/attachment_data/file/927157/200805_Changes_to_the_current_planning_system.pdf</w:t>
        </w:r>
      </w:hyperlink>
      <w:r w:rsidR="00730D1B">
        <w:rPr>
          <w:rFonts w:ascii="Arial" w:hAnsi="Arial" w:cs="Arial"/>
          <w:color w:val="000000" w:themeColor="text1"/>
        </w:rPr>
        <w:t xml:space="preserve"> (accessed, 7</w:t>
      </w:r>
      <w:r w:rsidR="00730D1B" w:rsidRPr="00730D1B">
        <w:rPr>
          <w:rFonts w:ascii="Arial" w:hAnsi="Arial" w:cs="Arial"/>
          <w:color w:val="000000" w:themeColor="text1"/>
          <w:vertAlign w:val="superscript"/>
        </w:rPr>
        <w:t>th</w:t>
      </w:r>
      <w:r w:rsidR="00730D1B">
        <w:rPr>
          <w:rFonts w:ascii="Arial" w:hAnsi="Arial" w:cs="Arial"/>
          <w:color w:val="000000" w:themeColor="text1"/>
        </w:rPr>
        <w:t xml:space="preserve"> December 2020).</w:t>
      </w:r>
    </w:p>
    <w:p w14:paraId="7CFDA132" w14:textId="77777777" w:rsidR="00730D1B" w:rsidRPr="003D5C0C" w:rsidRDefault="00730D1B" w:rsidP="006633FA">
      <w:pPr>
        <w:spacing w:line="480" w:lineRule="auto"/>
        <w:ind w:left="360"/>
        <w:jc w:val="both"/>
        <w:rPr>
          <w:rFonts w:ascii="Arial" w:hAnsi="Arial" w:cs="Arial"/>
          <w:color w:val="000000" w:themeColor="text1"/>
        </w:rPr>
      </w:pPr>
    </w:p>
    <w:p w14:paraId="30025A44" w14:textId="77777777" w:rsidR="00DC50B2" w:rsidRPr="003D5C0C" w:rsidRDefault="00DC50B2" w:rsidP="006633FA">
      <w:pPr>
        <w:spacing w:line="480" w:lineRule="auto"/>
        <w:jc w:val="both"/>
        <w:rPr>
          <w:rFonts w:ascii="Arial" w:eastAsiaTheme="minorHAnsi" w:hAnsi="Arial" w:cs="Arial"/>
          <w:color w:val="000000" w:themeColor="text1"/>
          <w:lang w:eastAsia="en-US"/>
        </w:rPr>
      </w:pPr>
    </w:p>
    <w:p w14:paraId="654DADDB" w14:textId="40572ABA" w:rsidR="00DC50B2" w:rsidRPr="003D5C0C" w:rsidRDefault="00DC50B2" w:rsidP="006633FA">
      <w:pPr>
        <w:spacing w:line="480" w:lineRule="auto"/>
        <w:ind w:left="360"/>
        <w:jc w:val="both"/>
        <w:rPr>
          <w:rFonts w:ascii="Arial" w:eastAsiaTheme="minorHAnsi" w:hAnsi="Arial" w:cs="Arial"/>
          <w:color w:val="000000" w:themeColor="text1"/>
          <w:lang w:eastAsia="en-US"/>
        </w:rPr>
      </w:pPr>
      <w:r w:rsidRPr="003D5C0C">
        <w:rPr>
          <w:rFonts w:ascii="Arial" w:eastAsiaTheme="minorHAnsi" w:hAnsi="Arial" w:cs="Arial"/>
          <w:color w:val="000000" w:themeColor="text1"/>
          <w:lang w:eastAsia="en-US"/>
        </w:rPr>
        <w:t xml:space="preserve">Morton A (2012) Why aren’t we building enough attractive homes? Myths, misunderstandings and solutions. </w:t>
      </w:r>
      <w:r w:rsidRPr="003D5C0C">
        <w:rPr>
          <w:rFonts w:ascii="Arial" w:eastAsiaTheme="minorHAnsi" w:hAnsi="Arial" w:cs="Arial"/>
          <w:i/>
          <w:iCs/>
          <w:color w:val="000000" w:themeColor="text1"/>
          <w:lang w:eastAsia="en-US"/>
        </w:rPr>
        <w:t>Policy Exchange</w:t>
      </w:r>
      <w:r w:rsidRPr="003D5C0C">
        <w:rPr>
          <w:rFonts w:ascii="Arial" w:eastAsiaTheme="minorHAnsi" w:hAnsi="Arial" w:cs="Arial"/>
          <w:color w:val="000000" w:themeColor="text1"/>
          <w:lang w:eastAsia="en-US"/>
        </w:rPr>
        <w:t xml:space="preserve">, Available at: </w:t>
      </w:r>
      <w:hyperlink r:id="rId19" w:history="1">
        <w:r w:rsidRPr="003D5C0C">
          <w:rPr>
            <w:rFonts w:ascii="Arial" w:eastAsiaTheme="minorHAnsi" w:hAnsi="Arial" w:cs="Arial"/>
            <w:color w:val="000000" w:themeColor="text1"/>
            <w:u w:val="single"/>
            <w:lang w:eastAsia="en-US"/>
          </w:rPr>
          <w:t>https://policyexchange.org.uk/wp-content/uploads/2016/09/why-arent-we-building-enough-attractive-homes.pdf</w:t>
        </w:r>
      </w:hyperlink>
      <w:r w:rsidRPr="003D5C0C">
        <w:rPr>
          <w:rFonts w:ascii="Arial" w:eastAsiaTheme="minorHAnsi" w:hAnsi="Arial" w:cs="Arial"/>
          <w:color w:val="000000" w:themeColor="text1"/>
          <w:lang w:eastAsia="en-US"/>
        </w:rPr>
        <w:t xml:space="preserve"> (accessed, 25 January 2020).</w:t>
      </w:r>
    </w:p>
    <w:p w14:paraId="70138B83" w14:textId="77777777" w:rsidR="00DC50B2" w:rsidRPr="003D5C0C" w:rsidRDefault="00DC50B2" w:rsidP="006633FA">
      <w:pPr>
        <w:spacing w:line="480" w:lineRule="auto"/>
        <w:jc w:val="both"/>
        <w:rPr>
          <w:rFonts w:ascii="Arial" w:hAnsi="Arial" w:cs="Arial"/>
          <w:color w:val="000000" w:themeColor="text1"/>
          <w:shd w:val="clear" w:color="auto" w:fill="FFFFFF"/>
        </w:rPr>
      </w:pPr>
    </w:p>
    <w:p w14:paraId="38DC2271" w14:textId="791132BF"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shd w:val="clear" w:color="auto" w:fill="FFFFFF"/>
        </w:rPr>
        <w:t>Murphy L (2019) Performing calculative practices: residual valuation, the residential development process and affordable housing. </w:t>
      </w:r>
      <w:r w:rsidRPr="003D5C0C">
        <w:rPr>
          <w:rFonts w:ascii="Arial" w:hAnsi="Arial" w:cs="Arial"/>
          <w:i/>
          <w:iCs/>
          <w:color w:val="000000" w:themeColor="text1"/>
        </w:rPr>
        <w:t>Housing Studies</w:t>
      </w:r>
      <w:r w:rsidRPr="003D5C0C">
        <w:rPr>
          <w:rFonts w:ascii="Arial" w:hAnsi="Arial" w:cs="Arial"/>
          <w:color w:val="000000" w:themeColor="text1"/>
          <w:shd w:val="clear" w:color="auto" w:fill="FFFFFF"/>
        </w:rPr>
        <w:t xml:space="preserve">, pp.1-17, </w:t>
      </w:r>
      <w:r w:rsidRPr="003D5C0C">
        <w:rPr>
          <w:rFonts w:ascii="Arial" w:hAnsi="Arial" w:cs="Arial"/>
          <w:color w:val="000000" w:themeColor="text1"/>
        </w:rPr>
        <w:t>doi: 10.1080/02673037.2019.1594713</w:t>
      </w:r>
      <w:r w:rsidR="00D3474B">
        <w:rPr>
          <w:rFonts w:ascii="Arial" w:hAnsi="Arial" w:cs="Arial"/>
          <w:color w:val="000000" w:themeColor="text1"/>
        </w:rPr>
        <w:t>.</w:t>
      </w:r>
    </w:p>
    <w:p w14:paraId="70221AA5" w14:textId="77777777" w:rsidR="00DC50B2" w:rsidRPr="003D5C0C" w:rsidRDefault="00DC50B2" w:rsidP="006633FA">
      <w:pPr>
        <w:spacing w:line="480" w:lineRule="auto"/>
        <w:jc w:val="both"/>
        <w:rPr>
          <w:rFonts w:ascii="Arial" w:hAnsi="Arial" w:cs="Arial"/>
          <w:bCs/>
          <w:color w:val="000000" w:themeColor="text1"/>
          <w:kern w:val="36"/>
        </w:rPr>
      </w:pPr>
    </w:p>
    <w:p w14:paraId="676524B9" w14:textId="77777777" w:rsidR="00DC50B2" w:rsidRPr="003D5C0C" w:rsidRDefault="00DC50B2" w:rsidP="006633FA">
      <w:pPr>
        <w:spacing w:line="480" w:lineRule="auto"/>
        <w:ind w:left="360"/>
        <w:jc w:val="both"/>
        <w:rPr>
          <w:rFonts w:ascii="Arial" w:hAnsi="Arial" w:cs="Arial"/>
          <w:bCs/>
          <w:color w:val="000000" w:themeColor="text1"/>
          <w:kern w:val="36"/>
        </w:rPr>
      </w:pPr>
      <w:r w:rsidRPr="003D5C0C">
        <w:rPr>
          <w:rFonts w:ascii="Arial" w:hAnsi="Arial" w:cs="Arial"/>
          <w:bCs/>
          <w:color w:val="000000" w:themeColor="text1"/>
          <w:kern w:val="36"/>
        </w:rPr>
        <w:t xml:space="preserve">ONS (2018a) </w:t>
      </w:r>
      <w:r w:rsidRPr="003D5C0C">
        <w:rPr>
          <w:rFonts w:ascii="Arial" w:hAnsi="Arial" w:cs="Arial"/>
          <w:bCs/>
          <w:i/>
          <w:iCs/>
          <w:color w:val="000000" w:themeColor="text1"/>
          <w:kern w:val="36"/>
        </w:rPr>
        <w:t>Household projections in England: 2016-based</w:t>
      </w:r>
      <w:r w:rsidRPr="003D5C0C">
        <w:rPr>
          <w:rFonts w:ascii="Arial" w:hAnsi="Arial" w:cs="Arial"/>
          <w:bCs/>
          <w:color w:val="000000" w:themeColor="text1"/>
          <w:kern w:val="36"/>
        </w:rPr>
        <w:t xml:space="preserve">, Statistical bulletin, Office for National Statistics, Titchfield. Available at: </w:t>
      </w:r>
      <w:hyperlink r:id="rId20" w:history="1">
        <w:r w:rsidRPr="003D5C0C">
          <w:rPr>
            <w:rStyle w:val="Hyperlink"/>
            <w:rFonts w:ascii="Arial" w:eastAsiaTheme="majorEastAsia" w:hAnsi="Arial" w:cs="Arial"/>
            <w:bCs/>
            <w:color w:val="000000" w:themeColor="text1"/>
            <w:kern w:val="36"/>
          </w:rPr>
          <w:t>https://www.ons.gov.uk/peoplepopulationandcommunity/populationandmigration/populationprojections/bulletins/2016basedhouseholdprojectionsinengland/2016basedhouseholdprojectionsinengland</w:t>
        </w:r>
      </w:hyperlink>
      <w:r w:rsidRPr="003D5C0C">
        <w:rPr>
          <w:rFonts w:ascii="Arial" w:hAnsi="Arial" w:cs="Arial"/>
          <w:bCs/>
          <w:color w:val="000000" w:themeColor="text1"/>
          <w:kern w:val="36"/>
        </w:rPr>
        <w:t xml:space="preserve"> (accessed 25 January 2020).</w:t>
      </w:r>
    </w:p>
    <w:p w14:paraId="2E3EC5EB" w14:textId="77777777" w:rsidR="00DC50B2" w:rsidRPr="003D5C0C" w:rsidRDefault="00DC50B2" w:rsidP="006633FA">
      <w:pPr>
        <w:spacing w:line="480" w:lineRule="auto"/>
        <w:jc w:val="both"/>
        <w:rPr>
          <w:rFonts w:ascii="Arial" w:hAnsi="Arial" w:cs="Arial"/>
          <w:bCs/>
          <w:color w:val="000000" w:themeColor="text1"/>
          <w:kern w:val="36"/>
        </w:rPr>
      </w:pPr>
    </w:p>
    <w:p w14:paraId="393B93C0" w14:textId="77777777" w:rsidR="00DC50B2" w:rsidRPr="003D5C0C" w:rsidRDefault="00DC50B2" w:rsidP="006633FA">
      <w:pPr>
        <w:spacing w:line="480" w:lineRule="auto"/>
        <w:ind w:left="360"/>
        <w:jc w:val="both"/>
        <w:rPr>
          <w:rFonts w:ascii="Arial" w:hAnsi="Arial" w:cs="Arial"/>
          <w:bCs/>
          <w:color w:val="000000" w:themeColor="text1"/>
          <w:kern w:val="36"/>
        </w:rPr>
      </w:pPr>
      <w:r w:rsidRPr="003D5C0C">
        <w:rPr>
          <w:rFonts w:ascii="Arial" w:hAnsi="Arial" w:cs="Arial"/>
          <w:bCs/>
          <w:color w:val="000000" w:themeColor="text1"/>
          <w:kern w:val="36"/>
        </w:rPr>
        <w:t xml:space="preserve">ONS (2018b) </w:t>
      </w:r>
      <w:r w:rsidRPr="003D5C0C">
        <w:rPr>
          <w:rFonts w:ascii="Arial" w:hAnsi="Arial" w:cs="Arial"/>
          <w:bCs/>
          <w:i/>
          <w:iCs/>
          <w:color w:val="000000" w:themeColor="text1"/>
          <w:kern w:val="36"/>
        </w:rPr>
        <w:t>Household projections for England, comparisons with other sources: 2001 to 2018</w:t>
      </w:r>
      <w:r w:rsidRPr="003D5C0C">
        <w:rPr>
          <w:rFonts w:ascii="Arial" w:hAnsi="Arial" w:cs="Arial"/>
          <w:bCs/>
          <w:color w:val="000000" w:themeColor="text1"/>
          <w:kern w:val="36"/>
        </w:rPr>
        <w:t xml:space="preserve">, Office for National Statistics, London. Available at: </w:t>
      </w:r>
      <w:hyperlink r:id="rId21" w:history="1">
        <w:r w:rsidRPr="003D5C0C">
          <w:rPr>
            <w:rStyle w:val="Hyperlink"/>
            <w:rFonts w:ascii="Arial" w:eastAsiaTheme="majorEastAsia" w:hAnsi="Arial" w:cs="Arial"/>
            <w:bCs/>
            <w:color w:val="000000" w:themeColor="text1"/>
            <w:kern w:val="36"/>
          </w:rPr>
          <w:t>https://www.ons.gov.uk/peoplepopulationandcommunity/populationandmigration/</w:t>
        </w:r>
        <w:r w:rsidRPr="003D5C0C">
          <w:rPr>
            <w:rStyle w:val="Hyperlink"/>
            <w:rFonts w:ascii="Arial" w:eastAsiaTheme="majorEastAsia" w:hAnsi="Arial" w:cs="Arial"/>
            <w:bCs/>
            <w:color w:val="000000" w:themeColor="text1"/>
            <w:kern w:val="36"/>
          </w:rPr>
          <w:lastRenderedPageBreak/>
          <w:t>populationprojections/articles/householdprojectionsforenglandcomparisonswithothersources/2001to2018</w:t>
        </w:r>
      </w:hyperlink>
      <w:r w:rsidRPr="003D5C0C">
        <w:rPr>
          <w:rFonts w:ascii="Arial" w:hAnsi="Arial" w:cs="Arial"/>
          <w:bCs/>
          <w:color w:val="000000" w:themeColor="text1"/>
          <w:kern w:val="36"/>
        </w:rPr>
        <w:t xml:space="preserve"> (accessed 25 January 2020).</w:t>
      </w:r>
    </w:p>
    <w:p w14:paraId="3D9FFC40" w14:textId="77777777" w:rsidR="00DC50B2" w:rsidRPr="003D5C0C" w:rsidRDefault="00DC50B2" w:rsidP="006633FA">
      <w:pPr>
        <w:spacing w:after="160" w:line="480" w:lineRule="auto"/>
        <w:contextualSpacing/>
        <w:jc w:val="both"/>
        <w:rPr>
          <w:rFonts w:ascii="Arial" w:eastAsiaTheme="minorHAnsi" w:hAnsi="Arial" w:cs="Arial"/>
          <w:color w:val="000000" w:themeColor="text1"/>
          <w:lang w:eastAsia="en-US"/>
        </w:rPr>
      </w:pPr>
    </w:p>
    <w:p w14:paraId="4AC51891" w14:textId="04B9D5D8" w:rsidR="00DC50B2" w:rsidRPr="003D5C0C" w:rsidRDefault="00DC50B2" w:rsidP="006633FA">
      <w:pPr>
        <w:spacing w:after="160" w:line="480" w:lineRule="auto"/>
        <w:ind w:left="360"/>
        <w:jc w:val="both"/>
        <w:rPr>
          <w:rFonts w:ascii="Arial" w:eastAsiaTheme="minorHAnsi" w:hAnsi="Arial" w:cs="Arial"/>
          <w:color w:val="000000" w:themeColor="text1"/>
          <w:lang w:eastAsia="en-US"/>
        </w:rPr>
      </w:pPr>
      <w:r w:rsidRPr="003D5C0C">
        <w:rPr>
          <w:rFonts w:ascii="Arial" w:eastAsiaTheme="minorHAnsi" w:hAnsi="Arial" w:cs="Arial"/>
          <w:color w:val="000000" w:themeColor="text1"/>
          <w:lang w:eastAsia="en-US"/>
        </w:rPr>
        <w:t xml:space="preserve">Palm M </w:t>
      </w:r>
      <w:r w:rsidR="005E5AD3">
        <w:rPr>
          <w:rFonts w:ascii="Arial" w:eastAsiaTheme="minorHAnsi" w:hAnsi="Arial" w:cs="Arial"/>
          <w:color w:val="000000" w:themeColor="text1"/>
          <w:lang w:eastAsia="en-US"/>
        </w:rPr>
        <w:t>and</w:t>
      </w:r>
      <w:r w:rsidRPr="003D5C0C">
        <w:rPr>
          <w:rFonts w:ascii="Arial" w:eastAsiaTheme="minorHAnsi" w:hAnsi="Arial" w:cs="Arial"/>
          <w:color w:val="000000" w:themeColor="text1"/>
          <w:lang w:eastAsia="en-US"/>
        </w:rPr>
        <w:t xml:space="preserve"> Whitzman C (2020) Housing need assessments in San Francisco, Vancouver and Melbourne: normative science or neoliberal alchemy. </w:t>
      </w:r>
      <w:r w:rsidRPr="003D5C0C">
        <w:rPr>
          <w:rFonts w:ascii="Arial" w:eastAsiaTheme="minorHAnsi" w:hAnsi="Arial" w:cs="Arial"/>
          <w:i/>
          <w:iCs/>
          <w:color w:val="000000" w:themeColor="text1"/>
          <w:lang w:eastAsia="en-US"/>
        </w:rPr>
        <w:t>Housing Studies</w:t>
      </w:r>
      <w:r w:rsidRPr="003D5C0C">
        <w:rPr>
          <w:rFonts w:ascii="Arial" w:eastAsiaTheme="minorHAnsi" w:hAnsi="Arial" w:cs="Arial"/>
          <w:color w:val="000000" w:themeColor="text1"/>
          <w:lang w:eastAsia="en-US"/>
        </w:rPr>
        <w:t>, 35(5), 771-794</w:t>
      </w:r>
      <w:r w:rsidR="005E5AD3">
        <w:rPr>
          <w:rFonts w:ascii="Arial" w:eastAsiaTheme="minorHAnsi" w:hAnsi="Arial" w:cs="Arial"/>
          <w:color w:val="000000" w:themeColor="text1"/>
          <w:lang w:eastAsia="en-US"/>
        </w:rPr>
        <w:t>.</w:t>
      </w:r>
    </w:p>
    <w:p w14:paraId="064C580F" w14:textId="23548CF0"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rPr>
        <w:t xml:space="preserve">Peck J and Tickell A (2002) Neoliberalizing space.  </w:t>
      </w:r>
      <w:r w:rsidRPr="00421542">
        <w:rPr>
          <w:rFonts w:ascii="Arial" w:hAnsi="Arial" w:cs="Arial"/>
          <w:i/>
          <w:color w:val="000000" w:themeColor="text1"/>
        </w:rPr>
        <w:t>Antipode</w:t>
      </w:r>
      <w:r w:rsidRPr="003D5C0C">
        <w:rPr>
          <w:rFonts w:ascii="Arial" w:hAnsi="Arial" w:cs="Arial"/>
          <w:color w:val="000000" w:themeColor="text1"/>
        </w:rPr>
        <w:t xml:space="preserve">, 34 (3), 380-404. </w:t>
      </w:r>
    </w:p>
    <w:p w14:paraId="39DAE1B6" w14:textId="77777777" w:rsidR="00DC50B2" w:rsidRPr="003D5C0C" w:rsidRDefault="00DC50B2" w:rsidP="006633FA">
      <w:pPr>
        <w:spacing w:line="480" w:lineRule="auto"/>
        <w:ind w:left="360"/>
        <w:jc w:val="both"/>
        <w:rPr>
          <w:rFonts w:ascii="Arial" w:hAnsi="Arial" w:cs="Arial"/>
          <w:color w:val="000000" w:themeColor="text1"/>
        </w:rPr>
      </w:pPr>
    </w:p>
    <w:p w14:paraId="1D11C7AE" w14:textId="7DAF97E5"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rPr>
        <w:t xml:space="preserve">Peck J (2010) </w:t>
      </w:r>
      <w:r w:rsidRPr="003D5C0C">
        <w:rPr>
          <w:rFonts w:ascii="Arial" w:hAnsi="Arial" w:cs="Arial"/>
          <w:i/>
          <w:color w:val="000000" w:themeColor="text1"/>
        </w:rPr>
        <w:t>Constructions of Neoliberal Reason</w:t>
      </w:r>
      <w:r w:rsidRPr="003D5C0C">
        <w:rPr>
          <w:rFonts w:ascii="Arial" w:hAnsi="Arial" w:cs="Arial"/>
          <w:color w:val="000000" w:themeColor="text1"/>
        </w:rPr>
        <w:t>. Oxford: Oxford University Press.</w:t>
      </w:r>
    </w:p>
    <w:p w14:paraId="4E261967" w14:textId="77777777" w:rsidR="00DC50B2" w:rsidRPr="003D5C0C" w:rsidRDefault="00DC50B2" w:rsidP="006633FA">
      <w:pPr>
        <w:spacing w:line="480" w:lineRule="auto"/>
        <w:ind w:left="360"/>
        <w:jc w:val="both"/>
        <w:rPr>
          <w:rFonts w:ascii="Arial" w:hAnsi="Arial" w:cs="Arial"/>
          <w:color w:val="000000" w:themeColor="text1"/>
        </w:rPr>
      </w:pPr>
    </w:p>
    <w:p w14:paraId="26A9714A" w14:textId="6EE4C627"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rPr>
        <w:t xml:space="preserve">Peck J, Brenner N and Theodore N (2018) Actually existing neoliberalism, in, D. Cahill, M. Cooper, M. Konings and D. Primrose (Eds.) </w:t>
      </w:r>
      <w:r w:rsidRPr="003D5C0C">
        <w:rPr>
          <w:rFonts w:ascii="Arial" w:hAnsi="Arial" w:cs="Arial"/>
          <w:i/>
          <w:color w:val="000000" w:themeColor="text1"/>
        </w:rPr>
        <w:t>The Sage handbook of neoliberalism</w:t>
      </w:r>
      <w:r w:rsidRPr="003D5C0C">
        <w:rPr>
          <w:rFonts w:ascii="Arial" w:hAnsi="Arial" w:cs="Arial"/>
          <w:color w:val="000000" w:themeColor="text1"/>
        </w:rPr>
        <w:t xml:space="preserve">, pp. 3-15. Sage: London.     </w:t>
      </w:r>
    </w:p>
    <w:p w14:paraId="4D6BFACD" w14:textId="77777777" w:rsidR="00DC50B2" w:rsidRPr="003D5C0C" w:rsidRDefault="00DC50B2" w:rsidP="006633FA">
      <w:pPr>
        <w:spacing w:line="480" w:lineRule="auto"/>
        <w:ind w:left="360"/>
        <w:jc w:val="both"/>
        <w:rPr>
          <w:rFonts w:ascii="Arial" w:hAnsi="Arial" w:cs="Arial"/>
          <w:color w:val="000000" w:themeColor="text1"/>
        </w:rPr>
      </w:pPr>
    </w:p>
    <w:p w14:paraId="428158EC" w14:textId="2FB05C70"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rPr>
        <w:t xml:space="preserve">Peck J and Theodore N (2019) Still neoliberalism? </w:t>
      </w:r>
      <w:r w:rsidRPr="00421542">
        <w:rPr>
          <w:rFonts w:ascii="Arial" w:hAnsi="Arial" w:cs="Arial"/>
          <w:i/>
          <w:color w:val="000000" w:themeColor="text1"/>
        </w:rPr>
        <w:t>South Atlantic Quarterly</w:t>
      </w:r>
      <w:r w:rsidRPr="003D5C0C">
        <w:rPr>
          <w:rFonts w:ascii="Arial" w:hAnsi="Arial" w:cs="Arial"/>
          <w:color w:val="000000" w:themeColor="text1"/>
        </w:rPr>
        <w:t>, 118 (2), 245-265.</w:t>
      </w:r>
    </w:p>
    <w:p w14:paraId="773D3664" w14:textId="77777777" w:rsidR="00DC50B2" w:rsidRPr="003D5C0C" w:rsidRDefault="00DC50B2" w:rsidP="006633FA">
      <w:pPr>
        <w:spacing w:after="160" w:line="480" w:lineRule="auto"/>
        <w:contextualSpacing/>
        <w:jc w:val="both"/>
        <w:rPr>
          <w:rFonts w:ascii="Arial" w:hAnsi="Arial" w:cs="Arial"/>
          <w:color w:val="000000" w:themeColor="text1"/>
        </w:rPr>
      </w:pPr>
    </w:p>
    <w:p w14:paraId="025C804F" w14:textId="20F7DA79" w:rsidR="00DC50B2" w:rsidRPr="003D5C0C" w:rsidRDefault="00DC50B2" w:rsidP="006633FA">
      <w:pPr>
        <w:spacing w:line="480" w:lineRule="auto"/>
        <w:ind w:left="360"/>
        <w:jc w:val="both"/>
        <w:rPr>
          <w:rFonts w:ascii="Arial" w:hAnsi="Arial" w:cs="Arial"/>
          <w:color w:val="000000" w:themeColor="text1"/>
        </w:rPr>
      </w:pPr>
      <w:r w:rsidRPr="003D5C0C">
        <w:rPr>
          <w:rFonts w:ascii="Arial" w:hAnsi="Arial" w:cs="Arial"/>
          <w:color w:val="000000" w:themeColor="text1"/>
          <w:shd w:val="clear" w:color="auto" w:fill="FFFFFF"/>
        </w:rPr>
        <w:t xml:space="preserve">Revellino S </w:t>
      </w:r>
      <w:r w:rsidR="00421542">
        <w:rPr>
          <w:rFonts w:ascii="Arial" w:hAnsi="Arial" w:cs="Arial"/>
          <w:color w:val="000000" w:themeColor="text1"/>
          <w:shd w:val="clear" w:color="auto" w:fill="FFFFFF"/>
        </w:rPr>
        <w:t>and</w:t>
      </w:r>
      <w:r w:rsidRPr="003D5C0C">
        <w:rPr>
          <w:rFonts w:ascii="Arial" w:hAnsi="Arial" w:cs="Arial"/>
          <w:color w:val="000000" w:themeColor="text1"/>
          <w:shd w:val="clear" w:color="auto" w:fill="FFFFFF"/>
        </w:rPr>
        <w:t xml:space="preserve"> Mouritsen J (2015) Accounting as an engine: The  performativity of calculative practices and the dynamics of innovation.</w:t>
      </w:r>
      <w:r w:rsidRPr="003D5C0C">
        <w:rPr>
          <w:rStyle w:val="apple-converted-space"/>
          <w:rFonts w:ascii="Arial" w:hAnsi="Arial" w:cs="Arial"/>
          <w:color w:val="000000" w:themeColor="text1"/>
          <w:shd w:val="clear" w:color="auto" w:fill="FFFFFF"/>
        </w:rPr>
        <w:t> </w:t>
      </w:r>
      <w:r w:rsidRPr="003D5C0C">
        <w:rPr>
          <w:rFonts w:ascii="Arial" w:hAnsi="Arial" w:cs="Arial"/>
          <w:i/>
          <w:iCs/>
          <w:color w:val="000000" w:themeColor="text1"/>
        </w:rPr>
        <w:t>Management Accounting Research</w:t>
      </w:r>
      <w:r w:rsidRPr="003D5C0C">
        <w:rPr>
          <w:rFonts w:ascii="Arial" w:hAnsi="Arial" w:cs="Arial"/>
          <w:color w:val="000000" w:themeColor="text1"/>
          <w:shd w:val="clear" w:color="auto" w:fill="FFFFFF"/>
        </w:rPr>
        <w:t>,</w:t>
      </w:r>
      <w:r w:rsidRPr="003D5C0C">
        <w:rPr>
          <w:rStyle w:val="apple-converted-space"/>
          <w:rFonts w:ascii="Arial" w:hAnsi="Arial" w:cs="Arial"/>
          <w:color w:val="000000" w:themeColor="text1"/>
          <w:shd w:val="clear" w:color="auto" w:fill="FFFFFF"/>
        </w:rPr>
        <w:t> </w:t>
      </w:r>
      <w:r w:rsidRPr="00421542">
        <w:rPr>
          <w:rFonts w:ascii="Arial" w:hAnsi="Arial" w:cs="Arial"/>
          <w:iCs/>
          <w:color w:val="000000" w:themeColor="text1"/>
        </w:rPr>
        <w:t>28</w:t>
      </w:r>
      <w:r w:rsidRPr="003D5C0C">
        <w:rPr>
          <w:rFonts w:ascii="Arial" w:hAnsi="Arial" w:cs="Arial"/>
          <w:color w:val="000000" w:themeColor="text1"/>
          <w:shd w:val="clear" w:color="auto" w:fill="FFFFFF"/>
        </w:rPr>
        <w:t>, 31-49.</w:t>
      </w:r>
    </w:p>
    <w:p w14:paraId="31B3126B" w14:textId="77777777" w:rsidR="00DC50B2" w:rsidRPr="003D5C0C" w:rsidRDefault="00DC50B2" w:rsidP="006633FA">
      <w:pPr>
        <w:spacing w:after="160" w:line="480" w:lineRule="auto"/>
        <w:contextualSpacing/>
        <w:jc w:val="both"/>
        <w:rPr>
          <w:rFonts w:ascii="Arial" w:hAnsi="Arial" w:cs="Arial"/>
          <w:color w:val="000000" w:themeColor="text1"/>
        </w:rPr>
      </w:pPr>
    </w:p>
    <w:p w14:paraId="3DD663CC" w14:textId="66694F4B" w:rsidR="00DC50B2" w:rsidRPr="003D5C0C" w:rsidRDefault="00DC50B2" w:rsidP="006633FA">
      <w:pPr>
        <w:spacing w:after="160" w:line="480" w:lineRule="auto"/>
        <w:ind w:left="360"/>
        <w:jc w:val="both"/>
        <w:rPr>
          <w:rFonts w:ascii="Arial" w:hAnsi="Arial" w:cs="Arial"/>
          <w:color w:val="000000" w:themeColor="text1"/>
        </w:rPr>
      </w:pPr>
      <w:r w:rsidRPr="003D5C0C">
        <w:rPr>
          <w:rFonts w:ascii="Arial" w:hAnsi="Arial" w:cs="Arial"/>
          <w:color w:val="000000" w:themeColor="text1"/>
        </w:rPr>
        <w:t xml:space="preserve">Rowley S, Leishman C, Baker E, Bentley R </w:t>
      </w:r>
      <w:r w:rsidR="00421542">
        <w:rPr>
          <w:rFonts w:ascii="Arial" w:hAnsi="Arial" w:cs="Arial"/>
          <w:color w:val="000000" w:themeColor="text1"/>
        </w:rPr>
        <w:t>and</w:t>
      </w:r>
      <w:r w:rsidRPr="003D5C0C">
        <w:rPr>
          <w:rFonts w:ascii="Arial" w:hAnsi="Arial" w:cs="Arial"/>
          <w:color w:val="000000" w:themeColor="text1"/>
        </w:rPr>
        <w:t xml:space="preserve"> Lester L (2017) </w:t>
      </w:r>
      <w:r w:rsidRPr="003D5C0C">
        <w:rPr>
          <w:rFonts w:ascii="Arial" w:hAnsi="Arial" w:cs="Arial"/>
          <w:i/>
          <w:iCs/>
          <w:color w:val="000000" w:themeColor="text1"/>
        </w:rPr>
        <w:t>Mode</w:t>
      </w:r>
      <w:r w:rsidR="00421542">
        <w:rPr>
          <w:rFonts w:ascii="Arial" w:hAnsi="Arial" w:cs="Arial"/>
          <w:i/>
          <w:iCs/>
          <w:color w:val="000000" w:themeColor="text1"/>
        </w:rPr>
        <w:t>l</w:t>
      </w:r>
      <w:r w:rsidRPr="003D5C0C">
        <w:rPr>
          <w:rFonts w:ascii="Arial" w:hAnsi="Arial" w:cs="Arial"/>
          <w:i/>
          <w:iCs/>
          <w:color w:val="000000" w:themeColor="text1"/>
        </w:rPr>
        <w:t>ling housing need in Australia to 2025</w:t>
      </w:r>
      <w:r w:rsidRPr="003D5C0C">
        <w:rPr>
          <w:rFonts w:ascii="Arial" w:hAnsi="Arial" w:cs="Arial"/>
          <w:color w:val="000000" w:themeColor="text1"/>
        </w:rPr>
        <w:t>. Final Report No. 287</w:t>
      </w:r>
      <w:r w:rsidR="00421542">
        <w:rPr>
          <w:rFonts w:ascii="Arial" w:hAnsi="Arial" w:cs="Arial"/>
          <w:color w:val="000000" w:themeColor="text1"/>
        </w:rPr>
        <w:t>.</w:t>
      </w:r>
      <w:r w:rsidRPr="003D5C0C">
        <w:rPr>
          <w:rFonts w:ascii="Arial" w:hAnsi="Arial" w:cs="Arial"/>
          <w:color w:val="000000" w:themeColor="text1"/>
        </w:rPr>
        <w:t xml:space="preserve"> Australian Housing and Urban Research Institute</w:t>
      </w:r>
      <w:r w:rsidR="00421542">
        <w:rPr>
          <w:rFonts w:ascii="Arial" w:hAnsi="Arial" w:cs="Arial"/>
          <w:color w:val="000000" w:themeColor="text1"/>
        </w:rPr>
        <w:t>: Melbourne</w:t>
      </w:r>
      <w:r w:rsidRPr="003D5C0C">
        <w:rPr>
          <w:rFonts w:ascii="Arial" w:hAnsi="Arial" w:cs="Arial"/>
          <w:color w:val="000000" w:themeColor="text1"/>
        </w:rPr>
        <w:t>.</w:t>
      </w:r>
    </w:p>
    <w:p w14:paraId="64BF5A2E" w14:textId="77777777" w:rsidR="00DC50B2" w:rsidRPr="003D5C0C" w:rsidRDefault="00DC50B2" w:rsidP="006633FA">
      <w:pPr>
        <w:spacing w:line="480" w:lineRule="auto"/>
        <w:jc w:val="both"/>
        <w:rPr>
          <w:rFonts w:ascii="Arial" w:hAnsi="Arial" w:cs="Arial"/>
          <w:bCs/>
          <w:color w:val="000000" w:themeColor="text1"/>
          <w:kern w:val="36"/>
        </w:rPr>
      </w:pPr>
    </w:p>
    <w:p w14:paraId="1BF38515" w14:textId="23A62CD7" w:rsidR="00DC50B2" w:rsidRPr="003D5C0C" w:rsidRDefault="00DC50B2" w:rsidP="006633FA">
      <w:pPr>
        <w:spacing w:line="480" w:lineRule="auto"/>
        <w:ind w:left="360"/>
        <w:jc w:val="both"/>
        <w:rPr>
          <w:rFonts w:ascii="Arial" w:eastAsiaTheme="minorHAnsi" w:hAnsi="Arial" w:cs="Arial"/>
          <w:color w:val="000000" w:themeColor="text1"/>
          <w:lang w:eastAsia="en-US"/>
        </w:rPr>
      </w:pPr>
      <w:r w:rsidRPr="003D5C0C">
        <w:rPr>
          <w:rFonts w:ascii="Arial" w:eastAsiaTheme="minorHAnsi" w:hAnsi="Arial" w:cs="Arial"/>
          <w:color w:val="000000" w:themeColor="text1"/>
          <w:lang w:eastAsia="en-US"/>
        </w:rPr>
        <w:t xml:space="preserve">Stokel-Walker C (2015) Why we can’t build enough homes and why that matters.  </w:t>
      </w:r>
      <w:r w:rsidRPr="003D5C0C">
        <w:rPr>
          <w:rFonts w:ascii="Arial" w:eastAsiaTheme="minorHAnsi" w:hAnsi="Arial" w:cs="Arial"/>
          <w:i/>
          <w:iCs/>
          <w:color w:val="000000" w:themeColor="text1"/>
          <w:lang w:eastAsia="en-US"/>
        </w:rPr>
        <w:t>Buzzfeed</w:t>
      </w:r>
      <w:r w:rsidRPr="003D5C0C">
        <w:rPr>
          <w:rFonts w:ascii="Arial" w:eastAsiaTheme="minorHAnsi" w:hAnsi="Arial" w:cs="Arial"/>
          <w:color w:val="000000" w:themeColor="text1"/>
          <w:lang w:eastAsia="en-US"/>
        </w:rPr>
        <w:t xml:space="preserve">.  Available at: </w:t>
      </w:r>
      <w:hyperlink r:id="rId22" w:history="1">
        <w:r w:rsidRPr="003D5C0C">
          <w:rPr>
            <w:rFonts w:ascii="Arial" w:eastAsiaTheme="minorHAnsi" w:hAnsi="Arial" w:cs="Arial"/>
            <w:color w:val="000000" w:themeColor="text1"/>
            <w:u w:val="single"/>
            <w:lang w:eastAsia="en-US"/>
          </w:rPr>
          <w:t>https://www.buzzfeed.com/chrisstokelwalker/one-day-we-will-be-homebuilding</w:t>
        </w:r>
      </w:hyperlink>
      <w:r w:rsidRPr="003D5C0C">
        <w:rPr>
          <w:rFonts w:ascii="Arial" w:eastAsiaTheme="minorHAnsi" w:hAnsi="Arial" w:cs="Arial"/>
          <w:color w:val="000000" w:themeColor="text1"/>
          <w:lang w:eastAsia="en-US"/>
        </w:rPr>
        <w:t>, (accessed 25 January 2020).</w:t>
      </w:r>
    </w:p>
    <w:p w14:paraId="68453F75" w14:textId="77777777" w:rsidR="00DC50B2" w:rsidRPr="003D5C0C" w:rsidRDefault="00DC50B2" w:rsidP="006633FA">
      <w:pPr>
        <w:spacing w:line="480" w:lineRule="auto"/>
        <w:jc w:val="both"/>
        <w:rPr>
          <w:rFonts w:ascii="Arial" w:hAnsi="Arial" w:cs="Arial"/>
          <w:bCs/>
          <w:color w:val="000000" w:themeColor="text1"/>
          <w:kern w:val="36"/>
        </w:rPr>
      </w:pPr>
    </w:p>
    <w:p w14:paraId="43A05A9F" w14:textId="77777777" w:rsidR="00DC50B2" w:rsidRPr="003D5C0C" w:rsidRDefault="00DC50B2" w:rsidP="006633FA">
      <w:pPr>
        <w:spacing w:line="480" w:lineRule="auto"/>
        <w:ind w:left="360"/>
        <w:jc w:val="both"/>
        <w:rPr>
          <w:rFonts w:ascii="Arial" w:hAnsi="Arial" w:cs="Arial"/>
          <w:bCs/>
          <w:color w:val="000000" w:themeColor="text1"/>
          <w:kern w:val="36"/>
        </w:rPr>
      </w:pPr>
      <w:r w:rsidRPr="003D5C0C">
        <w:rPr>
          <w:rFonts w:ascii="Arial" w:hAnsi="Arial" w:cs="Arial"/>
          <w:bCs/>
          <w:color w:val="000000" w:themeColor="text1"/>
          <w:kern w:val="36"/>
        </w:rPr>
        <w:t xml:space="preserve">UK Construction Online (2017) The real reasons why we aren’t building enough new homes. Available at: </w:t>
      </w:r>
      <w:hyperlink r:id="rId23" w:history="1">
        <w:r w:rsidRPr="003D5C0C">
          <w:rPr>
            <w:rStyle w:val="Hyperlink"/>
            <w:rFonts w:ascii="Arial" w:eastAsiaTheme="majorEastAsia" w:hAnsi="Arial" w:cs="Arial"/>
            <w:bCs/>
            <w:color w:val="000000" w:themeColor="text1"/>
            <w:kern w:val="36"/>
          </w:rPr>
          <w:t>https://www.ukconstructionmedia.co.uk/features/real-reasons-arent-building-enough-new-homes/</w:t>
        </w:r>
      </w:hyperlink>
      <w:r w:rsidRPr="003D5C0C">
        <w:rPr>
          <w:rFonts w:ascii="Arial" w:hAnsi="Arial" w:cs="Arial"/>
          <w:bCs/>
          <w:color w:val="000000" w:themeColor="text1"/>
          <w:kern w:val="36"/>
        </w:rPr>
        <w:t xml:space="preserve"> (accessed 25 January 2020).</w:t>
      </w:r>
    </w:p>
    <w:p w14:paraId="79C16DE9" w14:textId="77777777" w:rsidR="00DC50B2" w:rsidRPr="003D5C0C" w:rsidRDefault="00DC50B2" w:rsidP="006633FA">
      <w:pPr>
        <w:spacing w:line="480" w:lineRule="auto"/>
        <w:jc w:val="both"/>
        <w:rPr>
          <w:rFonts w:ascii="Arial" w:hAnsi="Arial" w:cs="Arial"/>
          <w:bCs/>
          <w:color w:val="000000" w:themeColor="text1"/>
          <w:kern w:val="36"/>
        </w:rPr>
      </w:pPr>
    </w:p>
    <w:p w14:paraId="0CA26FEB" w14:textId="21B3A52E" w:rsidR="00DC50B2" w:rsidRPr="003D5C0C" w:rsidRDefault="00DC50B2" w:rsidP="006633FA">
      <w:pPr>
        <w:spacing w:line="480" w:lineRule="auto"/>
        <w:ind w:left="360"/>
        <w:jc w:val="both"/>
        <w:rPr>
          <w:rFonts w:ascii="Arial" w:hAnsi="Arial" w:cs="Arial"/>
          <w:i/>
          <w:iCs/>
          <w:color w:val="000000" w:themeColor="text1"/>
        </w:rPr>
      </w:pPr>
      <w:r w:rsidRPr="003D5C0C">
        <w:rPr>
          <w:rFonts w:ascii="Arial" w:hAnsi="Arial" w:cs="Arial"/>
          <w:color w:val="000000" w:themeColor="text1"/>
        </w:rPr>
        <w:t xml:space="preserve">Wilson W </w:t>
      </w:r>
      <w:r w:rsidR="00421542">
        <w:rPr>
          <w:rFonts w:ascii="Arial" w:hAnsi="Arial" w:cs="Arial"/>
          <w:color w:val="000000" w:themeColor="text1"/>
        </w:rPr>
        <w:t>and</w:t>
      </w:r>
      <w:r w:rsidRPr="003D5C0C">
        <w:rPr>
          <w:rFonts w:ascii="Arial" w:hAnsi="Arial" w:cs="Arial"/>
          <w:color w:val="000000" w:themeColor="text1"/>
        </w:rPr>
        <w:t xml:space="preserve"> Barton C (2020) </w:t>
      </w:r>
      <w:r w:rsidRPr="003D5C0C">
        <w:rPr>
          <w:rFonts w:ascii="Arial" w:hAnsi="Arial" w:cs="Arial"/>
          <w:i/>
          <w:iCs/>
          <w:color w:val="000000" w:themeColor="text1"/>
        </w:rPr>
        <w:t>Tackling the under supply of housing in England, Briefing Paper Number 07671</w:t>
      </w:r>
      <w:r w:rsidRPr="003D5C0C">
        <w:rPr>
          <w:rFonts w:ascii="Arial" w:hAnsi="Arial" w:cs="Arial"/>
          <w:color w:val="000000" w:themeColor="text1"/>
        </w:rPr>
        <w:t>, 9</w:t>
      </w:r>
      <w:r w:rsidRPr="003D5C0C">
        <w:rPr>
          <w:rFonts w:ascii="Arial" w:hAnsi="Arial" w:cs="Arial"/>
          <w:color w:val="000000" w:themeColor="text1"/>
          <w:vertAlign w:val="superscript"/>
        </w:rPr>
        <w:t>th</w:t>
      </w:r>
      <w:r w:rsidRPr="003D5C0C">
        <w:rPr>
          <w:rFonts w:ascii="Arial" w:hAnsi="Arial" w:cs="Arial"/>
          <w:color w:val="000000" w:themeColor="text1"/>
        </w:rPr>
        <w:t xml:space="preserve"> March 2020, House of Commons Library, Available at: </w:t>
      </w:r>
      <w:hyperlink r:id="rId24" w:history="1">
        <w:r w:rsidRPr="003D5C0C">
          <w:rPr>
            <w:rStyle w:val="Hyperlink"/>
            <w:rFonts w:ascii="Arial" w:eastAsiaTheme="majorEastAsia" w:hAnsi="Arial" w:cs="Arial"/>
            <w:color w:val="000000" w:themeColor="text1"/>
          </w:rPr>
          <w:t>https://commonslibrary.parliament.uk/research-briefings/cbp-7671/</w:t>
        </w:r>
      </w:hyperlink>
      <w:r w:rsidRPr="003D5C0C">
        <w:rPr>
          <w:rFonts w:ascii="Arial" w:hAnsi="Arial" w:cs="Arial"/>
          <w:color w:val="000000" w:themeColor="text1"/>
        </w:rPr>
        <w:t xml:space="preserve"> (accessed 20 May 2020).</w:t>
      </w:r>
    </w:p>
    <w:p w14:paraId="4EAC4FFB" w14:textId="77777777" w:rsidR="00DC50B2" w:rsidRPr="003D5C0C" w:rsidRDefault="00DC50B2" w:rsidP="006633FA">
      <w:pPr>
        <w:spacing w:line="480" w:lineRule="auto"/>
        <w:jc w:val="both"/>
        <w:rPr>
          <w:rFonts w:ascii="Arial" w:hAnsi="Arial" w:cs="Arial"/>
          <w:color w:val="000000" w:themeColor="text1"/>
        </w:rPr>
      </w:pPr>
    </w:p>
    <w:p w14:paraId="43852035" w14:textId="77777777" w:rsidR="00DC50B2" w:rsidRPr="003D5C0C" w:rsidRDefault="00DC50B2" w:rsidP="006633FA">
      <w:pPr>
        <w:spacing w:line="480" w:lineRule="auto"/>
        <w:jc w:val="both"/>
        <w:rPr>
          <w:rFonts w:ascii="Arial" w:hAnsi="Arial" w:cs="Arial"/>
          <w:color w:val="000000" w:themeColor="text1"/>
        </w:rPr>
      </w:pPr>
    </w:p>
    <w:p w14:paraId="5EA6F33F" w14:textId="77777777" w:rsidR="003F7F54" w:rsidRPr="003D5C0C" w:rsidRDefault="003F7F54" w:rsidP="006633FA">
      <w:pPr>
        <w:spacing w:line="480" w:lineRule="auto"/>
        <w:jc w:val="both"/>
        <w:rPr>
          <w:rFonts w:ascii="Arial" w:hAnsi="Arial" w:cs="Arial"/>
          <w:b/>
          <w:bCs/>
          <w:color w:val="000000" w:themeColor="text1"/>
        </w:rPr>
      </w:pPr>
    </w:p>
    <w:sectPr w:rsidR="003F7F54" w:rsidRPr="003D5C0C">
      <w:footerReference w:type="even" r:id="rId25"/>
      <w:footerReference w:type="default" r:id="rId2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83CB2" w16cex:dateUtc="2020-12-19T08:47:00Z"/>
  <w16cex:commentExtensible w16cex:durableId="2384A1BD" w16cex:dateUtc="2020-12-16T15:09:00Z"/>
  <w16cex:commentExtensible w16cex:durableId="2384A7BF" w16cex:dateUtc="2020-12-16T15:35:00Z"/>
  <w16cex:commentExtensible w16cex:durableId="2384A804" w16cex:dateUtc="2020-12-16T15:36:00Z"/>
  <w16cex:commentExtensible w16cex:durableId="2384A7D8" w16cex:dateUtc="2020-12-16T15:35:00Z"/>
  <w16cex:commentExtensible w16cex:durableId="2384B4D8" w16cex:dateUtc="2020-12-16T16:31:00Z"/>
  <w16cex:commentExtensible w16cex:durableId="2384BCE1" w16cex:dateUtc="2020-12-16T17:05:00Z"/>
  <w16cex:commentExtensible w16cex:durableId="2384C070" w16cex:dateUtc="2020-12-16T17:20:00Z"/>
  <w16cex:commentExtensible w16cex:durableId="2384C0BE" w16cex:dateUtc="2020-12-16T17:22:00Z"/>
  <w16cex:commentExtensible w16cex:durableId="2384C0F0" w16cex:dateUtc="2020-12-16T17:22:00Z"/>
  <w16cex:commentExtensible w16cex:durableId="2384C11B" w16cex:dateUtc="2020-12-16T17:23:00Z"/>
  <w16cex:commentExtensible w16cex:durableId="23876ECF" w16cex:dateUtc="2020-12-18T18: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FF50A" w14:textId="77777777" w:rsidR="00222823" w:rsidRDefault="00222823" w:rsidP="004B475D">
      <w:r>
        <w:separator/>
      </w:r>
    </w:p>
  </w:endnote>
  <w:endnote w:type="continuationSeparator" w:id="0">
    <w:p w14:paraId="281F75FB" w14:textId="77777777" w:rsidR="00222823" w:rsidRDefault="00222823" w:rsidP="004B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378325"/>
      <w:docPartObj>
        <w:docPartGallery w:val="Page Numbers (Bottom of Page)"/>
        <w:docPartUnique/>
      </w:docPartObj>
    </w:sdtPr>
    <w:sdtEndPr>
      <w:rPr>
        <w:rStyle w:val="PageNumber"/>
      </w:rPr>
    </w:sdtEndPr>
    <w:sdtContent>
      <w:p w14:paraId="5F6FA682" w14:textId="37269276" w:rsidR="0034297B" w:rsidRDefault="0034297B" w:rsidP="00DD72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BB91E8" w14:textId="77777777" w:rsidR="0034297B" w:rsidRDefault="0034297B" w:rsidP="00B44A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606353"/>
      <w:docPartObj>
        <w:docPartGallery w:val="Page Numbers (Bottom of Page)"/>
        <w:docPartUnique/>
      </w:docPartObj>
    </w:sdtPr>
    <w:sdtEndPr>
      <w:rPr>
        <w:rStyle w:val="PageNumber"/>
      </w:rPr>
    </w:sdtEndPr>
    <w:sdtContent>
      <w:p w14:paraId="03D587BB" w14:textId="352D02AF" w:rsidR="0034297B" w:rsidRDefault="0034297B" w:rsidP="00DD72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0823AA5" w14:textId="77777777" w:rsidR="0034297B" w:rsidRDefault="0034297B" w:rsidP="00B44A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C592C" w14:textId="77777777" w:rsidR="00222823" w:rsidRDefault="00222823" w:rsidP="004B475D">
      <w:r>
        <w:separator/>
      </w:r>
    </w:p>
  </w:footnote>
  <w:footnote w:type="continuationSeparator" w:id="0">
    <w:p w14:paraId="4D837753" w14:textId="77777777" w:rsidR="00222823" w:rsidRDefault="00222823" w:rsidP="004B475D">
      <w:r>
        <w:continuationSeparator/>
      </w:r>
    </w:p>
  </w:footnote>
  <w:footnote w:id="1">
    <w:p w14:paraId="58529D2B" w14:textId="762402D3" w:rsidR="0034297B" w:rsidRDefault="0034297B">
      <w:pPr>
        <w:pStyle w:val="FootnoteText"/>
      </w:pPr>
      <w:r>
        <w:rPr>
          <w:rStyle w:val="FootnoteReference"/>
        </w:rPr>
        <w:footnoteRef/>
      </w:r>
      <w:r>
        <w:t xml:space="preserve"> Nominal births and deaths are not considered in the regression to avoid multicollinearity as they are highly correlated with population (correlations are respectively 0.90 and 0.97).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6B90"/>
    <w:multiLevelType w:val="hybridMultilevel"/>
    <w:tmpl w:val="9580E396"/>
    <w:lvl w:ilvl="0" w:tplc="727442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3041BF"/>
    <w:multiLevelType w:val="hybridMultilevel"/>
    <w:tmpl w:val="EAB6E906"/>
    <w:lvl w:ilvl="0" w:tplc="946EE2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BB3AE0"/>
    <w:multiLevelType w:val="hybridMultilevel"/>
    <w:tmpl w:val="9580E396"/>
    <w:lvl w:ilvl="0" w:tplc="727442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3A111E"/>
    <w:multiLevelType w:val="hybridMultilevel"/>
    <w:tmpl w:val="0952F5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9848A1"/>
    <w:multiLevelType w:val="hybridMultilevel"/>
    <w:tmpl w:val="CA944586"/>
    <w:lvl w:ilvl="0" w:tplc="DAEE95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633FF1"/>
    <w:multiLevelType w:val="hybridMultilevel"/>
    <w:tmpl w:val="B5DC31D0"/>
    <w:lvl w:ilvl="0" w:tplc="C20CCC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F20983"/>
    <w:multiLevelType w:val="hybridMultilevel"/>
    <w:tmpl w:val="B5DC31D0"/>
    <w:lvl w:ilvl="0" w:tplc="C20CCC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723652"/>
    <w:multiLevelType w:val="hybridMultilevel"/>
    <w:tmpl w:val="2BB40A38"/>
    <w:lvl w:ilvl="0" w:tplc="2C38A5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6D4D49"/>
    <w:multiLevelType w:val="multilevel"/>
    <w:tmpl w:val="7158D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FE2831"/>
    <w:multiLevelType w:val="hybridMultilevel"/>
    <w:tmpl w:val="F3A2226C"/>
    <w:lvl w:ilvl="0" w:tplc="012A21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D573CF"/>
    <w:multiLevelType w:val="hybridMultilevel"/>
    <w:tmpl w:val="DB82BD22"/>
    <w:lvl w:ilvl="0" w:tplc="EF24C5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0"/>
  </w:num>
  <w:num w:numId="5">
    <w:abstractNumId w:val="2"/>
  </w:num>
  <w:num w:numId="6">
    <w:abstractNumId w:val="1"/>
  </w:num>
  <w:num w:numId="7">
    <w:abstractNumId w:val="4"/>
  </w:num>
  <w:num w:numId="8">
    <w:abstractNumId w:val="5"/>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E1"/>
    <w:rsid w:val="000029CB"/>
    <w:rsid w:val="00004B98"/>
    <w:rsid w:val="00011F84"/>
    <w:rsid w:val="00012E61"/>
    <w:rsid w:val="00022FC0"/>
    <w:rsid w:val="0002493C"/>
    <w:rsid w:val="000312F3"/>
    <w:rsid w:val="00044EF5"/>
    <w:rsid w:val="000560C3"/>
    <w:rsid w:val="00062505"/>
    <w:rsid w:val="000625E8"/>
    <w:rsid w:val="00074E7A"/>
    <w:rsid w:val="00077F3C"/>
    <w:rsid w:val="000B175E"/>
    <w:rsid w:val="000B7EF9"/>
    <w:rsid w:val="000C4180"/>
    <w:rsid w:val="000D0749"/>
    <w:rsid w:val="000D41CE"/>
    <w:rsid w:val="000D5AF2"/>
    <w:rsid w:val="000E210F"/>
    <w:rsid w:val="000E3B03"/>
    <w:rsid w:val="000F2302"/>
    <w:rsid w:val="000F413A"/>
    <w:rsid w:val="000F6757"/>
    <w:rsid w:val="00105D01"/>
    <w:rsid w:val="001064E2"/>
    <w:rsid w:val="00115CB2"/>
    <w:rsid w:val="001247C3"/>
    <w:rsid w:val="00124A1D"/>
    <w:rsid w:val="0013360A"/>
    <w:rsid w:val="001434BA"/>
    <w:rsid w:val="00150778"/>
    <w:rsid w:val="00154799"/>
    <w:rsid w:val="00155F03"/>
    <w:rsid w:val="0016381A"/>
    <w:rsid w:val="00165B8D"/>
    <w:rsid w:val="00166284"/>
    <w:rsid w:val="001670BD"/>
    <w:rsid w:val="0017176D"/>
    <w:rsid w:val="001809F2"/>
    <w:rsid w:val="00182A71"/>
    <w:rsid w:val="00183B0F"/>
    <w:rsid w:val="00184CF5"/>
    <w:rsid w:val="00185586"/>
    <w:rsid w:val="00195F93"/>
    <w:rsid w:val="001A17D5"/>
    <w:rsid w:val="001A30E6"/>
    <w:rsid w:val="001A4619"/>
    <w:rsid w:val="001A547E"/>
    <w:rsid w:val="001B411F"/>
    <w:rsid w:val="001C1DDA"/>
    <w:rsid w:val="001C1F1A"/>
    <w:rsid w:val="001C3539"/>
    <w:rsid w:val="001C3F61"/>
    <w:rsid w:val="001C4936"/>
    <w:rsid w:val="001C70F6"/>
    <w:rsid w:val="001E7F20"/>
    <w:rsid w:val="001F01CD"/>
    <w:rsid w:val="001F6EAD"/>
    <w:rsid w:val="00205B94"/>
    <w:rsid w:val="00212B51"/>
    <w:rsid w:val="002206DF"/>
    <w:rsid w:val="00222823"/>
    <w:rsid w:val="002322B5"/>
    <w:rsid w:val="00234DD8"/>
    <w:rsid w:val="0024061A"/>
    <w:rsid w:val="00241D4E"/>
    <w:rsid w:val="002437B5"/>
    <w:rsid w:val="0024432A"/>
    <w:rsid w:val="00245F1A"/>
    <w:rsid w:val="002576CA"/>
    <w:rsid w:val="00257A06"/>
    <w:rsid w:val="00267965"/>
    <w:rsid w:val="00274C70"/>
    <w:rsid w:val="002828E1"/>
    <w:rsid w:val="00290A6D"/>
    <w:rsid w:val="002A4036"/>
    <w:rsid w:val="002A6122"/>
    <w:rsid w:val="002B0F2C"/>
    <w:rsid w:val="002B4C79"/>
    <w:rsid w:val="002B52D5"/>
    <w:rsid w:val="002C2CB8"/>
    <w:rsid w:val="002C437A"/>
    <w:rsid w:val="002E1826"/>
    <w:rsid w:val="002E1950"/>
    <w:rsid w:val="002E3E6C"/>
    <w:rsid w:val="002F0176"/>
    <w:rsid w:val="002F7327"/>
    <w:rsid w:val="00307C79"/>
    <w:rsid w:val="00312533"/>
    <w:rsid w:val="00314547"/>
    <w:rsid w:val="003163A7"/>
    <w:rsid w:val="00322C8D"/>
    <w:rsid w:val="00323AC6"/>
    <w:rsid w:val="00324026"/>
    <w:rsid w:val="003258E6"/>
    <w:rsid w:val="00333770"/>
    <w:rsid w:val="00337C1A"/>
    <w:rsid w:val="0034297B"/>
    <w:rsid w:val="0034446C"/>
    <w:rsid w:val="003573A5"/>
    <w:rsid w:val="00364153"/>
    <w:rsid w:val="00373E2D"/>
    <w:rsid w:val="00374EAF"/>
    <w:rsid w:val="00377C2D"/>
    <w:rsid w:val="00380360"/>
    <w:rsid w:val="00390808"/>
    <w:rsid w:val="00394936"/>
    <w:rsid w:val="003A0A7C"/>
    <w:rsid w:val="003A1A91"/>
    <w:rsid w:val="003A38E1"/>
    <w:rsid w:val="003B628F"/>
    <w:rsid w:val="003B62F0"/>
    <w:rsid w:val="003C2959"/>
    <w:rsid w:val="003C571B"/>
    <w:rsid w:val="003D5C0C"/>
    <w:rsid w:val="003D66E8"/>
    <w:rsid w:val="003E49DF"/>
    <w:rsid w:val="003F0813"/>
    <w:rsid w:val="003F1778"/>
    <w:rsid w:val="003F7395"/>
    <w:rsid w:val="003F741D"/>
    <w:rsid w:val="003F7F54"/>
    <w:rsid w:val="0040791F"/>
    <w:rsid w:val="0042076C"/>
    <w:rsid w:val="00420B15"/>
    <w:rsid w:val="00421542"/>
    <w:rsid w:val="00422DB5"/>
    <w:rsid w:val="00424E2F"/>
    <w:rsid w:val="0042746B"/>
    <w:rsid w:val="00435208"/>
    <w:rsid w:val="004402BF"/>
    <w:rsid w:val="00446D84"/>
    <w:rsid w:val="004555E8"/>
    <w:rsid w:val="004612E1"/>
    <w:rsid w:val="00462086"/>
    <w:rsid w:val="004640A0"/>
    <w:rsid w:val="00466567"/>
    <w:rsid w:val="004668CF"/>
    <w:rsid w:val="00471463"/>
    <w:rsid w:val="004747EC"/>
    <w:rsid w:val="00475B6E"/>
    <w:rsid w:val="00477BAB"/>
    <w:rsid w:val="00477C58"/>
    <w:rsid w:val="0048297F"/>
    <w:rsid w:val="0049194E"/>
    <w:rsid w:val="00495001"/>
    <w:rsid w:val="004A2292"/>
    <w:rsid w:val="004A3423"/>
    <w:rsid w:val="004A6693"/>
    <w:rsid w:val="004B475D"/>
    <w:rsid w:val="004C44A7"/>
    <w:rsid w:val="004C5D30"/>
    <w:rsid w:val="004D751C"/>
    <w:rsid w:val="004E19D6"/>
    <w:rsid w:val="004E1B0F"/>
    <w:rsid w:val="004E5AA7"/>
    <w:rsid w:val="004F5DE4"/>
    <w:rsid w:val="004F735C"/>
    <w:rsid w:val="0050091C"/>
    <w:rsid w:val="0051102D"/>
    <w:rsid w:val="005124CF"/>
    <w:rsid w:val="00524FB4"/>
    <w:rsid w:val="0052777B"/>
    <w:rsid w:val="005335F0"/>
    <w:rsid w:val="00533B1C"/>
    <w:rsid w:val="0054094A"/>
    <w:rsid w:val="00540973"/>
    <w:rsid w:val="005428CA"/>
    <w:rsid w:val="005526F6"/>
    <w:rsid w:val="00557F15"/>
    <w:rsid w:val="00572EC4"/>
    <w:rsid w:val="0059122A"/>
    <w:rsid w:val="00592C1F"/>
    <w:rsid w:val="00596FC8"/>
    <w:rsid w:val="005A3BEB"/>
    <w:rsid w:val="005A63E7"/>
    <w:rsid w:val="005B2469"/>
    <w:rsid w:val="005C424B"/>
    <w:rsid w:val="005D0C7F"/>
    <w:rsid w:val="005D72DE"/>
    <w:rsid w:val="005E5AD3"/>
    <w:rsid w:val="005F2F24"/>
    <w:rsid w:val="005F3ADA"/>
    <w:rsid w:val="00600BA1"/>
    <w:rsid w:val="00602551"/>
    <w:rsid w:val="00602907"/>
    <w:rsid w:val="0061038C"/>
    <w:rsid w:val="0061108D"/>
    <w:rsid w:val="00611B00"/>
    <w:rsid w:val="006138D3"/>
    <w:rsid w:val="006146DA"/>
    <w:rsid w:val="00615927"/>
    <w:rsid w:val="006252A4"/>
    <w:rsid w:val="0064074D"/>
    <w:rsid w:val="00652DE6"/>
    <w:rsid w:val="00657ED7"/>
    <w:rsid w:val="006633FA"/>
    <w:rsid w:val="00663C81"/>
    <w:rsid w:val="00670BFC"/>
    <w:rsid w:val="00691518"/>
    <w:rsid w:val="00696203"/>
    <w:rsid w:val="006A050A"/>
    <w:rsid w:val="006A09A7"/>
    <w:rsid w:val="006A24F5"/>
    <w:rsid w:val="006A2DE6"/>
    <w:rsid w:val="006B7BCD"/>
    <w:rsid w:val="006C0BA3"/>
    <w:rsid w:val="006C23D4"/>
    <w:rsid w:val="006C3BF8"/>
    <w:rsid w:val="006C3CC2"/>
    <w:rsid w:val="006D25F6"/>
    <w:rsid w:val="006D639D"/>
    <w:rsid w:val="006E30F8"/>
    <w:rsid w:val="006E335E"/>
    <w:rsid w:val="006E43E2"/>
    <w:rsid w:val="006E6D79"/>
    <w:rsid w:val="006F0A57"/>
    <w:rsid w:val="00703F07"/>
    <w:rsid w:val="00712B96"/>
    <w:rsid w:val="00713024"/>
    <w:rsid w:val="00730D1B"/>
    <w:rsid w:val="007330F1"/>
    <w:rsid w:val="00735947"/>
    <w:rsid w:val="00743764"/>
    <w:rsid w:val="0074496F"/>
    <w:rsid w:val="00754444"/>
    <w:rsid w:val="0075456B"/>
    <w:rsid w:val="00756DB0"/>
    <w:rsid w:val="00756F5C"/>
    <w:rsid w:val="00761B58"/>
    <w:rsid w:val="007644B2"/>
    <w:rsid w:val="00766F05"/>
    <w:rsid w:val="00767A18"/>
    <w:rsid w:val="0077086B"/>
    <w:rsid w:val="00770BFD"/>
    <w:rsid w:val="00775910"/>
    <w:rsid w:val="00776268"/>
    <w:rsid w:val="0077674C"/>
    <w:rsid w:val="00780B81"/>
    <w:rsid w:val="00781009"/>
    <w:rsid w:val="007908B6"/>
    <w:rsid w:val="00790DB2"/>
    <w:rsid w:val="0079145E"/>
    <w:rsid w:val="00794A93"/>
    <w:rsid w:val="00795044"/>
    <w:rsid w:val="007A334C"/>
    <w:rsid w:val="007A3CAB"/>
    <w:rsid w:val="007A7648"/>
    <w:rsid w:val="007A7C22"/>
    <w:rsid w:val="007C1F75"/>
    <w:rsid w:val="007C37FC"/>
    <w:rsid w:val="007C3DC7"/>
    <w:rsid w:val="007D1ADC"/>
    <w:rsid w:val="007D1E4E"/>
    <w:rsid w:val="007E414E"/>
    <w:rsid w:val="007E493B"/>
    <w:rsid w:val="007E6973"/>
    <w:rsid w:val="007F1A41"/>
    <w:rsid w:val="007F4CDF"/>
    <w:rsid w:val="00802E7C"/>
    <w:rsid w:val="00805099"/>
    <w:rsid w:val="00810D50"/>
    <w:rsid w:val="00812E3E"/>
    <w:rsid w:val="0081325C"/>
    <w:rsid w:val="008159EA"/>
    <w:rsid w:val="00815EDD"/>
    <w:rsid w:val="008239D3"/>
    <w:rsid w:val="008241C7"/>
    <w:rsid w:val="008433FF"/>
    <w:rsid w:val="00847972"/>
    <w:rsid w:val="00852EBE"/>
    <w:rsid w:val="0088648E"/>
    <w:rsid w:val="00895DF8"/>
    <w:rsid w:val="008A2ACC"/>
    <w:rsid w:val="008A407A"/>
    <w:rsid w:val="008B3DF1"/>
    <w:rsid w:val="008C2424"/>
    <w:rsid w:val="008C4D3C"/>
    <w:rsid w:val="008C4E47"/>
    <w:rsid w:val="008C5E34"/>
    <w:rsid w:val="008C60AA"/>
    <w:rsid w:val="008D3922"/>
    <w:rsid w:val="008D60E7"/>
    <w:rsid w:val="008E68DC"/>
    <w:rsid w:val="008F0D9C"/>
    <w:rsid w:val="008F271E"/>
    <w:rsid w:val="008F4A1C"/>
    <w:rsid w:val="00910921"/>
    <w:rsid w:val="009116F1"/>
    <w:rsid w:val="009169FF"/>
    <w:rsid w:val="0092183E"/>
    <w:rsid w:val="0092449D"/>
    <w:rsid w:val="00927A48"/>
    <w:rsid w:val="00930610"/>
    <w:rsid w:val="00936F21"/>
    <w:rsid w:val="009375D9"/>
    <w:rsid w:val="00943BF0"/>
    <w:rsid w:val="00945872"/>
    <w:rsid w:val="0095080D"/>
    <w:rsid w:val="009561BE"/>
    <w:rsid w:val="00961A82"/>
    <w:rsid w:val="00963E45"/>
    <w:rsid w:val="00965260"/>
    <w:rsid w:val="00973C9C"/>
    <w:rsid w:val="00977D9F"/>
    <w:rsid w:val="00987355"/>
    <w:rsid w:val="00987742"/>
    <w:rsid w:val="009909BC"/>
    <w:rsid w:val="00992013"/>
    <w:rsid w:val="009934DF"/>
    <w:rsid w:val="009958F5"/>
    <w:rsid w:val="009A1B97"/>
    <w:rsid w:val="009A3B58"/>
    <w:rsid w:val="009A480C"/>
    <w:rsid w:val="009A5F73"/>
    <w:rsid w:val="009B6ADB"/>
    <w:rsid w:val="009B7D50"/>
    <w:rsid w:val="009C1B8E"/>
    <w:rsid w:val="009C4684"/>
    <w:rsid w:val="009E59B6"/>
    <w:rsid w:val="009E640A"/>
    <w:rsid w:val="009E7261"/>
    <w:rsid w:val="009F0E26"/>
    <w:rsid w:val="009F2B5C"/>
    <w:rsid w:val="00A04148"/>
    <w:rsid w:val="00A062EA"/>
    <w:rsid w:val="00A07E3A"/>
    <w:rsid w:val="00A12891"/>
    <w:rsid w:val="00A33BE1"/>
    <w:rsid w:val="00A33D9B"/>
    <w:rsid w:val="00A35C72"/>
    <w:rsid w:val="00A424F8"/>
    <w:rsid w:val="00A47315"/>
    <w:rsid w:val="00A5110D"/>
    <w:rsid w:val="00A6636D"/>
    <w:rsid w:val="00A668E1"/>
    <w:rsid w:val="00A6696A"/>
    <w:rsid w:val="00A66E57"/>
    <w:rsid w:val="00A82B86"/>
    <w:rsid w:val="00A92748"/>
    <w:rsid w:val="00A93F4E"/>
    <w:rsid w:val="00AA1DB9"/>
    <w:rsid w:val="00AA3D49"/>
    <w:rsid w:val="00AC0492"/>
    <w:rsid w:val="00AC133E"/>
    <w:rsid w:val="00AC2816"/>
    <w:rsid w:val="00AC76D1"/>
    <w:rsid w:val="00AD1049"/>
    <w:rsid w:val="00AD2277"/>
    <w:rsid w:val="00AD5E69"/>
    <w:rsid w:val="00AE503F"/>
    <w:rsid w:val="00AE6FF6"/>
    <w:rsid w:val="00AF3558"/>
    <w:rsid w:val="00AF46A9"/>
    <w:rsid w:val="00AF48F0"/>
    <w:rsid w:val="00AF6F10"/>
    <w:rsid w:val="00AF7EE8"/>
    <w:rsid w:val="00B049A9"/>
    <w:rsid w:val="00B05905"/>
    <w:rsid w:val="00B10104"/>
    <w:rsid w:val="00B1249A"/>
    <w:rsid w:val="00B138CD"/>
    <w:rsid w:val="00B23386"/>
    <w:rsid w:val="00B32089"/>
    <w:rsid w:val="00B33EB9"/>
    <w:rsid w:val="00B36931"/>
    <w:rsid w:val="00B44A78"/>
    <w:rsid w:val="00B44D54"/>
    <w:rsid w:val="00B56E15"/>
    <w:rsid w:val="00B574F7"/>
    <w:rsid w:val="00B658D2"/>
    <w:rsid w:val="00B66B2A"/>
    <w:rsid w:val="00B670FD"/>
    <w:rsid w:val="00B710E0"/>
    <w:rsid w:val="00B86013"/>
    <w:rsid w:val="00B86BC7"/>
    <w:rsid w:val="00B87852"/>
    <w:rsid w:val="00BB1EB7"/>
    <w:rsid w:val="00BC62BE"/>
    <w:rsid w:val="00BD0847"/>
    <w:rsid w:val="00BD0D35"/>
    <w:rsid w:val="00BE30E8"/>
    <w:rsid w:val="00BF7047"/>
    <w:rsid w:val="00C03214"/>
    <w:rsid w:val="00C1550A"/>
    <w:rsid w:val="00C21610"/>
    <w:rsid w:val="00C21857"/>
    <w:rsid w:val="00C22BB6"/>
    <w:rsid w:val="00C339A9"/>
    <w:rsid w:val="00C34ECB"/>
    <w:rsid w:val="00C35167"/>
    <w:rsid w:val="00C40EBB"/>
    <w:rsid w:val="00C415F0"/>
    <w:rsid w:val="00C4287C"/>
    <w:rsid w:val="00C513B0"/>
    <w:rsid w:val="00C61D65"/>
    <w:rsid w:val="00C64A81"/>
    <w:rsid w:val="00C66993"/>
    <w:rsid w:val="00C77ABA"/>
    <w:rsid w:val="00C80A28"/>
    <w:rsid w:val="00C860EB"/>
    <w:rsid w:val="00C86573"/>
    <w:rsid w:val="00CA0260"/>
    <w:rsid w:val="00CA0808"/>
    <w:rsid w:val="00CB3C37"/>
    <w:rsid w:val="00CB3E39"/>
    <w:rsid w:val="00CC42D2"/>
    <w:rsid w:val="00CE308B"/>
    <w:rsid w:val="00CF5692"/>
    <w:rsid w:val="00CF73C3"/>
    <w:rsid w:val="00D01D22"/>
    <w:rsid w:val="00D031FD"/>
    <w:rsid w:val="00D066E6"/>
    <w:rsid w:val="00D1140F"/>
    <w:rsid w:val="00D14ECA"/>
    <w:rsid w:val="00D2372B"/>
    <w:rsid w:val="00D26641"/>
    <w:rsid w:val="00D300B7"/>
    <w:rsid w:val="00D3344D"/>
    <w:rsid w:val="00D3474B"/>
    <w:rsid w:val="00D3545E"/>
    <w:rsid w:val="00D42146"/>
    <w:rsid w:val="00D45D6E"/>
    <w:rsid w:val="00D56254"/>
    <w:rsid w:val="00D70687"/>
    <w:rsid w:val="00D7070E"/>
    <w:rsid w:val="00D737AC"/>
    <w:rsid w:val="00D80A46"/>
    <w:rsid w:val="00D84E1E"/>
    <w:rsid w:val="00D9208D"/>
    <w:rsid w:val="00D95D5D"/>
    <w:rsid w:val="00D96E9B"/>
    <w:rsid w:val="00DA0E9C"/>
    <w:rsid w:val="00DA3494"/>
    <w:rsid w:val="00DA5400"/>
    <w:rsid w:val="00DB6D53"/>
    <w:rsid w:val="00DC0528"/>
    <w:rsid w:val="00DC1713"/>
    <w:rsid w:val="00DC2E51"/>
    <w:rsid w:val="00DC438F"/>
    <w:rsid w:val="00DC4665"/>
    <w:rsid w:val="00DC4E09"/>
    <w:rsid w:val="00DC50B2"/>
    <w:rsid w:val="00DC61D2"/>
    <w:rsid w:val="00DC7930"/>
    <w:rsid w:val="00DD49F7"/>
    <w:rsid w:val="00DD521E"/>
    <w:rsid w:val="00DD727E"/>
    <w:rsid w:val="00DE2E60"/>
    <w:rsid w:val="00DF13F2"/>
    <w:rsid w:val="00DF3A93"/>
    <w:rsid w:val="00DF6E8E"/>
    <w:rsid w:val="00E111D3"/>
    <w:rsid w:val="00E21182"/>
    <w:rsid w:val="00E36308"/>
    <w:rsid w:val="00E4020A"/>
    <w:rsid w:val="00E4581F"/>
    <w:rsid w:val="00E46154"/>
    <w:rsid w:val="00E57AC8"/>
    <w:rsid w:val="00E57FE0"/>
    <w:rsid w:val="00E63740"/>
    <w:rsid w:val="00E63C1C"/>
    <w:rsid w:val="00E67217"/>
    <w:rsid w:val="00E70C13"/>
    <w:rsid w:val="00E7147D"/>
    <w:rsid w:val="00E746F1"/>
    <w:rsid w:val="00E84C87"/>
    <w:rsid w:val="00E85342"/>
    <w:rsid w:val="00EA0194"/>
    <w:rsid w:val="00EA496A"/>
    <w:rsid w:val="00EB2629"/>
    <w:rsid w:val="00EB33A7"/>
    <w:rsid w:val="00EB3D38"/>
    <w:rsid w:val="00EB3E8E"/>
    <w:rsid w:val="00EC4CCE"/>
    <w:rsid w:val="00EC7CEB"/>
    <w:rsid w:val="00ED16CE"/>
    <w:rsid w:val="00ED3262"/>
    <w:rsid w:val="00EE1B46"/>
    <w:rsid w:val="00EE2643"/>
    <w:rsid w:val="00EF01D4"/>
    <w:rsid w:val="00EF1C3B"/>
    <w:rsid w:val="00EF5914"/>
    <w:rsid w:val="00EF5C53"/>
    <w:rsid w:val="00EF78CB"/>
    <w:rsid w:val="00F10B5D"/>
    <w:rsid w:val="00F14F34"/>
    <w:rsid w:val="00F22993"/>
    <w:rsid w:val="00F27D25"/>
    <w:rsid w:val="00F309EE"/>
    <w:rsid w:val="00F31A53"/>
    <w:rsid w:val="00F411C1"/>
    <w:rsid w:val="00F546A9"/>
    <w:rsid w:val="00F5579E"/>
    <w:rsid w:val="00F60686"/>
    <w:rsid w:val="00F61057"/>
    <w:rsid w:val="00F62BC1"/>
    <w:rsid w:val="00F63F6F"/>
    <w:rsid w:val="00F762AE"/>
    <w:rsid w:val="00F85125"/>
    <w:rsid w:val="00F86D01"/>
    <w:rsid w:val="00F96F0D"/>
    <w:rsid w:val="00FB3254"/>
    <w:rsid w:val="00FB41C2"/>
    <w:rsid w:val="00FB75D9"/>
    <w:rsid w:val="00FB76E5"/>
    <w:rsid w:val="00FD11C4"/>
    <w:rsid w:val="00FD2333"/>
    <w:rsid w:val="00FD653A"/>
    <w:rsid w:val="00FE1328"/>
    <w:rsid w:val="00FF4071"/>
    <w:rsid w:val="00FF543E"/>
    <w:rsid w:val="00FF5AF4"/>
    <w:rsid w:val="00FF7B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E88D"/>
  <w15:chartTrackingRefBased/>
  <w15:docId w15:val="{2537490E-1CD0-254F-9ED4-2673EEF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95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958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C28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91C"/>
    <w:rPr>
      <w:color w:val="0563C1" w:themeColor="hyperlink"/>
      <w:u w:val="single"/>
    </w:rPr>
  </w:style>
  <w:style w:type="character" w:styleId="UnresolvedMention">
    <w:name w:val="Unresolved Mention"/>
    <w:basedOn w:val="DefaultParagraphFont"/>
    <w:uiPriority w:val="99"/>
    <w:semiHidden/>
    <w:unhideWhenUsed/>
    <w:rsid w:val="0050091C"/>
    <w:rPr>
      <w:color w:val="605E5C"/>
      <w:shd w:val="clear" w:color="auto" w:fill="E1DFDD"/>
    </w:rPr>
  </w:style>
  <w:style w:type="paragraph" w:styleId="ListParagraph">
    <w:name w:val="List Paragraph"/>
    <w:basedOn w:val="Normal"/>
    <w:uiPriority w:val="34"/>
    <w:qFormat/>
    <w:rsid w:val="0024061A"/>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24061A"/>
    <w:rPr>
      <w:sz w:val="16"/>
      <w:szCs w:val="16"/>
    </w:rPr>
  </w:style>
  <w:style w:type="paragraph" w:styleId="CommentText">
    <w:name w:val="annotation text"/>
    <w:basedOn w:val="Normal"/>
    <w:link w:val="CommentTextChar"/>
    <w:uiPriority w:val="99"/>
    <w:semiHidden/>
    <w:unhideWhenUsed/>
    <w:rsid w:val="0024061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4061A"/>
    <w:rPr>
      <w:rFonts w:eastAsiaTheme="minorHAnsi"/>
      <w:sz w:val="20"/>
      <w:szCs w:val="20"/>
      <w:lang w:eastAsia="en-US"/>
    </w:rPr>
  </w:style>
  <w:style w:type="character" w:customStyle="1" w:styleId="Heading1Char">
    <w:name w:val="Heading 1 Char"/>
    <w:basedOn w:val="DefaultParagraphFont"/>
    <w:link w:val="Heading1"/>
    <w:uiPriority w:val="9"/>
    <w:rsid w:val="009958F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B475D"/>
    <w:rPr>
      <w:rFonts w:eastAsiaTheme="minorEastAsia"/>
      <w:sz w:val="18"/>
      <w:szCs w:val="18"/>
    </w:rPr>
  </w:style>
  <w:style w:type="character" w:customStyle="1" w:styleId="BalloonTextChar">
    <w:name w:val="Balloon Text Char"/>
    <w:basedOn w:val="DefaultParagraphFont"/>
    <w:link w:val="BalloonText"/>
    <w:uiPriority w:val="99"/>
    <w:semiHidden/>
    <w:rsid w:val="004B475D"/>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4B475D"/>
    <w:rPr>
      <w:sz w:val="20"/>
      <w:szCs w:val="20"/>
    </w:rPr>
  </w:style>
  <w:style w:type="character" w:customStyle="1" w:styleId="FootnoteTextChar">
    <w:name w:val="Footnote Text Char"/>
    <w:basedOn w:val="DefaultParagraphFont"/>
    <w:link w:val="FootnoteText"/>
    <w:uiPriority w:val="99"/>
    <w:semiHidden/>
    <w:rsid w:val="004B47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B475D"/>
    <w:rPr>
      <w:vertAlign w:val="superscript"/>
    </w:rPr>
  </w:style>
  <w:style w:type="paragraph" w:styleId="NoSpacing">
    <w:name w:val="No Spacing"/>
    <w:uiPriority w:val="1"/>
    <w:qFormat/>
    <w:rsid w:val="004B475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E1826"/>
    <w:pPr>
      <w:spacing w:after="0"/>
    </w:pPr>
    <w:rPr>
      <w:rFonts w:eastAsiaTheme="minorEastAsia"/>
      <w:b/>
      <w:bCs/>
      <w:lang w:eastAsia="en-GB"/>
    </w:rPr>
  </w:style>
  <w:style w:type="character" w:customStyle="1" w:styleId="CommentSubjectChar">
    <w:name w:val="Comment Subject Char"/>
    <w:basedOn w:val="CommentTextChar"/>
    <w:link w:val="CommentSubject"/>
    <w:uiPriority w:val="99"/>
    <w:semiHidden/>
    <w:rsid w:val="002E1826"/>
    <w:rPr>
      <w:rFonts w:eastAsiaTheme="minorHAnsi"/>
      <w:b/>
      <w:bCs/>
      <w:sz w:val="20"/>
      <w:szCs w:val="20"/>
      <w:lang w:eastAsia="en-US"/>
    </w:rPr>
  </w:style>
  <w:style w:type="paragraph" w:customStyle="1" w:styleId="Default">
    <w:name w:val="Default"/>
    <w:rsid w:val="00337C1A"/>
    <w:pPr>
      <w:autoSpaceDE w:val="0"/>
      <w:autoSpaceDN w:val="0"/>
      <w:adjustRightInd w:val="0"/>
    </w:pPr>
    <w:rPr>
      <w:rFonts w:ascii="Verdana" w:hAnsi="Verdana" w:cs="Verdana"/>
      <w:color w:val="000000"/>
      <w:sz w:val="24"/>
      <w:szCs w:val="24"/>
    </w:rPr>
  </w:style>
  <w:style w:type="paragraph" w:customStyle="1" w:styleId="CaptionText">
    <w:name w:val="Caption Text"/>
    <w:basedOn w:val="Normal"/>
    <w:qFormat/>
    <w:rsid w:val="00DA5400"/>
    <w:rPr>
      <w:rFonts w:ascii="Arial" w:eastAsiaTheme="minorEastAsia" w:hAnsi="Arial" w:cstheme="minorBidi"/>
      <w:i/>
      <w:szCs w:val="22"/>
      <w:lang w:val="en-US"/>
    </w:rPr>
  </w:style>
  <w:style w:type="character" w:styleId="SubtleEmphasis">
    <w:name w:val="Subtle Emphasis"/>
    <w:uiPriority w:val="19"/>
    <w:qFormat/>
    <w:rsid w:val="00DB6D53"/>
    <w:rPr>
      <w:i/>
      <w:iCs/>
      <w:color w:val="404040"/>
    </w:rPr>
  </w:style>
  <w:style w:type="paragraph" w:styleId="NormalWeb">
    <w:name w:val="Normal (Web)"/>
    <w:basedOn w:val="Normal"/>
    <w:uiPriority w:val="99"/>
    <w:unhideWhenUsed/>
    <w:rsid w:val="001809F2"/>
    <w:pPr>
      <w:spacing w:before="100" w:beforeAutospacing="1" w:after="100" w:afterAutospacing="1"/>
    </w:pPr>
  </w:style>
  <w:style w:type="character" w:styleId="Strong">
    <w:name w:val="Strong"/>
    <w:basedOn w:val="DefaultParagraphFont"/>
    <w:uiPriority w:val="22"/>
    <w:qFormat/>
    <w:rsid w:val="001809F2"/>
    <w:rPr>
      <w:b/>
      <w:bCs/>
    </w:rPr>
  </w:style>
  <w:style w:type="character" w:customStyle="1" w:styleId="Heading2Char">
    <w:name w:val="Heading 2 Char"/>
    <w:basedOn w:val="DefaultParagraphFont"/>
    <w:link w:val="Heading2"/>
    <w:uiPriority w:val="9"/>
    <w:semiHidden/>
    <w:rsid w:val="00AC2816"/>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F86D01"/>
    <w:pPr>
      <w:spacing w:after="200"/>
    </w:pPr>
    <w:rPr>
      <w:rFonts w:asciiTheme="minorHAnsi" w:eastAsiaTheme="minorEastAsia" w:hAnsiTheme="minorHAnsi" w:cstheme="minorBidi"/>
      <w:i/>
      <w:iCs/>
      <w:color w:val="44546A" w:themeColor="text2"/>
      <w:sz w:val="18"/>
      <w:szCs w:val="18"/>
    </w:rPr>
  </w:style>
  <w:style w:type="table" w:styleId="TableGrid">
    <w:name w:val="Table Grid"/>
    <w:basedOn w:val="TableNormal"/>
    <w:uiPriority w:val="39"/>
    <w:rsid w:val="00D14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B7BCD"/>
    <w:rPr>
      <w:color w:val="808080"/>
    </w:rPr>
  </w:style>
  <w:style w:type="character" w:styleId="FollowedHyperlink">
    <w:name w:val="FollowedHyperlink"/>
    <w:basedOn w:val="DefaultParagraphFont"/>
    <w:uiPriority w:val="99"/>
    <w:semiHidden/>
    <w:unhideWhenUsed/>
    <w:rsid w:val="00DF3A93"/>
    <w:rPr>
      <w:color w:val="954F72" w:themeColor="followedHyperlink"/>
      <w:u w:val="single"/>
    </w:rPr>
  </w:style>
  <w:style w:type="character" w:customStyle="1" w:styleId="apple-converted-space">
    <w:name w:val="apple-converted-space"/>
    <w:basedOn w:val="DefaultParagraphFont"/>
    <w:rsid w:val="006A09A7"/>
  </w:style>
  <w:style w:type="character" w:customStyle="1" w:styleId="nlmpub-id">
    <w:name w:val="nlm_pub-id"/>
    <w:basedOn w:val="DefaultParagraphFont"/>
    <w:rsid w:val="006A09A7"/>
  </w:style>
  <w:style w:type="paragraph" w:styleId="Revision">
    <w:name w:val="Revision"/>
    <w:hidden/>
    <w:uiPriority w:val="99"/>
    <w:semiHidden/>
    <w:rsid w:val="00C40EBB"/>
  </w:style>
  <w:style w:type="character" w:customStyle="1" w:styleId="highlight">
    <w:name w:val="highlight"/>
    <w:basedOn w:val="DefaultParagraphFont"/>
    <w:rsid w:val="00696203"/>
  </w:style>
  <w:style w:type="paragraph" w:styleId="Header">
    <w:name w:val="header"/>
    <w:basedOn w:val="Normal"/>
    <w:link w:val="HeaderChar"/>
    <w:uiPriority w:val="99"/>
    <w:unhideWhenUsed/>
    <w:rsid w:val="00B44A78"/>
    <w:pPr>
      <w:tabs>
        <w:tab w:val="center" w:pos="4513"/>
        <w:tab w:val="right" w:pos="9026"/>
      </w:tabs>
    </w:pPr>
  </w:style>
  <w:style w:type="character" w:customStyle="1" w:styleId="HeaderChar">
    <w:name w:val="Header Char"/>
    <w:basedOn w:val="DefaultParagraphFont"/>
    <w:link w:val="Header"/>
    <w:uiPriority w:val="99"/>
    <w:rsid w:val="00B44A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4A78"/>
    <w:pPr>
      <w:tabs>
        <w:tab w:val="center" w:pos="4513"/>
        <w:tab w:val="right" w:pos="9026"/>
      </w:tabs>
    </w:pPr>
  </w:style>
  <w:style w:type="character" w:customStyle="1" w:styleId="FooterChar">
    <w:name w:val="Footer Char"/>
    <w:basedOn w:val="DefaultParagraphFont"/>
    <w:link w:val="Footer"/>
    <w:uiPriority w:val="99"/>
    <w:rsid w:val="00B44A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4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4313">
      <w:bodyDiv w:val="1"/>
      <w:marLeft w:val="0"/>
      <w:marRight w:val="0"/>
      <w:marTop w:val="0"/>
      <w:marBottom w:val="0"/>
      <w:divBdr>
        <w:top w:val="none" w:sz="0" w:space="0" w:color="auto"/>
        <w:left w:val="none" w:sz="0" w:space="0" w:color="auto"/>
        <w:bottom w:val="none" w:sz="0" w:space="0" w:color="auto"/>
        <w:right w:val="none" w:sz="0" w:space="0" w:color="auto"/>
      </w:divBdr>
    </w:div>
    <w:div w:id="264383420">
      <w:bodyDiv w:val="1"/>
      <w:marLeft w:val="0"/>
      <w:marRight w:val="0"/>
      <w:marTop w:val="0"/>
      <w:marBottom w:val="0"/>
      <w:divBdr>
        <w:top w:val="none" w:sz="0" w:space="0" w:color="auto"/>
        <w:left w:val="none" w:sz="0" w:space="0" w:color="auto"/>
        <w:bottom w:val="none" w:sz="0" w:space="0" w:color="auto"/>
        <w:right w:val="none" w:sz="0" w:space="0" w:color="auto"/>
      </w:divBdr>
    </w:div>
    <w:div w:id="577247298">
      <w:bodyDiv w:val="1"/>
      <w:marLeft w:val="0"/>
      <w:marRight w:val="0"/>
      <w:marTop w:val="0"/>
      <w:marBottom w:val="0"/>
      <w:divBdr>
        <w:top w:val="none" w:sz="0" w:space="0" w:color="auto"/>
        <w:left w:val="none" w:sz="0" w:space="0" w:color="auto"/>
        <w:bottom w:val="none" w:sz="0" w:space="0" w:color="auto"/>
        <w:right w:val="none" w:sz="0" w:space="0" w:color="auto"/>
      </w:divBdr>
    </w:div>
    <w:div w:id="1093939160">
      <w:bodyDiv w:val="1"/>
      <w:marLeft w:val="0"/>
      <w:marRight w:val="0"/>
      <w:marTop w:val="0"/>
      <w:marBottom w:val="0"/>
      <w:divBdr>
        <w:top w:val="none" w:sz="0" w:space="0" w:color="auto"/>
        <w:left w:val="none" w:sz="0" w:space="0" w:color="auto"/>
        <w:bottom w:val="none" w:sz="0" w:space="0" w:color="auto"/>
        <w:right w:val="none" w:sz="0" w:space="0" w:color="auto"/>
      </w:divBdr>
    </w:div>
    <w:div w:id="1166286466">
      <w:bodyDiv w:val="1"/>
      <w:marLeft w:val="0"/>
      <w:marRight w:val="0"/>
      <w:marTop w:val="0"/>
      <w:marBottom w:val="0"/>
      <w:divBdr>
        <w:top w:val="none" w:sz="0" w:space="0" w:color="auto"/>
        <w:left w:val="none" w:sz="0" w:space="0" w:color="auto"/>
        <w:bottom w:val="none" w:sz="0" w:space="0" w:color="auto"/>
        <w:right w:val="none" w:sz="0" w:space="0" w:color="auto"/>
      </w:divBdr>
    </w:div>
    <w:div w:id="11681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som-ewell.gov.uk/sites/default/files/documents/residents/planning/planning-policy/Epsom%20and%20Ewell%20Green%20Belt%20Study%20Final%20version%20May%202017.pdf" TargetMode="External"/><Relationship Id="rId13" Type="http://schemas.openxmlformats.org/officeDocument/2006/relationships/hyperlink" Target="http://citeseerx.ist.psu.edu/viewdoc/download?doi=10.1.1.406.2324&amp;rep=rep1&amp;type=pdf" TargetMode="External"/><Relationship Id="rId18" Type="http://schemas.openxmlformats.org/officeDocument/2006/relationships/hyperlink" Target="https://assets.publishing.service.gov.uk/government/uploads/system/uploads/attachment_data/file/927157/200805_Changes_to_the_current_planning_system.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ons.gov.uk/peoplepopulationandcommunity/populationandmigration/populationprojections/articles/householdprojectionsforenglandcomparisonswithothersources/2001to2018" TargetMode="External"/><Relationship Id="rId7" Type="http://schemas.openxmlformats.org/officeDocument/2006/relationships/endnotes" Target="endnotes.xml"/><Relationship Id="rId12" Type="http://schemas.openxmlformats.org/officeDocument/2006/relationships/hyperlink" Target="https://lichfields.uk/blog/2019/october/10/what-impact-is-the-standard-method-for-assessing-local-housing-need-having-on-housing-requirements-in-local-plans/" TargetMode="External"/><Relationship Id="rId17" Type="http://schemas.openxmlformats.org/officeDocument/2006/relationships/hyperlink" Target="https://www.gov.uk/guidance/housing-and-economic-development-needs-assessments" TargetMode="External"/><Relationship Id="rId25"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papers.ssrn.com/sol3/papers.cfm?abstract_id=3551455" TargetMode="External"/><Relationship Id="rId20" Type="http://schemas.openxmlformats.org/officeDocument/2006/relationships/hyperlink" Target="https://www.ons.gov.uk/peoplepopulationandcommunity/populationandmigration/populationprojections/bulletins/2016basedhouseholdprojectionsinengland/2016basedhouseholdprojectionsineng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spectmagazine.co.uk/politics/we-arent-building-enough-houses-and-were-building-them-in-the-wrong-places" TargetMode="External"/><Relationship Id="rId24" Type="http://schemas.openxmlformats.org/officeDocument/2006/relationships/hyperlink" Target="https://commonslibrary.parliament.uk/research-briefings/cbp-7671/" TargetMode="External"/><Relationship Id="rId5" Type="http://schemas.openxmlformats.org/officeDocument/2006/relationships/webSettings" Target="webSettings.xml"/><Relationship Id="rId15" Type="http://schemas.openxmlformats.org/officeDocument/2006/relationships/hyperlink" Target="https://www.bbc.co.uk/news/business-33539816" TargetMode="External"/><Relationship Id="rId23" Type="http://schemas.openxmlformats.org/officeDocument/2006/relationships/hyperlink" Target="https://www.ukconstructionmedia.co.uk/features/real-reasons-arent-building-enough-new-homes/" TargetMode="External"/><Relationship Id="rId28" Type="http://schemas.openxmlformats.org/officeDocument/2006/relationships/theme" Target="theme/theme1.xml"/><Relationship Id="rId10" Type="http://schemas.openxmlformats.org/officeDocument/2006/relationships/hyperlink" Target="https://www.bbc.co.uk/news/uk-politics-55322993" TargetMode="External"/><Relationship Id="rId19" Type="http://schemas.openxmlformats.org/officeDocument/2006/relationships/hyperlink" Target="https://policyexchange.org.uk/wp-content/uploads/2016/09/why-arent-we-building-enough-attractive-homes.pdf" TargetMode="External"/><Relationship Id="rId4" Type="http://schemas.openxmlformats.org/officeDocument/2006/relationships/settings" Target="settings.xml"/><Relationship Id="rId9" Type="http://schemas.openxmlformats.org/officeDocument/2006/relationships/hyperlink" Target="https://www.bbc.co.uk/news/business-51605912" TargetMode="External"/><Relationship Id="rId14" Type="http://schemas.openxmlformats.org/officeDocument/2006/relationships/hyperlink" Target="https://www.lovemoney.com/news/68449/why-uk-not-building-enough-homes" TargetMode="External"/><Relationship Id="rId22" Type="http://schemas.openxmlformats.org/officeDocument/2006/relationships/hyperlink" Target="https://www.buzzfeed.com/chrisstokelwalker/one-day-we-will-be-homebuild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50FE6-DED1-4EBE-B4C6-44912E2E1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9067</Words>
  <Characters>51688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Alex</dc:creator>
  <cp:keywords/>
  <dc:description/>
  <cp:lastModifiedBy>Lord, Alex</cp:lastModifiedBy>
  <cp:revision>2</cp:revision>
  <dcterms:created xsi:type="dcterms:W3CDTF">2024-01-12T13:42:00Z</dcterms:created>
  <dcterms:modified xsi:type="dcterms:W3CDTF">2024-01-12T13:42:00Z</dcterms:modified>
</cp:coreProperties>
</file>