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A34C" w14:textId="018399E6" w:rsidR="00E21883" w:rsidRPr="009717B1" w:rsidRDefault="0022588F" w:rsidP="00E21883">
      <w:pPr>
        <w:jc w:val="center"/>
        <w:rPr>
          <w:b/>
          <w:bCs/>
        </w:rPr>
      </w:pPr>
      <w:r w:rsidRPr="009717B1">
        <w:rPr>
          <w:b/>
          <w:bCs/>
        </w:rPr>
        <w:t xml:space="preserve">The </w:t>
      </w:r>
      <w:r w:rsidR="003479AE" w:rsidRPr="009717B1">
        <w:rPr>
          <w:b/>
          <w:bCs/>
        </w:rPr>
        <w:t>UN</w:t>
      </w:r>
      <w:r w:rsidRPr="009717B1">
        <w:rPr>
          <w:b/>
          <w:bCs/>
        </w:rPr>
        <w:t xml:space="preserve"> Human Rights Committee’s </w:t>
      </w:r>
      <w:r w:rsidR="009E2122" w:rsidRPr="009717B1">
        <w:rPr>
          <w:b/>
          <w:bCs/>
          <w:i/>
          <w:iCs/>
        </w:rPr>
        <w:t>Torres Strait Islanders</w:t>
      </w:r>
      <w:r w:rsidR="009E2122" w:rsidRPr="009717B1">
        <w:rPr>
          <w:b/>
          <w:bCs/>
        </w:rPr>
        <w:t xml:space="preserve"> D</w:t>
      </w:r>
      <w:r w:rsidRPr="009717B1">
        <w:rPr>
          <w:b/>
          <w:bCs/>
        </w:rPr>
        <w:t>ecision</w:t>
      </w:r>
      <w:r w:rsidR="00E21883" w:rsidRPr="009717B1">
        <w:rPr>
          <w:b/>
          <w:bCs/>
        </w:rPr>
        <w:t>:</w:t>
      </w:r>
    </w:p>
    <w:p w14:paraId="354C0D5C" w14:textId="0F4715BF" w:rsidR="000024AA" w:rsidRPr="009717B1" w:rsidRDefault="003A20BF" w:rsidP="00E21883">
      <w:pPr>
        <w:jc w:val="center"/>
        <w:rPr>
          <w:b/>
          <w:bCs/>
        </w:rPr>
      </w:pPr>
      <w:r w:rsidRPr="009717B1">
        <w:rPr>
          <w:b/>
          <w:bCs/>
        </w:rPr>
        <w:t xml:space="preserve">‘True’ </w:t>
      </w:r>
      <w:r w:rsidR="00E21883" w:rsidRPr="009717B1">
        <w:rPr>
          <w:b/>
          <w:bCs/>
        </w:rPr>
        <w:t xml:space="preserve">Climate Change </w:t>
      </w:r>
      <w:r w:rsidR="005613D8">
        <w:rPr>
          <w:b/>
          <w:bCs/>
        </w:rPr>
        <w:t>Litigation</w:t>
      </w:r>
      <w:r w:rsidR="00E21883" w:rsidRPr="009717B1">
        <w:rPr>
          <w:b/>
          <w:bCs/>
        </w:rPr>
        <w:t>?</w:t>
      </w:r>
    </w:p>
    <w:p w14:paraId="6E1EF669" w14:textId="3C068408" w:rsidR="003479AE" w:rsidRDefault="003479AE" w:rsidP="00E21883">
      <w:pPr>
        <w:jc w:val="center"/>
      </w:pPr>
    </w:p>
    <w:p w14:paraId="6103EF0F" w14:textId="55D95755" w:rsidR="00743939" w:rsidRDefault="00743939" w:rsidP="00743939">
      <w:pPr>
        <w:jc w:val="right"/>
      </w:pPr>
      <w:r>
        <w:t>By Vassilis P Tzevelekos</w:t>
      </w:r>
    </w:p>
    <w:p w14:paraId="04844F38" w14:textId="77777777" w:rsidR="00743939" w:rsidRDefault="00743939" w:rsidP="00743939">
      <w:pPr>
        <w:jc w:val="right"/>
      </w:pPr>
    </w:p>
    <w:p w14:paraId="7BB053CB" w14:textId="7B7B3A73" w:rsidR="00114AF5" w:rsidRDefault="00A74280" w:rsidP="003479AE">
      <w:pPr>
        <w:jc w:val="both"/>
      </w:pPr>
      <w:r>
        <w:t>Our paths crossed</w:t>
      </w:r>
      <w:r w:rsidR="00C46C5C">
        <w:t xml:space="preserve"> </w:t>
      </w:r>
      <w:r w:rsidR="00C210AF">
        <w:t xml:space="preserve">with Lindy </w:t>
      </w:r>
      <w:proofErr w:type="spellStart"/>
      <w:r w:rsidR="00C210AF">
        <w:t>Melman</w:t>
      </w:r>
      <w:proofErr w:type="spellEnd"/>
      <w:r w:rsidR="00C210AF">
        <w:t xml:space="preserve"> </w:t>
      </w:r>
      <w:r w:rsidR="003D5BA4">
        <w:t xml:space="preserve">almost </w:t>
      </w:r>
      <w:r w:rsidR="003E6E00">
        <w:t>six</w:t>
      </w:r>
      <w:r w:rsidR="00C46C5C">
        <w:t xml:space="preserve"> years ago, when</w:t>
      </w:r>
      <w:r w:rsidR="009F0546">
        <w:t>, with</w:t>
      </w:r>
      <w:r w:rsidR="00C46C5C">
        <w:t xml:space="preserve"> my good friend, colleague at the University of Liverpool, and co-founder/editor of the </w:t>
      </w:r>
      <w:r w:rsidR="00C46C5C" w:rsidRPr="00A064FF">
        <w:rPr>
          <w:i/>
          <w:iCs/>
        </w:rPr>
        <w:t xml:space="preserve">ECHR </w:t>
      </w:r>
      <w:r w:rsidR="00A064FF" w:rsidRPr="00A064FF">
        <w:rPr>
          <w:i/>
          <w:iCs/>
        </w:rPr>
        <w:t>Law Review</w:t>
      </w:r>
      <w:r w:rsidR="00A064FF">
        <w:t>, Kanstantsin Dzehtsiarou</w:t>
      </w:r>
      <w:r w:rsidR="009F0546">
        <w:t xml:space="preserve">, we </w:t>
      </w:r>
      <w:r w:rsidR="00A064FF">
        <w:t xml:space="preserve">approached BRILL with a proposal </w:t>
      </w:r>
      <w:r w:rsidR="00EB45BD">
        <w:t xml:space="preserve">to establish and run the </w:t>
      </w:r>
      <w:r w:rsidR="00EB45BD" w:rsidRPr="00EB45BD">
        <w:rPr>
          <w:i/>
          <w:iCs/>
        </w:rPr>
        <w:t>ECHR Law Review</w:t>
      </w:r>
      <w:r w:rsidR="00EB45BD">
        <w:t>.</w:t>
      </w:r>
      <w:r w:rsidR="00A064FF">
        <w:t xml:space="preserve"> </w:t>
      </w:r>
      <w:r w:rsidR="00EB45BD">
        <w:t>Lindy not only s</w:t>
      </w:r>
      <w:r w:rsidR="005111D9">
        <w:t>aw</w:t>
      </w:r>
      <w:r w:rsidR="00EB45BD">
        <w:t xml:space="preserve"> the potential of our proposal, but also helped </w:t>
      </w:r>
      <w:r w:rsidR="003A1D80">
        <w:t xml:space="preserve">us to improve </w:t>
      </w:r>
      <w:r w:rsidR="00663C2C">
        <w:t xml:space="preserve">and then implement </w:t>
      </w:r>
      <w:r w:rsidR="005B494D">
        <w:t>it</w:t>
      </w:r>
      <w:r w:rsidR="003A1D80">
        <w:t>.</w:t>
      </w:r>
      <w:r w:rsidR="002F2B6B">
        <w:t xml:space="preserve"> Her </w:t>
      </w:r>
      <w:r w:rsidR="00280DD8">
        <w:t xml:space="preserve">generous </w:t>
      </w:r>
      <w:r w:rsidR="002F2B6B">
        <w:t>support has been continuous</w:t>
      </w:r>
      <w:r w:rsidR="00F10C32">
        <w:t>;</w:t>
      </w:r>
      <w:r w:rsidR="00FE2EC6">
        <w:t xml:space="preserve"> </w:t>
      </w:r>
      <w:r w:rsidR="003913AA">
        <w:t xml:space="preserve">always </w:t>
      </w:r>
      <w:r w:rsidR="00280DD8">
        <w:t>provided in a manner that combines the highest standards of professionalism</w:t>
      </w:r>
      <w:r w:rsidR="00183F9B">
        <w:t xml:space="preserve"> with utmost cordiality. </w:t>
      </w:r>
      <w:r w:rsidR="00551684">
        <w:t>Lindy is</w:t>
      </w:r>
      <w:r w:rsidR="0034526E">
        <w:t xml:space="preserve"> </w:t>
      </w:r>
      <w:r w:rsidR="001F07D3">
        <w:t>very</w:t>
      </w:r>
      <w:r w:rsidR="0034526E">
        <w:t xml:space="preserve"> experienced. </w:t>
      </w:r>
      <w:r w:rsidR="00C77989">
        <w:t>On numer</w:t>
      </w:r>
      <w:r w:rsidR="003913AA">
        <w:t>o</w:t>
      </w:r>
      <w:r w:rsidR="00C77989">
        <w:t>us occasions s</w:t>
      </w:r>
      <w:r w:rsidR="0034526E">
        <w:t>he</w:t>
      </w:r>
      <w:r w:rsidR="004305F5">
        <w:t xml:space="preserve"> has</w:t>
      </w:r>
      <w:r w:rsidR="0034526E">
        <w:t xml:space="preserve"> </w:t>
      </w:r>
      <w:r w:rsidR="00C77989">
        <w:t>offered</w:t>
      </w:r>
      <w:r w:rsidR="0034526E">
        <w:t xml:space="preserve"> her </w:t>
      </w:r>
      <w:r w:rsidR="006E797D">
        <w:t>perspective</w:t>
      </w:r>
      <w:r w:rsidR="00970F74">
        <w:t xml:space="preserve">, </w:t>
      </w:r>
      <w:r w:rsidR="00D73E7A">
        <w:t xml:space="preserve">whilst </w:t>
      </w:r>
      <w:r w:rsidR="0062126E">
        <w:t xml:space="preserve">also </w:t>
      </w:r>
      <w:r w:rsidR="006E797D">
        <w:t>affording</w:t>
      </w:r>
      <w:r w:rsidR="00970F74">
        <w:t xml:space="preserve"> us</w:t>
      </w:r>
      <w:r w:rsidR="00C77989">
        <w:t xml:space="preserve"> freedom and control</w:t>
      </w:r>
      <w:r w:rsidR="006E797D">
        <w:t xml:space="preserve"> over </w:t>
      </w:r>
      <w:r w:rsidR="00F10C32">
        <w:t>the</w:t>
      </w:r>
      <w:r w:rsidR="006E797D">
        <w:t xml:space="preserve"> decisions</w:t>
      </w:r>
      <w:r w:rsidR="00F10C32">
        <w:t xml:space="preserve"> </w:t>
      </w:r>
      <w:r w:rsidR="004909E1">
        <w:t xml:space="preserve">that </w:t>
      </w:r>
      <w:r w:rsidR="00F10C32">
        <w:t>we</w:t>
      </w:r>
      <w:r w:rsidR="004909E1">
        <w:t xml:space="preserve"> ultimately</w:t>
      </w:r>
      <w:r w:rsidR="00F10C32">
        <w:t xml:space="preserve"> made</w:t>
      </w:r>
      <w:r w:rsidR="00C77989">
        <w:t xml:space="preserve">. </w:t>
      </w:r>
      <w:r w:rsidR="00E0245C">
        <w:t>The short critical note that follows is written for Lindy as a token of</w:t>
      </w:r>
      <w:r w:rsidR="00951EDE">
        <w:t xml:space="preserve"> </w:t>
      </w:r>
      <w:r w:rsidR="00E0245C">
        <w:t xml:space="preserve">appreciation and </w:t>
      </w:r>
      <w:r w:rsidR="00114AF5">
        <w:t>gratitude</w:t>
      </w:r>
      <w:r w:rsidR="00E0245C">
        <w:t xml:space="preserve">. </w:t>
      </w:r>
    </w:p>
    <w:p w14:paraId="231E4B33" w14:textId="77777777" w:rsidR="00114AF5" w:rsidRDefault="00114AF5" w:rsidP="003479AE">
      <w:pPr>
        <w:jc w:val="both"/>
      </w:pPr>
    </w:p>
    <w:p w14:paraId="36CF8A5C" w14:textId="77777777" w:rsidR="009B24B7" w:rsidRPr="003A20BF" w:rsidRDefault="009B24B7" w:rsidP="00F30983">
      <w:pPr>
        <w:pStyle w:val="ListParagraph"/>
        <w:numPr>
          <w:ilvl w:val="0"/>
          <w:numId w:val="2"/>
        </w:numPr>
        <w:jc w:val="both"/>
        <w:rPr>
          <w:b/>
          <w:bCs/>
        </w:rPr>
      </w:pPr>
      <w:r w:rsidRPr="003A20BF">
        <w:rPr>
          <w:b/>
          <w:bCs/>
        </w:rPr>
        <w:t>Introduction</w:t>
      </w:r>
    </w:p>
    <w:p w14:paraId="33909E6F" w14:textId="6E9A34DD" w:rsidR="006C400A" w:rsidRPr="00F272F6" w:rsidRDefault="002F2B6B" w:rsidP="00114AF5">
      <w:pPr>
        <w:jc w:val="both"/>
        <w:rPr>
          <w:vertAlign w:val="superscript"/>
        </w:rPr>
      </w:pPr>
      <w:r w:rsidRPr="00114AF5">
        <w:rPr>
          <w:rFonts w:cs="Times New Roman"/>
        </w:rPr>
        <w:t xml:space="preserve">On 21 July 2022, the </w:t>
      </w:r>
      <w:r w:rsidR="00114AF5">
        <w:rPr>
          <w:rFonts w:cs="Times New Roman"/>
        </w:rPr>
        <w:t xml:space="preserve">UN </w:t>
      </w:r>
      <w:r w:rsidRPr="00114AF5">
        <w:rPr>
          <w:rFonts w:cs="Times New Roman"/>
        </w:rPr>
        <w:t>Human Rights Committee</w:t>
      </w:r>
      <w:r w:rsidR="004F4715">
        <w:rPr>
          <w:rFonts w:cs="Times New Roman"/>
        </w:rPr>
        <w:t xml:space="preserve"> (HRC</w:t>
      </w:r>
      <w:r w:rsidR="005A70C0">
        <w:rPr>
          <w:rFonts w:cs="Times New Roman"/>
        </w:rPr>
        <w:t>, the Committee</w:t>
      </w:r>
      <w:r w:rsidR="004F4715">
        <w:rPr>
          <w:rFonts w:cs="Times New Roman"/>
        </w:rPr>
        <w:t>)</w:t>
      </w:r>
      <w:r w:rsidRPr="00114AF5">
        <w:rPr>
          <w:rFonts w:cs="Times New Roman"/>
        </w:rPr>
        <w:t xml:space="preserve"> adopted its views on communication No 3624/2019 </w:t>
      </w:r>
      <w:r w:rsidR="005A669E">
        <w:rPr>
          <w:rFonts w:cs="Times New Roman"/>
        </w:rPr>
        <w:t xml:space="preserve">against Australia </w:t>
      </w:r>
      <w:r w:rsidRPr="00114AF5">
        <w:rPr>
          <w:rFonts w:cs="Times New Roman"/>
        </w:rPr>
        <w:t>concerning the</w:t>
      </w:r>
      <w:r w:rsidR="00B247A7">
        <w:rPr>
          <w:rFonts w:cs="Times New Roman"/>
        </w:rPr>
        <w:t xml:space="preserve"> latter’s alleged</w:t>
      </w:r>
      <w:r w:rsidRPr="00114AF5">
        <w:rPr>
          <w:rFonts w:cs="Times New Roman"/>
        </w:rPr>
        <w:t xml:space="preserve"> </w:t>
      </w:r>
      <w:r w:rsidR="00361308">
        <w:rPr>
          <w:rFonts w:cs="Times New Roman"/>
        </w:rPr>
        <w:t>‘</w:t>
      </w:r>
      <w:r w:rsidR="00B247A7">
        <w:rPr>
          <w:rFonts w:cs="Times New Roman"/>
        </w:rPr>
        <w:t>[f]</w:t>
      </w:r>
      <w:proofErr w:type="spellStart"/>
      <w:r w:rsidR="00B247A7">
        <w:rPr>
          <w:rFonts w:cs="Times New Roman"/>
        </w:rPr>
        <w:t>ailure</w:t>
      </w:r>
      <w:proofErr w:type="spellEnd"/>
      <w:r w:rsidR="00B247A7">
        <w:rPr>
          <w:rFonts w:cs="Times New Roman"/>
        </w:rPr>
        <w:t xml:space="preserve"> </w:t>
      </w:r>
      <w:r w:rsidR="00B247A7">
        <w:t>to take mitigation and adaptation measures to combat the effects of climate change</w:t>
      </w:r>
      <w:r w:rsidR="00361308">
        <w:t>’</w:t>
      </w:r>
      <w:r w:rsidR="00952298">
        <w:t xml:space="preserve"> suffered by the </w:t>
      </w:r>
      <w:r w:rsidR="000C4CED">
        <w:t>authors of the communication</w:t>
      </w:r>
      <w:r w:rsidR="00537718">
        <w:t xml:space="preserve"> –act</w:t>
      </w:r>
      <w:r w:rsidR="00D33635">
        <w:t>ing</w:t>
      </w:r>
      <w:r w:rsidR="00537718">
        <w:t xml:space="preserve"> in their personal capacity and on behalf of their children–</w:t>
      </w:r>
      <w:r w:rsidR="00D33635">
        <w:t xml:space="preserve">, who </w:t>
      </w:r>
      <w:r w:rsidR="00CC5169">
        <w:t xml:space="preserve">live </w:t>
      </w:r>
      <w:r w:rsidR="00CF7FAC">
        <w:t>on</w:t>
      </w:r>
      <w:r w:rsidR="00CC5169">
        <w:t xml:space="preserve"> the </w:t>
      </w:r>
      <w:r w:rsidR="0040327D">
        <w:t>Torres Strait Islands</w:t>
      </w:r>
      <w:r w:rsidR="00D33635">
        <w:t>.</w:t>
      </w:r>
      <w:r w:rsidR="00B073F7">
        <w:rPr>
          <w:rStyle w:val="FootnoteReference"/>
        </w:rPr>
        <w:footnoteReference w:id="1"/>
      </w:r>
      <w:r w:rsidR="00A75D4B">
        <w:t xml:space="preserve"> </w:t>
      </w:r>
      <w:r w:rsidR="00A31132">
        <w:rPr>
          <w:i/>
          <w:iCs/>
        </w:rPr>
        <w:t>M</w:t>
      </w:r>
      <w:r w:rsidR="00D4116B" w:rsidRPr="004E6086">
        <w:rPr>
          <w:i/>
          <w:iCs/>
        </w:rPr>
        <w:t>itigation</w:t>
      </w:r>
      <w:r w:rsidR="00D4116B">
        <w:t xml:space="preserve"> aims at addressing the root causes of climate change, </w:t>
      </w:r>
      <w:r w:rsidR="005E0DEC">
        <w:t>so that,</w:t>
      </w:r>
      <w:r w:rsidR="00D4116B">
        <w:t xml:space="preserve"> </w:t>
      </w:r>
      <w:r w:rsidR="001B45BF">
        <w:t>for instance</w:t>
      </w:r>
      <w:r w:rsidR="00F4642A">
        <w:t>,</w:t>
      </w:r>
      <w:r w:rsidR="001B45BF">
        <w:t xml:space="preserve"> </w:t>
      </w:r>
      <w:r w:rsidR="004E6086">
        <w:t>by lowering</w:t>
      </w:r>
      <w:r w:rsidR="0072786D">
        <w:t xml:space="preserve"> </w:t>
      </w:r>
      <w:r w:rsidR="004E6086">
        <w:t>the emissions of greenhouse gases, climate change stops progressi</w:t>
      </w:r>
      <w:r w:rsidR="00E167A7">
        <w:t>ng and</w:t>
      </w:r>
      <w:r w:rsidR="00CF7FAC">
        <w:t xml:space="preserve"> is</w:t>
      </w:r>
      <w:r w:rsidR="00E167A7">
        <w:t xml:space="preserve"> ideally reversed. </w:t>
      </w:r>
      <w:r w:rsidR="00A31132">
        <w:t xml:space="preserve">On the other hand, </w:t>
      </w:r>
      <w:r w:rsidR="00FE4E96">
        <w:rPr>
          <w:i/>
          <w:iCs/>
        </w:rPr>
        <w:t>a</w:t>
      </w:r>
      <w:r w:rsidR="00FE4E96" w:rsidRPr="00E167A7">
        <w:rPr>
          <w:i/>
          <w:iCs/>
        </w:rPr>
        <w:t>daptation</w:t>
      </w:r>
      <w:r w:rsidR="00FE4E96">
        <w:t xml:space="preserve"> </w:t>
      </w:r>
      <w:r w:rsidR="00E167A7">
        <w:t>refers to adjustment to and protection from the adverse effects of climate change.</w:t>
      </w:r>
      <w:r w:rsidR="004E6086">
        <w:t xml:space="preserve"> </w:t>
      </w:r>
      <w:r w:rsidR="00A75D4B">
        <w:t>Th</w:t>
      </w:r>
      <w:r w:rsidR="008F39DD">
        <w:t>e</w:t>
      </w:r>
      <w:r w:rsidR="00A75D4B">
        <w:t xml:space="preserve"> </w:t>
      </w:r>
      <w:r w:rsidR="008F39DD" w:rsidRPr="009E2122">
        <w:rPr>
          <w:i/>
          <w:iCs/>
        </w:rPr>
        <w:t>Torres Strait Islanders</w:t>
      </w:r>
      <w:r w:rsidR="008F39DD">
        <w:t xml:space="preserve"> decision</w:t>
      </w:r>
      <w:r w:rsidR="00A75D4B">
        <w:t xml:space="preserve"> has been </w:t>
      </w:r>
      <w:r w:rsidR="00DF7D63">
        <w:t>‘labelled’</w:t>
      </w:r>
      <w:r w:rsidR="001036DE">
        <w:t xml:space="preserve"> and</w:t>
      </w:r>
      <w:r w:rsidR="00F47A72">
        <w:t>,</w:t>
      </w:r>
      <w:r w:rsidR="001036DE">
        <w:t xml:space="preserve"> indeed</w:t>
      </w:r>
      <w:r w:rsidR="00F47A72">
        <w:t>,</w:t>
      </w:r>
      <w:r w:rsidR="001036DE">
        <w:t xml:space="preserve"> ‘celebrated’</w:t>
      </w:r>
      <w:r w:rsidR="00DF7D63">
        <w:t xml:space="preserve"> as</w:t>
      </w:r>
      <w:r w:rsidR="001036DE">
        <w:t xml:space="preserve"> successful</w:t>
      </w:r>
      <w:r w:rsidR="00DF7D63">
        <w:t xml:space="preserve"> climate change litigation</w:t>
      </w:r>
      <w:r w:rsidR="00BC08D5">
        <w:t xml:space="preserve"> through human rights law </w:t>
      </w:r>
      <w:r w:rsidR="00DF7D63">
        <w:t>before</w:t>
      </w:r>
      <w:r w:rsidR="001036DE">
        <w:t xml:space="preserve"> </w:t>
      </w:r>
      <w:r w:rsidR="008F39DD">
        <w:t xml:space="preserve">an </w:t>
      </w:r>
      <w:r w:rsidR="001036DE">
        <w:t>international human rights monitoring institution</w:t>
      </w:r>
      <w:r w:rsidR="00BC08D5">
        <w:t>.</w:t>
      </w:r>
      <w:r w:rsidR="00B13E80">
        <w:rPr>
          <w:rStyle w:val="FootnoteReference"/>
        </w:rPr>
        <w:footnoteReference w:id="2"/>
      </w:r>
      <w:r w:rsidR="00BC08D5">
        <w:t xml:space="preserve"> Indeed,</w:t>
      </w:r>
      <w:r w:rsidR="002B5D71">
        <w:t xml:space="preserve"> an increasingly </w:t>
      </w:r>
      <w:r w:rsidR="0047335E">
        <w:t>large</w:t>
      </w:r>
      <w:r w:rsidR="00B80034">
        <w:t xml:space="preserve"> </w:t>
      </w:r>
      <w:r w:rsidR="002B5D71">
        <w:t xml:space="preserve">number of </w:t>
      </w:r>
      <w:r w:rsidR="00F3718B">
        <w:t>climate change</w:t>
      </w:r>
      <w:r w:rsidR="002B5D71">
        <w:t xml:space="preserve"> cases ha</w:t>
      </w:r>
      <w:r w:rsidR="0000663F">
        <w:t>ve</w:t>
      </w:r>
      <w:r w:rsidR="002B5D71">
        <w:t xml:space="preserve"> </w:t>
      </w:r>
      <w:r w:rsidR="008F38B7">
        <w:t xml:space="preserve">recently </w:t>
      </w:r>
      <w:r w:rsidR="002B5D71">
        <w:t>been brought to</w:t>
      </w:r>
      <w:r w:rsidR="002B5D71">
        <w:rPr>
          <w:rStyle w:val="FootnoteReference"/>
        </w:rPr>
        <w:footnoteReference w:id="3"/>
      </w:r>
      <w:r w:rsidR="002B5D71">
        <w:t xml:space="preserve"> and </w:t>
      </w:r>
      <w:r w:rsidR="0000663F">
        <w:t>are</w:t>
      </w:r>
      <w:r w:rsidR="002B5D71">
        <w:t xml:space="preserve"> currently pending</w:t>
      </w:r>
      <w:r w:rsidR="002B5D71">
        <w:rPr>
          <w:rStyle w:val="FootnoteReference"/>
        </w:rPr>
        <w:footnoteReference w:id="4"/>
      </w:r>
      <w:r w:rsidR="002B5D71">
        <w:t xml:space="preserve"> before </w:t>
      </w:r>
      <w:r w:rsidR="008C3259">
        <w:t>such institutions.</w:t>
      </w:r>
      <w:r w:rsidR="008F38B7">
        <w:t xml:space="preserve"> Scholarship has been somewhat divided in this respect. Certain authors </w:t>
      </w:r>
      <w:r w:rsidR="00621637">
        <w:t>are favourable to ‘opening’ the regime of human rights law to climate change litigation</w:t>
      </w:r>
      <w:r w:rsidR="007F3B1F">
        <w:t xml:space="preserve"> and are making suggestions as to how this regime </w:t>
      </w:r>
      <w:r w:rsidR="00461FA0">
        <w:t xml:space="preserve">can </w:t>
      </w:r>
      <w:r w:rsidR="007F3B1F">
        <w:t>effectively accommodate said area in a meaningful manner that will make an impact</w:t>
      </w:r>
      <w:r w:rsidR="00F272F6">
        <w:rPr>
          <w:rStyle w:val="FootnoteReference"/>
        </w:rPr>
        <w:footnoteReference w:id="5"/>
      </w:r>
      <w:r w:rsidR="00F272F6">
        <w:t xml:space="preserve"> –which </w:t>
      </w:r>
      <w:r w:rsidR="00F272F6">
        <w:lastRenderedPageBreak/>
        <w:t xml:space="preserve">is </w:t>
      </w:r>
      <w:r w:rsidR="00FA1DBC">
        <w:t xml:space="preserve">so urgently </w:t>
      </w:r>
      <w:r w:rsidR="0000663F">
        <w:t>requir</w:t>
      </w:r>
      <w:r w:rsidR="00F272F6">
        <w:t>ed</w:t>
      </w:r>
      <w:r w:rsidR="00335EBF">
        <w:t>, but which also raises a number of challenges for international human rights (quasi-)judicial instances</w:t>
      </w:r>
      <w:r w:rsidR="00F272F6">
        <w:t>.</w:t>
      </w:r>
      <w:r w:rsidR="00335EBF">
        <w:rPr>
          <w:rStyle w:val="FootnoteReference"/>
        </w:rPr>
        <w:footnoteReference w:id="6"/>
      </w:r>
      <w:r w:rsidR="007F3B1F">
        <w:t xml:space="preserve"> Other scholars</w:t>
      </w:r>
      <w:r w:rsidR="007538E7">
        <w:t xml:space="preserve"> have expressed scepticism,</w:t>
      </w:r>
      <w:r w:rsidR="007538E7">
        <w:rPr>
          <w:rStyle w:val="FootnoteReference"/>
        </w:rPr>
        <w:footnoteReference w:id="7"/>
      </w:r>
      <w:r w:rsidR="007538E7">
        <w:t xml:space="preserve"> </w:t>
      </w:r>
      <w:r w:rsidR="00A66428">
        <w:t>questioning</w:t>
      </w:r>
      <w:r w:rsidR="00B6237F">
        <w:t xml:space="preserve">, </w:t>
      </w:r>
      <w:r w:rsidR="00B6237F" w:rsidRPr="00B6237F">
        <w:rPr>
          <w:i/>
          <w:iCs/>
        </w:rPr>
        <w:t>inter alia</w:t>
      </w:r>
      <w:r w:rsidR="00B6237F">
        <w:t>, if human rights rules and monitoring mechanisms are fit for purpose.</w:t>
      </w:r>
    </w:p>
    <w:p w14:paraId="49EF0D28" w14:textId="21D6058D" w:rsidR="00844FEB" w:rsidRDefault="00BE178B" w:rsidP="00114AF5">
      <w:pPr>
        <w:jc w:val="both"/>
        <w:rPr>
          <w:rFonts w:cs="Times New Roman"/>
        </w:rPr>
      </w:pPr>
      <w:r>
        <w:tab/>
      </w:r>
      <w:r w:rsidR="006C400A">
        <w:t>In the lines that follow, I</w:t>
      </w:r>
      <w:r w:rsidR="00A66428">
        <w:t xml:space="preserve"> develop </w:t>
      </w:r>
      <w:r w:rsidR="00F47A72">
        <w:t>a</w:t>
      </w:r>
      <w:r w:rsidR="00A66428">
        <w:t xml:space="preserve"> set of arguments explain</w:t>
      </w:r>
      <w:r w:rsidR="00FA1DBC">
        <w:t>ing</w:t>
      </w:r>
      <w:r w:rsidR="00A66428">
        <w:t xml:space="preserve"> </w:t>
      </w:r>
      <w:r w:rsidR="00062A76">
        <w:t xml:space="preserve">the reasons </w:t>
      </w:r>
      <w:r w:rsidR="00A66428">
        <w:t>why</w:t>
      </w:r>
      <w:r w:rsidR="00A22D7E">
        <w:t>,</w:t>
      </w:r>
      <w:r w:rsidR="00A66428">
        <w:t xml:space="preserve"> </w:t>
      </w:r>
      <w:r w:rsidR="00D24ECA">
        <w:t xml:space="preserve">in my view, </w:t>
      </w:r>
      <w:r w:rsidR="00A22D7E">
        <w:rPr>
          <w:rFonts w:cs="Times New Roman"/>
        </w:rPr>
        <w:t xml:space="preserve">although </w:t>
      </w:r>
      <w:r w:rsidR="00B67148" w:rsidRPr="001E3671">
        <w:rPr>
          <w:rFonts w:cs="Times New Roman"/>
        </w:rPr>
        <w:t>climate change</w:t>
      </w:r>
      <w:r w:rsidR="00B67148">
        <w:t xml:space="preserve"> lies at the heart of </w:t>
      </w:r>
      <w:r w:rsidR="00A22D7E">
        <w:t xml:space="preserve">the HRC decision </w:t>
      </w:r>
      <w:r w:rsidR="00E63FD2">
        <w:t xml:space="preserve">in </w:t>
      </w:r>
      <w:r w:rsidR="00E63FD2" w:rsidRPr="009E2122">
        <w:rPr>
          <w:i/>
          <w:iCs/>
        </w:rPr>
        <w:t>Torres Strait Islanders</w:t>
      </w:r>
      <w:r w:rsidR="00BF577F" w:rsidRPr="001E3671">
        <w:rPr>
          <w:rFonts w:cs="Times New Roman"/>
        </w:rPr>
        <w:t xml:space="preserve">, </w:t>
      </w:r>
      <w:r w:rsidR="00DE53A7" w:rsidRPr="001E3671">
        <w:rPr>
          <w:rFonts w:cs="Times New Roman"/>
        </w:rPr>
        <w:t xml:space="preserve">ultimately, </w:t>
      </w:r>
      <w:r w:rsidR="00A22D7E" w:rsidRPr="001E3671">
        <w:rPr>
          <w:rFonts w:cs="Times New Roman"/>
        </w:rPr>
        <w:t>t</w:t>
      </w:r>
      <w:r w:rsidR="00F47A72">
        <w:rPr>
          <w:rFonts w:cs="Times New Roman"/>
        </w:rPr>
        <w:t>his</w:t>
      </w:r>
      <w:r w:rsidR="008E5E93" w:rsidRPr="001E3671">
        <w:rPr>
          <w:rFonts w:cs="Times New Roman"/>
        </w:rPr>
        <w:t xml:space="preserve"> </w:t>
      </w:r>
      <w:r w:rsidR="00A5234A" w:rsidRPr="001E3671">
        <w:rPr>
          <w:rFonts w:cs="Times New Roman"/>
        </w:rPr>
        <w:t xml:space="preserve">is </w:t>
      </w:r>
      <w:r w:rsidR="00A5234A" w:rsidRPr="001E3671">
        <w:rPr>
          <w:rFonts w:cs="Times New Roman"/>
          <w:i/>
          <w:iCs/>
        </w:rPr>
        <w:t>not</w:t>
      </w:r>
      <w:r w:rsidR="00A5234A" w:rsidRPr="001E3671">
        <w:rPr>
          <w:rFonts w:cs="Times New Roman"/>
        </w:rPr>
        <w:t xml:space="preserve"> a</w:t>
      </w:r>
      <w:r w:rsidR="00925687">
        <w:rPr>
          <w:rFonts w:cs="Times New Roman"/>
        </w:rPr>
        <w:t>n instance of</w:t>
      </w:r>
      <w:r w:rsidR="00A5234A" w:rsidRPr="001E3671">
        <w:rPr>
          <w:rFonts w:cs="Times New Roman"/>
        </w:rPr>
        <w:t xml:space="preserve"> </w:t>
      </w:r>
      <w:r w:rsidR="00910A88">
        <w:rPr>
          <w:rFonts w:cs="Times New Roman"/>
        </w:rPr>
        <w:t>‘true’</w:t>
      </w:r>
      <w:r w:rsidR="006A6B8A">
        <w:rPr>
          <w:rFonts w:cs="Times New Roman"/>
        </w:rPr>
        <w:t xml:space="preserve"> </w:t>
      </w:r>
      <w:r w:rsidR="00A5234A" w:rsidRPr="001E3671">
        <w:rPr>
          <w:rFonts w:cs="Times New Roman"/>
        </w:rPr>
        <w:t xml:space="preserve">climate change </w:t>
      </w:r>
      <w:r w:rsidR="00925687">
        <w:rPr>
          <w:rFonts w:cs="Times New Roman"/>
        </w:rPr>
        <w:t>litigation</w:t>
      </w:r>
      <w:r w:rsidR="00A5234A" w:rsidRPr="001E3671">
        <w:rPr>
          <w:rFonts w:cs="Times New Roman"/>
        </w:rPr>
        <w:t>.</w:t>
      </w:r>
      <w:r w:rsidR="00A5234A">
        <w:rPr>
          <w:rFonts w:cs="Times New Roman"/>
        </w:rPr>
        <w:t xml:space="preserve"> </w:t>
      </w:r>
      <w:r w:rsidR="004E7BB2">
        <w:rPr>
          <w:rFonts w:cs="Times New Roman"/>
        </w:rPr>
        <w:t xml:space="preserve">I </w:t>
      </w:r>
      <w:r w:rsidR="00E004D8">
        <w:rPr>
          <w:rFonts w:cs="Times New Roman"/>
        </w:rPr>
        <w:t>appreciate</w:t>
      </w:r>
      <w:r w:rsidR="004C781A">
        <w:rPr>
          <w:rFonts w:cs="Times New Roman"/>
        </w:rPr>
        <w:t xml:space="preserve"> that, by the sound of it, this </w:t>
      </w:r>
      <w:r w:rsidR="00340980">
        <w:rPr>
          <w:rFonts w:cs="Times New Roman"/>
        </w:rPr>
        <w:t xml:space="preserve">is </w:t>
      </w:r>
      <w:r w:rsidR="001E3671">
        <w:rPr>
          <w:rFonts w:cs="Times New Roman"/>
        </w:rPr>
        <w:t xml:space="preserve">quite </w:t>
      </w:r>
      <w:r w:rsidR="00340980">
        <w:rPr>
          <w:rFonts w:cs="Times New Roman"/>
        </w:rPr>
        <w:t xml:space="preserve">a </w:t>
      </w:r>
      <w:r w:rsidR="004C781A">
        <w:rPr>
          <w:rFonts w:cs="Times New Roman"/>
        </w:rPr>
        <w:t>controversial</w:t>
      </w:r>
      <w:r w:rsidR="001E3671">
        <w:rPr>
          <w:rFonts w:cs="Times New Roman"/>
        </w:rPr>
        <w:t xml:space="preserve"> </w:t>
      </w:r>
      <w:r w:rsidR="004C781A">
        <w:rPr>
          <w:rFonts w:cs="Times New Roman"/>
        </w:rPr>
        <w:t xml:space="preserve">argument. Yet, </w:t>
      </w:r>
      <w:r w:rsidR="001E3671">
        <w:rPr>
          <w:rFonts w:cs="Times New Roman"/>
        </w:rPr>
        <w:t>I trust</w:t>
      </w:r>
      <w:r w:rsidR="0036219E">
        <w:rPr>
          <w:rFonts w:cs="Times New Roman"/>
        </w:rPr>
        <w:t>,</w:t>
      </w:r>
      <w:r w:rsidR="001E3671">
        <w:rPr>
          <w:rFonts w:cs="Times New Roman"/>
        </w:rPr>
        <w:t xml:space="preserve"> </w:t>
      </w:r>
      <w:r w:rsidR="00C01E90">
        <w:rPr>
          <w:rFonts w:cs="Times New Roman"/>
        </w:rPr>
        <w:t xml:space="preserve">or </w:t>
      </w:r>
      <w:r w:rsidR="006E3BF5">
        <w:rPr>
          <w:rFonts w:cs="Times New Roman"/>
        </w:rPr>
        <w:t xml:space="preserve">at least </w:t>
      </w:r>
      <w:r w:rsidR="00C01E90">
        <w:rPr>
          <w:rFonts w:cs="Times New Roman"/>
        </w:rPr>
        <w:t>hope</w:t>
      </w:r>
      <w:r w:rsidR="0036219E">
        <w:rPr>
          <w:rFonts w:cs="Times New Roman"/>
        </w:rPr>
        <w:t>,</w:t>
      </w:r>
      <w:r w:rsidR="00C01E90">
        <w:rPr>
          <w:rFonts w:cs="Times New Roman"/>
        </w:rPr>
        <w:t xml:space="preserve"> that </w:t>
      </w:r>
      <w:r w:rsidR="001E3671">
        <w:rPr>
          <w:rFonts w:cs="Times New Roman"/>
        </w:rPr>
        <w:t>the</w:t>
      </w:r>
      <w:r w:rsidR="004C781A">
        <w:rPr>
          <w:rFonts w:cs="Times New Roman"/>
        </w:rPr>
        <w:t xml:space="preserve"> reason</w:t>
      </w:r>
      <w:r w:rsidR="002073D5">
        <w:rPr>
          <w:rFonts w:cs="Times New Roman"/>
        </w:rPr>
        <w:t>s</w:t>
      </w:r>
      <w:r w:rsidR="001E3671">
        <w:rPr>
          <w:rFonts w:cs="Times New Roman"/>
        </w:rPr>
        <w:t xml:space="preserve"> provid</w:t>
      </w:r>
      <w:r w:rsidR="006E3BF5">
        <w:rPr>
          <w:rFonts w:cs="Times New Roman"/>
        </w:rPr>
        <w:t>ed</w:t>
      </w:r>
      <w:r w:rsidR="0036219E">
        <w:rPr>
          <w:rFonts w:cs="Times New Roman"/>
        </w:rPr>
        <w:t xml:space="preserve"> below</w:t>
      </w:r>
      <w:r w:rsidR="004C781A">
        <w:rPr>
          <w:rFonts w:cs="Times New Roman"/>
        </w:rPr>
        <w:t xml:space="preserve"> justify the </w:t>
      </w:r>
      <w:r w:rsidR="00526C38">
        <w:rPr>
          <w:rFonts w:cs="Times New Roman"/>
        </w:rPr>
        <w:t xml:space="preserve">conclusion that </w:t>
      </w:r>
      <w:r w:rsidR="00526C38" w:rsidRPr="009E2122">
        <w:rPr>
          <w:i/>
          <w:iCs/>
        </w:rPr>
        <w:t>Torres Strait Islanders</w:t>
      </w:r>
      <w:r w:rsidR="004E7BB2">
        <w:rPr>
          <w:rFonts w:cs="Times New Roman"/>
        </w:rPr>
        <w:t xml:space="preserve"> </w:t>
      </w:r>
      <w:r w:rsidR="00E4712D">
        <w:rPr>
          <w:rFonts w:cs="Times New Roman"/>
        </w:rPr>
        <w:t xml:space="preserve">contributes close to </w:t>
      </w:r>
      <w:r w:rsidR="004118D2">
        <w:rPr>
          <w:rFonts w:cs="Times New Roman"/>
        </w:rPr>
        <w:t xml:space="preserve">–but not just– </w:t>
      </w:r>
      <w:r w:rsidR="00E4712D">
        <w:rPr>
          <w:rFonts w:cs="Times New Roman"/>
        </w:rPr>
        <w:t xml:space="preserve">nothing to </w:t>
      </w:r>
      <w:r w:rsidR="00DE0BE5">
        <w:rPr>
          <w:rFonts w:cs="Times New Roman"/>
        </w:rPr>
        <w:t>combat</w:t>
      </w:r>
      <w:r w:rsidR="00FD7C5D">
        <w:rPr>
          <w:rFonts w:cs="Times New Roman"/>
        </w:rPr>
        <w:t>ting</w:t>
      </w:r>
      <w:r w:rsidR="00DE0BE5">
        <w:rPr>
          <w:rFonts w:cs="Times New Roman"/>
        </w:rPr>
        <w:t xml:space="preserve"> </w:t>
      </w:r>
      <w:r w:rsidR="00511320">
        <w:rPr>
          <w:rFonts w:cs="Times New Roman"/>
        </w:rPr>
        <w:t xml:space="preserve">anthropogenic </w:t>
      </w:r>
      <w:r w:rsidR="00DE0BE5">
        <w:rPr>
          <w:rFonts w:cs="Times New Roman"/>
        </w:rPr>
        <w:t xml:space="preserve">climate change and that </w:t>
      </w:r>
      <w:r w:rsidR="00306580">
        <w:rPr>
          <w:rFonts w:cs="Times New Roman"/>
        </w:rPr>
        <w:t>human rights rules in this decision perform their usual function without being pu</w:t>
      </w:r>
      <w:r w:rsidR="00FD7C5D">
        <w:rPr>
          <w:rFonts w:cs="Times New Roman"/>
        </w:rPr>
        <w:t>lled</w:t>
      </w:r>
      <w:r w:rsidR="00306580">
        <w:rPr>
          <w:rFonts w:cs="Times New Roman"/>
        </w:rPr>
        <w:t xml:space="preserve"> away from their ‘comfort zone’</w:t>
      </w:r>
      <w:r w:rsidR="00627718">
        <w:rPr>
          <w:rFonts w:cs="Times New Roman"/>
        </w:rPr>
        <w:t xml:space="preserve"> and/or being transformed into environmental protection standards</w:t>
      </w:r>
      <w:r w:rsidR="00306580">
        <w:rPr>
          <w:rFonts w:cs="Times New Roman"/>
        </w:rPr>
        <w:t>.</w:t>
      </w:r>
      <w:r w:rsidR="00DE0BE5">
        <w:rPr>
          <w:rFonts w:cs="Times New Roman"/>
        </w:rPr>
        <w:t xml:space="preserve"> </w:t>
      </w:r>
      <w:r w:rsidR="00973732">
        <w:rPr>
          <w:rFonts w:cs="Times New Roman"/>
        </w:rPr>
        <w:t>Before</w:t>
      </w:r>
      <w:r w:rsidR="004118D2">
        <w:rPr>
          <w:rFonts w:cs="Times New Roman"/>
        </w:rPr>
        <w:t xml:space="preserve"> </w:t>
      </w:r>
      <w:r w:rsidR="003C5A9B">
        <w:rPr>
          <w:rFonts w:cs="Times New Roman"/>
        </w:rPr>
        <w:t>develop</w:t>
      </w:r>
      <w:r w:rsidR="002073D5">
        <w:rPr>
          <w:rFonts w:cs="Times New Roman"/>
        </w:rPr>
        <w:t>ing</w:t>
      </w:r>
      <w:r w:rsidR="003C5A9B">
        <w:rPr>
          <w:rFonts w:cs="Times New Roman"/>
        </w:rPr>
        <w:t xml:space="preserve"> the arguments supporting </w:t>
      </w:r>
      <w:r w:rsidR="001E4178">
        <w:rPr>
          <w:rFonts w:cs="Times New Roman"/>
        </w:rPr>
        <w:t>my</w:t>
      </w:r>
      <w:r w:rsidR="003C5A9B">
        <w:rPr>
          <w:rFonts w:cs="Times New Roman"/>
        </w:rPr>
        <w:t xml:space="preserve"> </w:t>
      </w:r>
      <w:r w:rsidR="001E4178">
        <w:rPr>
          <w:rFonts w:cs="Times New Roman"/>
        </w:rPr>
        <w:t xml:space="preserve">‘reading’ of </w:t>
      </w:r>
      <w:r w:rsidR="001E4178" w:rsidRPr="009E2122">
        <w:rPr>
          <w:i/>
          <w:iCs/>
        </w:rPr>
        <w:t>Torres Strait Islanders</w:t>
      </w:r>
      <w:r w:rsidR="00B6342A">
        <w:rPr>
          <w:rFonts w:cs="Times New Roman"/>
        </w:rPr>
        <w:t xml:space="preserve">, </w:t>
      </w:r>
      <w:r w:rsidR="003C5A9B">
        <w:rPr>
          <w:rFonts w:cs="Times New Roman"/>
        </w:rPr>
        <w:t>I</w:t>
      </w:r>
      <w:r w:rsidR="00F37E5F">
        <w:rPr>
          <w:rFonts w:cs="Times New Roman"/>
        </w:rPr>
        <w:t xml:space="preserve"> </w:t>
      </w:r>
      <w:r w:rsidR="001E4178">
        <w:rPr>
          <w:rFonts w:cs="Times New Roman"/>
        </w:rPr>
        <w:t xml:space="preserve">spend </w:t>
      </w:r>
      <w:r w:rsidR="00844FEB">
        <w:rPr>
          <w:rFonts w:cs="Times New Roman"/>
        </w:rPr>
        <w:t xml:space="preserve">a few words on the specifics of </w:t>
      </w:r>
      <w:r w:rsidR="00062A76">
        <w:rPr>
          <w:rFonts w:cs="Times New Roman"/>
        </w:rPr>
        <w:t>the case</w:t>
      </w:r>
      <w:r w:rsidR="005C2E40">
        <w:t xml:space="preserve"> </w:t>
      </w:r>
      <w:r w:rsidR="000A0066">
        <w:rPr>
          <w:rFonts w:cs="Times New Roman"/>
        </w:rPr>
        <w:t xml:space="preserve">and on the reasoning that supports </w:t>
      </w:r>
      <w:r w:rsidR="00062A76">
        <w:rPr>
          <w:rFonts w:cs="Times New Roman"/>
        </w:rPr>
        <w:t>th</w:t>
      </w:r>
      <w:r w:rsidR="00B06F29">
        <w:rPr>
          <w:rFonts w:cs="Times New Roman"/>
        </w:rPr>
        <w:t>e</w:t>
      </w:r>
      <w:r w:rsidR="00062A76">
        <w:rPr>
          <w:rFonts w:cs="Times New Roman"/>
        </w:rPr>
        <w:t xml:space="preserve"> HRC decision</w:t>
      </w:r>
      <w:r w:rsidR="000A0066">
        <w:rPr>
          <w:rFonts w:cs="Times New Roman"/>
        </w:rPr>
        <w:t>.</w:t>
      </w:r>
    </w:p>
    <w:p w14:paraId="7C6CD73A" w14:textId="7EA95003" w:rsidR="00844FEB" w:rsidRDefault="00844FEB" w:rsidP="00114AF5">
      <w:pPr>
        <w:jc w:val="both"/>
        <w:rPr>
          <w:rFonts w:cs="Times New Roman"/>
        </w:rPr>
      </w:pPr>
    </w:p>
    <w:p w14:paraId="406F76A1" w14:textId="4B32C8A2" w:rsidR="00AA1D7A" w:rsidRPr="003A20BF" w:rsidRDefault="00AA1D7A" w:rsidP="00F30983">
      <w:pPr>
        <w:pStyle w:val="ListParagraph"/>
        <w:numPr>
          <w:ilvl w:val="0"/>
          <w:numId w:val="2"/>
        </w:numPr>
        <w:jc w:val="both"/>
        <w:rPr>
          <w:b/>
          <w:bCs/>
        </w:rPr>
      </w:pPr>
      <w:r w:rsidRPr="003A20BF">
        <w:rPr>
          <w:b/>
          <w:bCs/>
        </w:rPr>
        <w:t xml:space="preserve">The </w:t>
      </w:r>
      <w:r w:rsidRPr="003A20BF">
        <w:rPr>
          <w:b/>
          <w:bCs/>
          <w:i/>
          <w:iCs/>
        </w:rPr>
        <w:t>Torres Strait Islanders</w:t>
      </w:r>
      <w:r w:rsidRPr="003A20BF">
        <w:rPr>
          <w:b/>
          <w:bCs/>
        </w:rPr>
        <w:t xml:space="preserve"> </w:t>
      </w:r>
      <w:r w:rsidR="001A5DDB">
        <w:rPr>
          <w:b/>
          <w:bCs/>
        </w:rPr>
        <w:t>D</w:t>
      </w:r>
      <w:r w:rsidRPr="003A20BF">
        <w:rPr>
          <w:b/>
          <w:bCs/>
        </w:rPr>
        <w:t>ecision</w:t>
      </w:r>
    </w:p>
    <w:p w14:paraId="72A1CC38" w14:textId="765ED03A" w:rsidR="00E33048" w:rsidRDefault="00E937D4" w:rsidP="00114AF5">
      <w:pPr>
        <w:jc w:val="both"/>
        <w:rPr>
          <w:iCs/>
        </w:rPr>
      </w:pPr>
      <w:r>
        <w:rPr>
          <w:rFonts w:cs="Times New Roman"/>
        </w:rPr>
        <w:t xml:space="preserve">The authors of the communication </w:t>
      </w:r>
      <w:r w:rsidR="00C7634A">
        <w:rPr>
          <w:rFonts w:cs="Times New Roman"/>
        </w:rPr>
        <w:t>to the HRC</w:t>
      </w:r>
      <w:r w:rsidR="00CC5169">
        <w:t xml:space="preserve"> belong to</w:t>
      </w:r>
      <w:r w:rsidR="00CC5169">
        <w:rPr>
          <w:lang w:val="en-US"/>
        </w:rPr>
        <w:t xml:space="preserve"> the</w:t>
      </w:r>
      <w:r w:rsidR="00CC5169">
        <w:t xml:space="preserve"> indigenous minority group of the Torres </w:t>
      </w:r>
      <w:r w:rsidR="00852DBA">
        <w:t xml:space="preserve">Strait Islands. These low-lying islands </w:t>
      </w:r>
      <w:r w:rsidR="008C2FF8">
        <w:t xml:space="preserve">are seriously affected </w:t>
      </w:r>
      <w:r w:rsidR="00AE5027">
        <w:t>by climate change</w:t>
      </w:r>
      <w:r w:rsidR="00A0235A">
        <w:t xml:space="preserve"> to</w:t>
      </w:r>
      <w:r w:rsidR="00CF7FAC">
        <w:t xml:space="preserve"> such</w:t>
      </w:r>
      <w:r w:rsidR="00A0235A">
        <w:t xml:space="preserve"> </w:t>
      </w:r>
      <w:r w:rsidR="009E1B35">
        <w:t>an</w:t>
      </w:r>
      <w:r w:rsidR="00A0235A">
        <w:t xml:space="preserve"> extent that </w:t>
      </w:r>
      <w:r w:rsidR="00AE5027">
        <w:t xml:space="preserve">their very </w:t>
      </w:r>
      <w:r w:rsidR="00432E87">
        <w:t>existence</w:t>
      </w:r>
      <w:r w:rsidR="008C2FF8">
        <w:t xml:space="preserve"> </w:t>
      </w:r>
      <w:r w:rsidR="00F37E5F">
        <w:t xml:space="preserve">is </w:t>
      </w:r>
      <w:r w:rsidR="00A71062">
        <w:t xml:space="preserve">being endangered </w:t>
      </w:r>
      <w:r w:rsidR="00C210AF">
        <w:t>–</w:t>
      </w:r>
      <w:r w:rsidR="008C2FF8">
        <w:t>a fact that increases the authors’ vulnerability.</w:t>
      </w:r>
      <w:r w:rsidR="00A37AB2">
        <w:rPr>
          <w:rStyle w:val="FootnoteReference"/>
        </w:rPr>
        <w:footnoteReference w:id="8"/>
      </w:r>
      <w:r w:rsidR="008C2FF8">
        <w:t xml:space="preserve"> </w:t>
      </w:r>
      <w:r w:rsidR="00A0235A">
        <w:t>C</w:t>
      </w:r>
      <w:r w:rsidR="0059308A">
        <w:t>l</w:t>
      </w:r>
      <w:r w:rsidR="00463C70">
        <w:t>imate change</w:t>
      </w:r>
      <w:r w:rsidR="00A0235A">
        <w:t xml:space="preserve"> </w:t>
      </w:r>
      <w:r w:rsidR="009325E3">
        <w:t xml:space="preserve">has an </w:t>
      </w:r>
      <w:r w:rsidR="00A0235A">
        <w:t>impact</w:t>
      </w:r>
      <w:r w:rsidR="00463C70">
        <w:t xml:space="preserve"> on very many and</w:t>
      </w:r>
      <w:r w:rsidR="00C22BD0">
        <w:t xml:space="preserve"> the</w:t>
      </w:r>
      <w:r w:rsidR="00463C70">
        <w:t xml:space="preserve"> most important aspects of </w:t>
      </w:r>
      <w:r w:rsidR="00A71062">
        <w:t xml:space="preserve">human </w:t>
      </w:r>
      <w:r w:rsidR="00463C70">
        <w:t>life in th</w:t>
      </w:r>
      <w:r w:rsidR="00A71062">
        <w:t>e</w:t>
      </w:r>
      <w:r w:rsidR="00463C70">
        <w:t xml:space="preserve"> </w:t>
      </w:r>
      <w:r w:rsidR="0059308A">
        <w:t xml:space="preserve">area. </w:t>
      </w:r>
      <w:r w:rsidR="003F0A8E">
        <w:t>For instance, f</w:t>
      </w:r>
      <w:r w:rsidR="0059308A">
        <w:t>looding and erosion destroy</w:t>
      </w:r>
      <w:r w:rsidR="002172C6">
        <w:t xml:space="preserve"> infrastructure and houses,</w:t>
      </w:r>
      <w:r w:rsidR="0059308A">
        <w:t xml:space="preserve"> </w:t>
      </w:r>
      <w:r w:rsidR="00432E87">
        <w:t xml:space="preserve">and </w:t>
      </w:r>
      <w:r w:rsidR="0059308A">
        <w:t>render land impossible to cultivate</w:t>
      </w:r>
      <w:r w:rsidR="000E2A1A">
        <w:t>,</w:t>
      </w:r>
      <w:r w:rsidR="00876AC6">
        <w:t xml:space="preserve"> </w:t>
      </w:r>
      <w:r w:rsidR="009325E3">
        <w:t xml:space="preserve">thereby </w:t>
      </w:r>
      <w:r w:rsidR="00A37AB2">
        <w:t>impact</w:t>
      </w:r>
      <w:r w:rsidR="00C22BD0">
        <w:t>ing</w:t>
      </w:r>
      <w:r w:rsidR="00A37AB2">
        <w:t xml:space="preserve"> </w:t>
      </w:r>
      <w:r w:rsidR="00876AC6">
        <w:rPr>
          <w:iCs/>
        </w:rPr>
        <w:t>land-based food production systems and</w:t>
      </w:r>
      <w:r w:rsidR="00DF2D44">
        <w:rPr>
          <w:iCs/>
        </w:rPr>
        <w:t xml:space="preserve"> </w:t>
      </w:r>
      <w:r w:rsidR="00876AC6">
        <w:rPr>
          <w:iCs/>
        </w:rPr>
        <w:t>marine industries</w:t>
      </w:r>
      <w:r w:rsidR="00A37AB2">
        <w:rPr>
          <w:iCs/>
        </w:rPr>
        <w:t>.</w:t>
      </w:r>
      <w:r w:rsidR="003F0A8E">
        <w:rPr>
          <w:rStyle w:val="FootnoteReference"/>
          <w:iCs/>
        </w:rPr>
        <w:footnoteReference w:id="9"/>
      </w:r>
      <w:r w:rsidR="00A37AB2">
        <w:rPr>
          <w:iCs/>
        </w:rPr>
        <w:t xml:space="preserve"> </w:t>
      </w:r>
      <w:r w:rsidR="003F0A8E">
        <w:rPr>
          <w:iCs/>
        </w:rPr>
        <w:t xml:space="preserve">Among other </w:t>
      </w:r>
      <w:r w:rsidR="00E33048">
        <w:rPr>
          <w:iCs/>
        </w:rPr>
        <w:t>issues raised</w:t>
      </w:r>
      <w:r w:rsidR="004601DB">
        <w:rPr>
          <w:iCs/>
        </w:rPr>
        <w:t xml:space="preserve"> with their</w:t>
      </w:r>
      <w:r w:rsidR="003F0A8E">
        <w:rPr>
          <w:iCs/>
        </w:rPr>
        <w:t xml:space="preserve"> </w:t>
      </w:r>
      <w:r w:rsidR="000E2A1A">
        <w:rPr>
          <w:iCs/>
        </w:rPr>
        <w:t>communication</w:t>
      </w:r>
      <w:r w:rsidR="004677FE" w:rsidRPr="004677FE">
        <w:rPr>
          <w:iCs/>
        </w:rPr>
        <w:t xml:space="preserve"> </w:t>
      </w:r>
      <w:r w:rsidR="004677FE">
        <w:rPr>
          <w:iCs/>
        </w:rPr>
        <w:t>to the HRC</w:t>
      </w:r>
      <w:r w:rsidR="004601DB">
        <w:rPr>
          <w:iCs/>
        </w:rPr>
        <w:t>, its</w:t>
      </w:r>
      <w:r w:rsidR="000E2A1A">
        <w:rPr>
          <w:iCs/>
        </w:rPr>
        <w:t xml:space="preserve"> </w:t>
      </w:r>
      <w:r w:rsidR="003F0A8E">
        <w:rPr>
          <w:iCs/>
        </w:rPr>
        <w:t>authors</w:t>
      </w:r>
      <w:r w:rsidR="00E33048">
        <w:rPr>
          <w:iCs/>
        </w:rPr>
        <w:t xml:space="preserve"> complained that the respondent</w:t>
      </w:r>
      <w:r w:rsidR="004601DB">
        <w:rPr>
          <w:iCs/>
        </w:rPr>
        <w:t xml:space="preserve"> state</w:t>
      </w:r>
      <w:r w:rsidR="00E33048">
        <w:rPr>
          <w:iCs/>
        </w:rPr>
        <w:t xml:space="preserve"> </w:t>
      </w:r>
      <w:r w:rsidR="009325E3">
        <w:rPr>
          <w:iCs/>
        </w:rPr>
        <w:t>‘</w:t>
      </w:r>
      <w:r w:rsidR="003F0A8E" w:rsidRPr="00E33048">
        <w:rPr>
          <w:iCs/>
        </w:rPr>
        <w:t>has failed to implement an adaptation programme to ensure the long-term habitability of the islands</w:t>
      </w:r>
      <w:r w:rsidR="009325E3">
        <w:rPr>
          <w:iCs/>
        </w:rPr>
        <w:t>’,</w:t>
      </w:r>
      <w:r w:rsidR="009A6EDD">
        <w:rPr>
          <w:rStyle w:val="FootnoteReference"/>
          <w:iCs/>
        </w:rPr>
        <w:footnoteReference w:id="10"/>
      </w:r>
      <w:r w:rsidR="00E33048">
        <w:rPr>
          <w:iCs/>
        </w:rPr>
        <w:t xml:space="preserve"> </w:t>
      </w:r>
      <w:r w:rsidR="009A6EDD">
        <w:rPr>
          <w:iCs/>
        </w:rPr>
        <w:t xml:space="preserve">and that it </w:t>
      </w:r>
      <w:r w:rsidR="009325E3">
        <w:rPr>
          <w:iCs/>
        </w:rPr>
        <w:t>‘</w:t>
      </w:r>
      <w:r w:rsidR="00E33048" w:rsidRPr="00E33048">
        <w:rPr>
          <w:iCs/>
        </w:rPr>
        <w:t>has also failed to mitigate the impact of climate change</w:t>
      </w:r>
      <w:r w:rsidR="009A6EDD">
        <w:rPr>
          <w:iCs/>
        </w:rPr>
        <w:t>.</w:t>
      </w:r>
      <w:r w:rsidR="009325E3">
        <w:rPr>
          <w:iCs/>
        </w:rPr>
        <w:t>’</w:t>
      </w:r>
      <w:r w:rsidR="009A6EDD">
        <w:rPr>
          <w:rStyle w:val="FootnoteReference"/>
          <w:iCs/>
        </w:rPr>
        <w:footnoteReference w:id="11"/>
      </w:r>
      <w:r w:rsidR="00AC5A72">
        <w:rPr>
          <w:iCs/>
        </w:rPr>
        <w:t xml:space="preserve"> That is, their complain concerned both mitigation and adaptation.</w:t>
      </w:r>
      <w:r w:rsidR="00CD6184">
        <w:rPr>
          <w:iCs/>
        </w:rPr>
        <w:t xml:space="preserve"> </w:t>
      </w:r>
      <w:r w:rsidR="006E2C51">
        <w:rPr>
          <w:iCs/>
        </w:rPr>
        <w:t>According</w:t>
      </w:r>
      <w:r w:rsidR="00C22BD0">
        <w:rPr>
          <w:iCs/>
        </w:rPr>
        <w:t>ly,</w:t>
      </w:r>
      <w:r w:rsidR="004677FE">
        <w:rPr>
          <w:iCs/>
        </w:rPr>
        <w:t xml:space="preserve"> </w:t>
      </w:r>
      <w:r w:rsidR="006E2C51">
        <w:rPr>
          <w:iCs/>
        </w:rPr>
        <w:t>the</w:t>
      </w:r>
      <w:r w:rsidR="009325E3">
        <w:rPr>
          <w:iCs/>
        </w:rPr>
        <w:t xml:space="preserve"> authors</w:t>
      </w:r>
      <w:r w:rsidR="009E10CC">
        <w:rPr>
          <w:iCs/>
        </w:rPr>
        <w:t xml:space="preserve"> complained that the</w:t>
      </w:r>
      <w:r w:rsidR="006E2C51">
        <w:rPr>
          <w:iCs/>
        </w:rPr>
        <w:t xml:space="preserve"> respondent’s </w:t>
      </w:r>
      <w:r w:rsidR="00DF2D44">
        <w:rPr>
          <w:iCs/>
        </w:rPr>
        <w:t>omissions</w:t>
      </w:r>
      <w:r w:rsidR="00CD6184">
        <w:rPr>
          <w:iCs/>
        </w:rPr>
        <w:t xml:space="preserve"> amount to a violation</w:t>
      </w:r>
      <w:r w:rsidR="006E2C51">
        <w:rPr>
          <w:iCs/>
        </w:rPr>
        <w:t xml:space="preserve"> of</w:t>
      </w:r>
      <w:r w:rsidR="00265916">
        <w:rPr>
          <w:iCs/>
        </w:rPr>
        <w:t xml:space="preserve"> </w:t>
      </w:r>
      <w:r w:rsidR="006E2C51">
        <w:rPr>
          <w:iCs/>
        </w:rPr>
        <w:t>their right</w:t>
      </w:r>
      <w:r w:rsidR="009E10CC">
        <w:rPr>
          <w:iCs/>
        </w:rPr>
        <w:t>s</w:t>
      </w:r>
      <w:r w:rsidR="006E2C51">
        <w:rPr>
          <w:iCs/>
        </w:rPr>
        <w:t xml:space="preserve"> to life</w:t>
      </w:r>
      <w:r w:rsidR="009E10CC">
        <w:rPr>
          <w:iCs/>
        </w:rPr>
        <w:t xml:space="preserve"> –</w:t>
      </w:r>
      <w:r w:rsidR="00493BA4">
        <w:rPr>
          <w:iCs/>
        </w:rPr>
        <w:t>protected by</w:t>
      </w:r>
      <w:r w:rsidR="00B1057C">
        <w:rPr>
          <w:iCs/>
        </w:rPr>
        <w:t xml:space="preserve"> Article 6 of the International Covenant on Civil and Political Rights (ICCPR</w:t>
      </w:r>
      <w:r w:rsidR="00302911">
        <w:rPr>
          <w:rStyle w:val="FootnoteReference"/>
          <w:iCs/>
        </w:rPr>
        <w:footnoteReference w:id="12"/>
      </w:r>
      <w:r w:rsidR="00B1057C">
        <w:rPr>
          <w:iCs/>
        </w:rPr>
        <w:t>)</w:t>
      </w:r>
      <w:r w:rsidR="009E10CC">
        <w:rPr>
          <w:iCs/>
        </w:rPr>
        <w:t>–</w:t>
      </w:r>
      <w:r w:rsidR="00B1057C">
        <w:rPr>
          <w:iCs/>
        </w:rPr>
        <w:t>,</w:t>
      </w:r>
      <w:r w:rsidR="00E00244">
        <w:rPr>
          <w:iCs/>
        </w:rPr>
        <w:t xml:space="preserve"> to private, family</w:t>
      </w:r>
      <w:r w:rsidR="009325E3">
        <w:rPr>
          <w:iCs/>
        </w:rPr>
        <w:t>,</w:t>
      </w:r>
      <w:r w:rsidR="00E00244">
        <w:rPr>
          <w:iCs/>
        </w:rPr>
        <w:t xml:space="preserve"> and home life </w:t>
      </w:r>
      <w:r w:rsidR="009E10CC">
        <w:rPr>
          <w:iCs/>
        </w:rPr>
        <w:t>–</w:t>
      </w:r>
      <w:r w:rsidR="00493BA4">
        <w:rPr>
          <w:iCs/>
        </w:rPr>
        <w:t>protected by</w:t>
      </w:r>
      <w:r w:rsidR="00E00244">
        <w:rPr>
          <w:iCs/>
        </w:rPr>
        <w:t xml:space="preserve"> Article 17 ICCPR</w:t>
      </w:r>
      <w:r w:rsidR="009E10CC">
        <w:rPr>
          <w:iCs/>
        </w:rPr>
        <w:t>–</w:t>
      </w:r>
      <w:r w:rsidR="00E00244">
        <w:rPr>
          <w:iCs/>
        </w:rPr>
        <w:t xml:space="preserve">, and </w:t>
      </w:r>
      <w:r w:rsidR="00265916">
        <w:rPr>
          <w:iCs/>
        </w:rPr>
        <w:t>to enjoy their culture</w:t>
      </w:r>
      <w:r w:rsidR="009325E3">
        <w:rPr>
          <w:iCs/>
        </w:rPr>
        <w:t xml:space="preserve"> </w:t>
      </w:r>
      <w:r w:rsidR="0073571F">
        <w:rPr>
          <w:iCs/>
        </w:rPr>
        <w:t>–</w:t>
      </w:r>
      <w:r w:rsidR="009325E3">
        <w:rPr>
          <w:iCs/>
        </w:rPr>
        <w:t>protected</w:t>
      </w:r>
      <w:r w:rsidR="00265916">
        <w:rPr>
          <w:iCs/>
        </w:rPr>
        <w:t xml:space="preserve"> under Article 27 ICCPR.</w:t>
      </w:r>
      <w:r w:rsidR="009F0771">
        <w:rPr>
          <w:rStyle w:val="FootnoteReference"/>
          <w:iCs/>
        </w:rPr>
        <w:footnoteReference w:id="13"/>
      </w:r>
      <w:r w:rsidR="00265916">
        <w:rPr>
          <w:iCs/>
        </w:rPr>
        <w:t xml:space="preserve"> The</w:t>
      </w:r>
      <w:r w:rsidR="00D4338C">
        <w:rPr>
          <w:iCs/>
        </w:rPr>
        <w:t xml:space="preserve"> authors of the communication </w:t>
      </w:r>
      <w:r w:rsidR="00265916">
        <w:rPr>
          <w:iCs/>
        </w:rPr>
        <w:t xml:space="preserve">also complained on the basis of </w:t>
      </w:r>
      <w:r w:rsidR="009F0771">
        <w:rPr>
          <w:iCs/>
        </w:rPr>
        <w:t>Articles 2 and 24(1)</w:t>
      </w:r>
      <w:r w:rsidR="00D13A93">
        <w:rPr>
          <w:iCs/>
        </w:rPr>
        <w:t xml:space="preserve"> </w:t>
      </w:r>
      <w:r w:rsidR="009F0771">
        <w:rPr>
          <w:iCs/>
        </w:rPr>
        <w:t>ICCPR</w:t>
      </w:r>
      <w:r w:rsidR="006B6FC2">
        <w:rPr>
          <w:iCs/>
        </w:rPr>
        <w:t>.</w:t>
      </w:r>
      <w:r w:rsidR="009F0771">
        <w:rPr>
          <w:rStyle w:val="FootnoteReference"/>
          <w:iCs/>
        </w:rPr>
        <w:footnoteReference w:id="14"/>
      </w:r>
      <w:r w:rsidR="009F0771">
        <w:rPr>
          <w:iCs/>
        </w:rPr>
        <w:t xml:space="preserve"> </w:t>
      </w:r>
      <w:r w:rsidR="008047AD">
        <w:rPr>
          <w:iCs/>
        </w:rPr>
        <w:t>However, f</w:t>
      </w:r>
      <w:r w:rsidR="006B6FC2">
        <w:rPr>
          <w:iCs/>
        </w:rPr>
        <w:t xml:space="preserve">or reasons that do not need to be discussed here, </w:t>
      </w:r>
      <w:r w:rsidR="008047AD">
        <w:rPr>
          <w:iCs/>
        </w:rPr>
        <w:t xml:space="preserve">the former </w:t>
      </w:r>
      <w:r w:rsidR="00464D08">
        <w:rPr>
          <w:iCs/>
        </w:rPr>
        <w:t xml:space="preserve">was </w:t>
      </w:r>
      <w:r w:rsidR="009F0771">
        <w:rPr>
          <w:iCs/>
        </w:rPr>
        <w:t>declared inadmissible by the HRC</w:t>
      </w:r>
      <w:r w:rsidR="00D5443F">
        <w:rPr>
          <w:iCs/>
        </w:rPr>
        <w:t>,</w:t>
      </w:r>
      <w:r w:rsidR="00D5443F">
        <w:rPr>
          <w:rStyle w:val="FootnoteReference"/>
          <w:iCs/>
        </w:rPr>
        <w:footnoteReference w:id="15"/>
      </w:r>
      <w:r w:rsidR="00D5443F">
        <w:rPr>
          <w:iCs/>
        </w:rPr>
        <w:t xml:space="preserve"> </w:t>
      </w:r>
      <w:r w:rsidR="00464D08">
        <w:rPr>
          <w:iCs/>
        </w:rPr>
        <w:t>whereas</w:t>
      </w:r>
      <w:r w:rsidR="00D5443F">
        <w:rPr>
          <w:iCs/>
        </w:rPr>
        <w:t xml:space="preserve"> the </w:t>
      </w:r>
      <w:r w:rsidR="00D5443F">
        <w:rPr>
          <w:iCs/>
        </w:rPr>
        <w:lastRenderedPageBreak/>
        <w:t>latter</w:t>
      </w:r>
      <w:r w:rsidR="00D4338C">
        <w:rPr>
          <w:iCs/>
        </w:rPr>
        <w:t>,</w:t>
      </w:r>
      <w:r w:rsidR="00D5443F">
        <w:rPr>
          <w:iCs/>
        </w:rPr>
        <w:t xml:space="preserve"> given </w:t>
      </w:r>
      <w:r w:rsidR="00464D08">
        <w:rPr>
          <w:iCs/>
        </w:rPr>
        <w:t>the Committee’s</w:t>
      </w:r>
      <w:r w:rsidR="00D5443F">
        <w:rPr>
          <w:iCs/>
        </w:rPr>
        <w:t xml:space="preserve"> findings that the respondent has breached Article</w:t>
      </w:r>
      <w:r w:rsidR="00464D08">
        <w:rPr>
          <w:iCs/>
        </w:rPr>
        <w:t>s</w:t>
      </w:r>
      <w:r w:rsidR="00D5443F">
        <w:rPr>
          <w:iCs/>
        </w:rPr>
        <w:t xml:space="preserve"> 17 and 27</w:t>
      </w:r>
      <w:r w:rsidR="00D4338C">
        <w:rPr>
          <w:iCs/>
        </w:rPr>
        <w:t>,</w:t>
      </w:r>
      <w:r w:rsidR="00D4338C" w:rsidRPr="00D4338C">
        <w:rPr>
          <w:iCs/>
        </w:rPr>
        <w:t xml:space="preserve"> </w:t>
      </w:r>
      <w:r w:rsidR="001D3851">
        <w:rPr>
          <w:iCs/>
        </w:rPr>
        <w:t>w</w:t>
      </w:r>
      <w:r w:rsidR="004B0F63">
        <w:rPr>
          <w:iCs/>
        </w:rPr>
        <w:t>as</w:t>
      </w:r>
      <w:r w:rsidR="001D3851">
        <w:rPr>
          <w:iCs/>
        </w:rPr>
        <w:t xml:space="preserve"> deemed </w:t>
      </w:r>
      <w:r w:rsidR="00D4338C">
        <w:rPr>
          <w:iCs/>
        </w:rPr>
        <w:t>unnecessary to examine</w:t>
      </w:r>
      <w:r w:rsidR="009F0771">
        <w:rPr>
          <w:iCs/>
        </w:rPr>
        <w:t>.</w:t>
      </w:r>
      <w:r w:rsidR="00D5443F">
        <w:rPr>
          <w:rStyle w:val="FootnoteReference"/>
          <w:iCs/>
        </w:rPr>
        <w:footnoteReference w:id="16"/>
      </w:r>
      <w:r w:rsidR="009F0771">
        <w:rPr>
          <w:iCs/>
        </w:rPr>
        <w:t xml:space="preserve"> </w:t>
      </w:r>
      <w:r w:rsidR="00265916">
        <w:rPr>
          <w:iCs/>
        </w:rPr>
        <w:t xml:space="preserve"> </w:t>
      </w:r>
    </w:p>
    <w:p w14:paraId="44577A88" w14:textId="28F21D25" w:rsidR="00DC4F97" w:rsidRPr="00DC4F97" w:rsidRDefault="00BE178B" w:rsidP="00DC4F97">
      <w:pPr>
        <w:jc w:val="both"/>
        <w:rPr>
          <w:iCs/>
        </w:rPr>
      </w:pPr>
      <w:r>
        <w:rPr>
          <w:iCs/>
        </w:rPr>
        <w:tab/>
      </w:r>
      <w:r w:rsidR="006E1088">
        <w:rPr>
          <w:iCs/>
        </w:rPr>
        <w:t>On the merits</w:t>
      </w:r>
      <w:r w:rsidR="000E00A6">
        <w:rPr>
          <w:iCs/>
        </w:rPr>
        <w:t xml:space="preserve"> of the case</w:t>
      </w:r>
      <w:r w:rsidR="006E1088">
        <w:rPr>
          <w:iCs/>
        </w:rPr>
        <w:t xml:space="preserve">, </w:t>
      </w:r>
      <w:r w:rsidR="000E00A6">
        <w:rPr>
          <w:iCs/>
        </w:rPr>
        <w:t xml:space="preserve">the HRC </w:t>
      </w:r>
      <w:r w:rsidR="0046350F">
        <w:rPr>
          <w:iCs/>
        </w:rPr>
        <w:t xml:space="preserve">began </w:t>
      </w:r>
      <w:r w:rsidR="00A77792">
        <w:rPr>
          <w:iCs/>
        </w:rPr>
        <w:t>by</w:t>
      </w:r>
      <w:r w:rsidR="000E00A6">
        <w:rPr>
          <w:iCs/>
        </w:rPr>
        <w:t xml:space="preserve"> </w:t>
      </w:r>
      <w:r w:rsidR="006B78FE">
        <w:rPr>
          <w:iCs/>
        </w:rPr>
        <w:t xml:space="preserve">acknowledging </w:t>
      </w:r>
      <w:r w:rsidR="006E1088">
        <w:rPr>
          <w:iCs/>
        </w:rPr>
        <w:t>the risks that climate change pose</w:t>
      </w:r>
      <w:r w:rsidR="00D71F23">
        <w:rPr>
          <w:iCs/>
        </w:rPr>
        <w:t>s</w:t>
      </w:r>
      <w:r w:rsidR="006E1088">
        <w:rPr>
          <w:iCs/>
        </w:rPr>
        <w:t xml:space="preserve"> </w:t>
      </w:r>
      <w:r w:rsidR="00546687">
        <w:rPr>
          <w:iCs/>
        </w:rPr>
        <w:t>with</w:t>
      </w:r>
      <w:r w:rsidR="006E1088">
        <w:rPr>
          <w:iCs/>
        </w:rPr>
        <w:t xml:space="preserve"> respect </w:t>
      </w:r>
      <w:r w:rsidR="00210BA5">
        <w:rPr>
          <w:iCs/>
        </w:rPr>
        <w:t>to</w:t>
      </w:r>
      <w:r w:rsidR="006E1088">
        <w:rPr>
          <w:iCs/>
        </w:rPr>
        <w:t xml:space="preserve"> the authors’ li</w:t>
      </w:r>
      <w:r w:rsidR="00A77792">
        <w:rPr>
          <w:iCs/>
        </w:rPr>
        <w:t>ves</w:t>
      </w:r>
      <w:r w:rsidR="00C408BE">
        <w:rPr>
          <w:iCs/>
        </w:rPr>
        <w:t xml:space="preserve"> and the positive obligations </w:t>
      </w:r>
      <w:r w:rsidR="009E3DC7">
        <w:rPr>
          <w:iCs/>
        </w:rPr>
        <w:t xml:space="preserve">that </w:t>
      </w:r>
      <w:r w:rsidR="00C408BE">
        <w:rPr>
          <w:iCs/>
        </w:rPr>
        <w:t>such risks entail for states to proactively protect</w:t>
      </w:r>
      <w:r w:rsidR="001949F7" w:rsidRPr="001949F7">
        <w:rPr>
          <w:iCs/>
        </w:rPr>
        <w:t xml:space="preserve"> </w:t>
      </w:r>
      <w:r w:rsidR="001949F7">
        <w:rPr>
          <w:iCs/>
        </w:rPr>
        <w:t>human life</w:t>
      </w:r>
      <w:r w:rsidR="00C408BE">
        <w:rPr>
          <w:iCs/>
        </w:rPr>
        <w:t xml:space="preserve"> through appropriate measures.</w:t>
      </w:r>
      <w:r w:rsidR="00C408BE">
        <w:rPr>
          <w:rStyle w:val="FootnoteReference"/>
          <w:iCs/>
        </w:rPr>
        <w:footnoteReference w:id="17"/>
      </w:r>
      <w:r w:rsidR="00C408BE">
        <w:rPr>
          <w:iCs/>
        </w:rPr>
        <w:t xml:space="preserve"> </w:t>
      </w:r>
      <w:r w:rsidR="00C5524B">
        <w:rPr>
          <w:iCs/>
        </w:rPr>
        <w:t>However, the HRC</w:t>
      </w:r>
      <w:r w:rsidR="004739DF">
        <w:rPr>
          <w:iCs/>
        </w:rPr>
        <w:t xml:space="preserve"> noted that, </w:t>
      </w:r>
      <w:r w:rsidR="00C5524B">
        <w:rPr>
          <w:iCs/>
        </w:rPr>
        <w:t xml:space="preserve">real as </w:t>
      </w:r>
      <w:r w:rsidR="004739DF">
        <w:rPr>
          <w:iCs/>
        </w:rPr>
        <w:t xml:space="preserve">the risk </w:t>
      </w:r>
      <w:r w:rsidR="00CF5CA0">
        <w:rPr>
          <w:iCs/>
        </w:rPr>
        <w:t xml:space="preserve">for the future </w:t>
      </w:r>
      <w:r w:rsidR="00C5524B">
        <w:rPr>
          <w:iCs/>
        </w:rPr>
        <w:t xml:space="preserve">may be, </w:t>
      </w:r>
      <w:r w:rsidR="004739DF">
        <w:rPr>
          <w:iCs/>
        </w:rPr>
        <w:t>the authors</w:t>
      </w:r>
      <w:r w:rsidR="00122104">
        <w:rPr>
          <w:iCs/>
        </w:rPr>
        <w:t xml:space="preserve"> presently</w:t>
      </w:r>
      <w:r w:rsidR="004739DF">
        <w:rPr>
          <w:iCs/>
        </w:rPr>
        <w:t xml:space="preserve"> </w:t>
      </w:r>
      <w:r w:rsidR="00CF5CA0">
        <w:rPr>
          <w:iCs/>
        </w:rPr>
        <w:t>do not</w:t>
      </w:r>
      <w:r w:rsidR="00C5524B" w:rsidRPr="00400448">
        <w:rPr>
          <w:iCs/>
        </w:rPr>
        <w:t xml:space="preserve"> </w:t>
      </w:r>
      <w:r w:rsidR="00122104">
        <w:rPr>
          <w:iCs/>
        </w:rPr>
        <w:t>‘</w:t>
      </w:r>
      <w:r w:rsidR="00C5524B" w:rsidRPr="00400448">
        <w:rPr>
          <w:iCs/>
        </w:rPr>
        <w:t>face</w:t>
      </w:r>
      <w:r w:rsidR="00CF5CA0" w:rsidRPr="00400448">
        <w:rPr>
          <w:iCs/>
        </w:rPr>
        <w:t xml:space="preserve"> </w:t>
      </w:r>
      <w:r w:rsidR="00C5524B" w:rsidRPr="00400448">
        <w:rPr>
          <w:iCs/>
        </w:rPr>
        <w:t>adverse impacts to their own health or a real and reasonably foreseeable risk of being exposed to a situation of physical endangerment or extreme precarity that could threaten their right to life</w:t>
      </w:r>
      <w:r w:rsidR="00122104">
        <w:rPr>
          <w:iCs/>
        </w:rPr>
        <w:t>’</w:t>
      </w:r>
      <w:r w:rsidR="00400448" w:rsidRPr="00400448">
        <w:rPr>
          <w:iCs/>
        </w:rPr>
        <w:t>.</w:t>
      </w:r>
      <w:r w:rsidR="00400448">
        <w:rPr>
          <w:rStyle w:val="FootnoteReference"/>
          <w:iCs/>
        </w:rPr>
        <w:footnoteReference w:id="18"/>
      </w:r>
      <w:r w:rsidR="00400448">
        <w:rPr>
          <w:iCs/>
        </w:rPr>
        <w:t xml:space="preserve"> This, combined with the fact that the respondent has </w:t>
      </w:r>
      <w:r w:rsidR="003B4BD7">
        <w:rPr>
          <w:iCs/>
        </w:rPr>
        <w:t xml:space="preserve">in place </w:t>
      </w:r>
      <w:r w:rsidR="00400448">
        <w:rPr>
          <w:iCs/>
        </w:rPr>
        <w:t>a p</w:t>
      </w:r>
      <w:r w:rsidR="001413C3">
        <w:rPr>
          <w:iCs/>
        </w:rPr>
        <w:t>rogramme/policy</w:t>
      </w:r>
      <w:r w:rsidR="00400448">
        <w:rPr>
          <w:iCs/>
        </w:rPr>
        <w:t xml:space="preserve"> </w:t>
      </w:r>
      <w:r w:rsidR="001413C3">
        <w:rPr>
          <w:iCs/>
        </w:rPr>
        <w:t xml:space="preserve">that will lead to the construction and upgrading of infrastructure </w:t>
      </w:r>
      <w:r w:rsidR="003B4BD7">
        <w:rPr>
          <w:iCs/>
        </w:rPr>
        <w:t xml:space="preserve">as a means </w:t>
      </w:r>
      <w:r w:rsidR="00E01F87" w:rsidRPr="00E01F87">
        <w:rPr>
          <w:iCs/>
        </w:rPr>
        <w:t>to address coastal erosion and storm surge impacts</w:t>
      </w:r>
      <w:r w:rsidR="00E01F87">
        <w:rPr>
          <w:iCs/>
        </w:rPr>
        <w:t xml:space="preserve">, </w:t>
      </w:r>
      <w:r w:rsidR="00FE367C">
        <w:rPr>
          <w:iCs/>
        </w:rPr>
        <w:t>in addition to</w:t>
      </w:r>
      <w:r w:rsidR="00E01F87">
        <w:rPr>
          <w:iCs/>
        </w:rPr>
        <w:t xml:space="preserve"> other adaptation and mitigation measures,</w:t>
      </w:r>
      <w:r w:rsidR="00EC423F">
        <w:rPr>
          <w:rStyle w:val="FootnoteReference"/>
          <w:iCs/>
        </w:rPr>
        <w:footnoteReference w:id="19"/>
      </w:r>
      <w:r w:rsidR="00EC423F">
        <w:rPr>
          <w:iCs/>
        </w:rPr>
        <w:t xml:space="preserve"> led the HRC to </w:t>
      </w:r>
      <w:r w:rsidR="006C6D9C">
        <w:rPr>
          <w:iCs/>
        </w:rPr>
        <w:t>essentially</w:t>
      </w:r>
      <w:r w:rsidR="00EC423F">
        <w:rPr>
          <w:iCs/>
        </w:rPr>
        <w:t xml:space="preserve"> conclude that the respondent has not been negligent</w:t>
      </w:r>
      <w:r w:rsidR="006C6D9C">
        <w:rPr>
          <w:iCs/>
        </w:rPr>
        <w:t>.</w:t>
      </w:r>
      <w:r w:rsidR="00125661">
        <w:rPr>
          <w:iCs/>
        </w:rPr>
        <w:t xml:space="preserve"> </w:t>
      </w:r>
      <w:r w:rsidR="00AA7121">
        <w:rPr>
          <w:iCs/>
        </w:rPr>
        <w:t>Australia</w:t>
      </w:r>
      <w:r w:rsidR="00125661">
        <w:rPr>
          <w:iCs/>
        </w:rPr>
        <w:t xml:space="preserve"> has </w:t>
      </w:r>
      <w:r w:rsidR="00D24F27">
        <w:rPr>
          <w:iCs/>
        </w:rPr>
        <w:t xml:space="preserve">ahead of it </w:t>
      </w:r>
      <w:r w:rsidR="00125661">
        <w:rPr>
          <w:iCs/>
        </w:rPr>
        <w:t xml:space="preserve">the time that is needed to continue demonstrating due diligence and to apply </w:t>
      </w:r>
      <w:r w:rsidR="005A70C0">
        <w:rPr>
          <w:iCs/>
        </w:rPr>
        <w:t xml:space="preserve">appropriate </w:t>
      </w:r>
      <w:r w:rsidR="00125661">
        <w:rPr>
          <w:iCs/>
        </w:rPr>
        <w:t xml:space="preserve">positive measures </w:t>
      </w:r>
      <w:r w:rsidR="00AA7121">
        <w:rPr>
          <w:iCs/>
        </w:rPr>
        <w:t xml:space="preserve">with a view to </w:t>
      </w:r>
      <w:r w:rsidR="00FE367C">
        <w:rPr>
          <w:iCs/>
        </w:rPr>
        <w:t>‘</w:t>
      </w:r>
      <w:r w:rsidR="00AA7121" w:rsidRPr="00AA7121">
        <w:rPr>
          <w:iCs/>
        </w:rPr>
        <w:t>protect and, where necessary, relocate the alleged victims</w:t>
      </w:r>
      <w:r w:rsidR="00FE367C">
        <w:rPr>
          <w:iCs/>
        </w:rPr>
        <w:t>’</w:t>
      </w:r>
      <w:r w:rsidR="005A70C0">
        <w:rPr>
          <w:iCs/>
        </w:rPr>
        <w:t>.</w:t>
      </w:r>
      <w:r w:rsidR="00AA7121">
        <w:rPr>
          <w:rStyle w:val="FootnoteReference"/>
          <w:iCs/>
        </w:rPr>
        <w:footnoteReference w:id="20"/>
      </w:r>
      <w:r w:rsidR="00DC4F97">
        <w:rPr>
          <w:iCs/>
        </w:rPr>
        <w:t xml:space="preserve"> Thus, the Committee held that </w:t>
      </w:r>
      <w:r w:rsidR="00FE367C">
        <w:rPr>
          <w:iCs/>
        </w:rPr>
        <w:t>‘</w:t>
      </w:r>
      <w:r w:rsidR="00DC4F97">
        <w:rPr>
          <w:iCs/>
        </w:rPr>
        <w:t xml:space="preserve">it is not in a position to conclude that </w:t>
      </w:r>
      <w:r w:rsidR="00DC4F97" w:rsidRPr="00DC4F97">
        <w:rPr>
          <w:iCs/>
        </w:rPr>
        <w:t>the adaptation measures taken by the State party would be insufficient so as to represent a direct threat to the authors’ right to life with dignity.</w:t>
      </w:r>
      <w:r w:rsidR="00FE367C">
        <w:rPr>
          <w:iCs/>
        </w:rPr>
        <w:t>’</w:t>
      </w:r>
      <w:r w:rsidR="00823C08">
        <w:rPr>
          <w:rStyle w:val="FootnoteReference"/>
          <w:iCs/>
        </w:rPr>
        <w:footnoteReference w:id="21"/>
      </w:r>
      <w:r w:rsidR="003C330A">
        <w:rPr>
          <w:iCs/>
        </w:rPr>
        <w:t xml:space="preserve"> Therefore, </w:t>
      </w:r>
      <w:r w:rsidR="005774DE">
        <w:rPr>
          <w:iCs/>
        </w:rPr>
        <w:t>Australia</w:t>
      </w:r>
      <w:r w:rsidR="003C330A">
        <w:rPr>
          <w:iCs/>
        </w:rPr>
        <w:t xml:space="preserve"> did not breach its obligations under Article 6 ICCPR </w:t>
      </w:r>
      <w:r w:rsidR="00FE367C">
        <w:rPr>
          <w:iCs/>
        </w:rPr>
        <w:t>with</w:t>
      </w:r>
      <w:r w:rsidR="003C330A">
        <w:rPr>
          <w:iCs/>
        </w:rPr>
        <w:t xml:space="preserve"> respect to the positive dimension of the right to life.</w:t>
      </w:r>
    </w:p>
    <w:p w14:paraId="0C1F5EA6" w14:textId="1391EDBF" w:rsidR="000605C6" w:rsidRDefault="00BE178B" w:rsidP="000605C6">
      <w:pPr>
        <w:jc w:val="both"/>
        <w:rPr>
          <w:iCs/>
        </w:rPr>
      </w:pPr>
      <w:r>
        <w:rPr>
          <w:iCs/>
        </w:rPr>
        <w:tab/>
      </w:r>
      <w:r w:rsidR="005774DE">
        <w:rPr>
          <w:iCs/>
        </w:rPr>
        <w:t xml:space="preserve">However, the HRC found the respondent liable </w:t>
      </w:r>
      <w:proofErr w:type="gramStart"/>
      <w:r w:rsidR="005774DE">
        <w:rPr>
          <w:iCs/>
        </w:rPr>
        <w:t>on the basis of</w:t>
      </w:r>
      <w:proofErr w:type="gramEnd"/>
      <w:r w:rsidR="005774DE">
        <w:rPr>
          <w:iCs/>
        </w:rPr>
        <w:t xml:space="preserve"> Articles 17 and 27 ICCPR. </w:t>
      </w:r>
      <w:r w:rsidR="00F24D17">
        <w:rPr>
          <w:iCs/>
        </w:rPr>
        <w:t xml:space="preserve">With regard to the former provision, the </w:t>
      </w:r>
      <w:r w:rsidR="00857360">
        <w:rPr>
          <w:iCs/>
        </w:rPr>
        <w:t xml:space="preserve">Committee </w:t>
      </w:r>
      <w:r w:rsidR="009C689E">
        <w:rPr>
          <w:iCs/>
        </w:rPr>
        <w:t>relied on</w:t>
      </w:r>
      <w:r w:rsidR="00857360">
        <w:rPr>
          <w:iCs/>
        </w:rPr>
        <w:t xml:space="preserve"> the positive</w:t>
      </w:r>
      <w:r w:rsidR="009C689E">
        <w:rPr>
          <w:iCs/>
        </w:rPr>
        <w:t xml:space="preserve"> dimension of the rights </w:t>
      </w:r>
      <w:r w:rsidR="0009707A">
        <w:rPr>
          <w:iCs/>
        </w:rPr>
        <w:t xml:space="preserve">that </w:t>
      </w:r>
      <w:r w:rsidR="00941A69">
        <w:rPr>
          <w:iCs/>
        </w:rPr>
        <w:t xml:space="preserve">Article 17 </w:t>
      </w:r>
      <w:r w:rsidR="009C689E">
        <w:rPr>
          <w:iCs/>
        </w:rPr>
        <w:t>enshrine</w:t>
      </w:r>
      <w:r w:rsidR="00941A69">
        <w:rPr>
          <w:iCs/>
        </w:rPr>
        <w:t>s</w:t>
      </w:r>
      <w:r w:rsidR="005C2C87">
        <w:rPr>
          <w:iCs/>
        </w:rPr>
        <w:t>.</w:t>
      </w:r>
      <w:r w:rsidR="00F57522">
        <w:rPr>
          <w:rStyle w:val="FootnoteReference"/>
          <w:iCs/>
        </w:rPr>
        <w:footnoteReference w:id="22"/>
      </w:r>
      <w:r w:rsidR="00DA4B00">
        <w:rPr>
          <w:iCs/>
        </w:rPr>
        <w:t xml:space="preserve"> </w:t>
      </w:r>
      <w:r w:rsidR="005C2C87">
        <w:rPr>
          <w:iCs/>
        </w:rPr>
        <w:t xml:space="preserve">As to the measures applied by the respondent to address </w:t>
      </w:r>
      <w:r w:rsidR="00332168">
        <w:rPr>
          <w:iCs/>
        </w:rPr>
        <w:t>the adverse impact of climate change on the enjoyment of the rights at issue,</w:t>
      </w:r>
      <w:r w:rsidR="005C2C87">
        <w:rPr>
          <w:iCs/>
        </w:rPr>
        <w:t xml:space="preserve"> </w:t>
      </w:r>
      <w:r w:rsidR="00332168">
        <w:rPr>
          <w:iCs/>
        </w:rPr>
        <w:t>t</w:t>
      </w:r>
      <w:r w:rsidR="00DA4B00">
        <w:rPr>
          <w:iCs/>
        </w:rPr>
        <w:t xml:space="preserve">he HRC took note </w:t>
      </w:r>
      <w:r w:rsidR="00626DF5">
        <w:rPr>
          <w:iCs/>
        </w:rPr>
        <w:t>of the respondent’s actions,</w:t>
      </w:r>
      <w:r w:rsidR="009717D6">
        <w:rPr>
          <w:iCs/>
        </w:rPr>
        <w:t xml:space="preserve"> including measures aiming at </w:t>
      </w:r>
      <w:r w:rsidR="00021FD0">
        <w:rPr>
          <w:iCs/>
        </w:rPr>
        <w:t>mitigating</w:t>
      </w:r>
      <w:r w:rsidR="009717D6">
        <w:rPr>
          <w:iCs/>
        </w:rPr>
        <w:t xml:space="preserve"> climate change, such as </w:t>
      </w:r>
      <w:r w:rsidR="00DA4B00">
        <w:rPr>
          <w:iCs/>
        </w:rPr>
        <w:t>low emission policies and strategies</w:t>
      </w:r>
      <w:r w:rsidR="00BC282F">
        <w:rPr>
          <w:iCs/>
        </w:rPr>
        <w:t>,</w:t>
      </w:r>
      <w:r w:rsidR="00626DF5">
        <w:rPr>
          <w:rStyle w:val="FootnoteReference"/>
          <w:iCs/>
        </w:rPr>
        <w:footnoteReference w:id="23"/>
      </w:r>
      <w:r w:rsidR="00F57522">
        <w:rPr>
          <w:iCs/>
        </w:rPr>
        <w:t xml:space="preserve"> and</w:t>
      </w:r>
      <w:r w:rsidR="00E23E4D">
        <w:rPr>
          <w:iCs/>
        </w:rPr>
        <w:t>, focusing on the delay in the construction of seawalls</w:t>
      </w:r>
      <w:r w:rsidR="005E538C">
        <w:rPr>
          <w:iCs/>
        </w:rPr>
        <w:t>,</w:t>
      </w:r>
      <w:r w:rsidR="00E23E4D">
        <w:rPr>
          <w:iCs/>
        </w:rPr>
        <w:t xml:space="preserve"> </w:t>
      </w:r>
      <w:r w:rsidR="005E538C">
        <w:rPr>
          <w:iCs/>
        </w:rPr>
        <w:t xml:space="preserve">concluded that </w:t>
      </w:r>
      <w:r w:rsidR="00901272">
        <w:rPr>
          <w:iCs/>
        </w:rPr>
        <w:t xml:space="preserve">the respondent has breached Article 17 </w:t>
      </w:r>
      <w:r w:rsidR="00BC282F">
        <w:rPr>
          <w:iCs/>
        </w:rPr>
        <w:t>in that it</w:t>
      </w:r>
      <w:r w:rsidR="00901272">
        <w:rPr>
          <w:iCs/>
        </w:rPr>
        <w:t xml:space="preserve"> </w:t>
      </w:r>
      <w:r w:rsidR="004653C9">
        <w:rPr>
          <w:iCs/>
        </w:rPr>
        <w:t>had ‘</w:t>
      </w:r>
      <w:r w:rsidR="00901272">
        <w:rPr>
          <w:iCs/>
        </w:rPr>
        <w:t>fail</w:t>
      </w:r>
      <w:r w:rsidR="00BC282F">
        <w:rPr>
          <w:iCs/>
        </w:rPr>
        <w:t>[ed]</w:t>
      </w:r>
      <w:r w:rsidR="00901272">
        <w:rPr>
          <w:iCs/>
        </w:rPr>
        <w:t xml:space="preserve"> to </w:t>
      </w:r>
      <w:r w:rsidR="005E538C" w:rsidRPr="00901272">
        <w:rPr>
          <w:iCs/>
        </w:rPr>
        <w:t>discharge its positive obligation to implement adequate adaptation measures to protect the authors’ home, private life and family</w:t>
      </w:r>
      <w:r w:rsidR="004653C9">
        <w:rPr>
          <w:iCs/>
        </w:rPr>
        <w:t>’</w:t>
      </w:r>
      <w:r w:rsidR="00F207E8">
        <w:rPr>
          <w:iCs/>
        </w:rPr>
        <w:t>.</w:t>
      </w:r>
      <w:r w:rsidR="00F207E8">
        <w:rPr>
          <w:rStyle w:val="FootnoteReference"/>
          <w:iCs/>
        </w:rPr>
        <w:footnoteReference w:id="24"/>
      </w:r>
      <w:r w:rsidR="00F207E8">
        <w:rPr>
          <w:iCs/>
        </w:rPr>
        <w:t xml:space="preserve"> This amounts to typical state fault stemming from the absence of due diligence, that is, </w:t>
      </w:r>
      <w:r w:rsidR="00A45D1D">
        <w:rPr>
          <w:iCs/>
        </w:rPr>
        <w:t xml:space="preserve">from </w:t>
      </w:r>
      <w:r w:rsidR="00F207E8">
        <w:rPr>
          <w:iCs/>
        </w:rPr>
        <w:t xml:space="preserve">the respondent’s negligence to </w:t>
      </w:r>
      <w:r w:rsidR="000605C6">
        <w:rPr>
          <w:iCs/>
        </w:rPr>
        <w:t xml:space="preserve">construct </w:t>
      </w:r>
      <w:r w:rsidR="0071268A">
        <w:rPr>
          <w:iCs/>
        </w:rPr>
        <w:t xml:space="preserve">adequate </w:t>
      </w:r>
      <w:r w:rsidR="000605C6">
        <w:rPr>
          <w:iCs/>
        </w:rPr>
        <w:t>seawalls</w:t>
      </w:r>
      <w:r w:rsidR="0071268A">
        <w:rPr>
          <w:iCs/>
        </w:rPr>
        <w:t xml:space="preserve"> in a timely fashion</w:t>
      </w:r>
      <w:r w:rsidR="000605C6">
        <w:rPr>
          <w:iCs/>
        </w:rPr>
        <w:t xml:space="preserve">. </w:t>
      </w:r>
      <w:r w:rsidR="00343A32">
        <w:rPr>
          <w:iCs/>
        </w:rPr>
        <w:t xml:space="preserve">For the same reason, namely </w:t>
      </w:r>
      <w:r w:rsidR="00253686">
        <w:rPr>
          <w:iCs/>
        </w:rPr>
        <w:t xml:space="preserve">because of the </w:t>
      </w:r>
      <w:r w:rsidR="00343A32">
        <w:rPr>
          <w:iCs/>
        </w:rPr>
        <w:t>delays in the construction of seawalls</w:t>
      </w:r>
      <w:r w:rsidR="00253686">
        <w:rPr>
          <w:iCs/>
        </w:rPr>
        <w:t xml:space="preserve">, the HRC established a breach of Article 27 ICCPR </w:t>
      </w:r>
      <w:r w:rsidR="00A45D1D">
        <w:rPr>
          <w:iCs/>
        </w:rPr>
        <w:t xml:space="preserve">too, </w:t>
      </w:r>
      <w:r w:rsidR="00D7173B">
        <w:rPr>
          <w:iCs/>
        </w:rPr>
        <w:t xml:space="preserve">owing to the respondent’s failure </w:t>
      </w:r>
      <w:r w:rsidR="00CC5477">
        <w:rPr>
          <w:iCs/>
        </w:rPr>
        <w:t>‘</w:t>
      </w:r>
      <w:r w:rsidR="00253686" w:rsidRPr="00D7173B">
        <w:rPr>
          <w:iCs/>
        </w:rPr>
        <w:t>to protect the authors’ collective ability to maintain their traditional way of life, to transmit to their children and future generations their culture and traditions and use of land and sea resources</w:t>
      </w:r>
      <w:r w:rsidR="00CC5477">
        <w:rPr>
          <w:iCs/>
        </w:rPr>
        <w:t>’</w:t>
      </w:r>
      <w:r w:rsidR="00112FAA">
        <w:rPr>
          <w:rStyle w:val="FootnoteReference"/>
          <w:iCs/>
        </w:rPr>
        <w:footnoteReference w:id="25"/>
      </w:r>
      <w:r w:rsidR="00112FAA">
        <w:rPr>
          <w:iCs/>
        </w:rPr>
        <w:t xml:space="preserve"> as elements of </w:t>
      </w:r>
      <w:r w:rsidR="00253686" w:rsidRPr="00D7173B">
        <w:rPr>
          <w:iCs/>
        </w:rPr>
        <w:t xml:space="preserve">their minority culture. </w:t>
      </w:r>
      <w:r w:rsidR="00343A32">
        <w:rPr>
          <w:iCs/>
        </w:rPr>
        <w:t xml:space="preserve"> </w:t>
      </w:r>
    </w:p>
    <w:p w14:paraId="499FCB45" w14:textId="33ADB11F" w:rsidR="00C670E8" w:rsidRDefault="00BE178B" w:rsidP="000605C6">
      <w:pPr>
        <w:jc w:val="both"/>
        <w:rPr>
          <w:iCs/>
        </w:rPr>
      </w:pPr>
      <w:r>
        <w:rPr>
          <w:iCs/>
        </w:rPr>
        <w:tab/>
      </w:r>
      <w:r w:rsidR="009576A3">
        <w:rPr>
          <w:iCs/>
        </w:rPr>
        <w:t>Thus, to</w:t>
      </w:r>
      <w:r w:rsidR="00A60A7F">
        <w:rPr>
          <w:iCs/>
        </w:rPr>
        <w:t xml:space="preserve"> summarise, </w:t>
      </w:r>
      <w:r w:rsidR="00425510">
        <w:rPr>
          <w:iCs/>
        </w:rPr>
        <w:t xml:space="preserve">the HRC found no negligence on behalf of the </w:t>
      </w:r>
      <w:r w:rsidR="00892DFF">
        <w:rPr>
          <w:iCs/>
        </w:rPr>
        <w:t xml:space="preserve">respondent with regard to the right to life, but expected it to have </w:t>
      </w:r>
      <w:r w:rsidR="00682A65">
        <w:rPr>
          <w:iCs/>
        </w:rPr>
        <w:t xml:space="preserve">promptly </w:t>
      </w:r>
      <w:r w:rsidR="00FF2E51">
        <w:rPr>
          <w:iCs/>
        </w:rPr>
        <w:t xml:space="preserve">built more seawalls as a means to remedy </w:t>
      </w:r>
      <w:r w:rsidR="00A60A7F">
        <w:rPr>
          <w:iCs/>
        </w:rPr>
        <w:t>the</w:t>
      </w:r>
      <w:r w:rsidR="00FF2E51">
        <w:rPr>
          <w:iCs/>
        </w:rPr>
        <w:t xml:space="preserve"> adverse impact that climate change has on the </w:t>
      </w:r>
      <w:r w:rsidR="00A60A7F">
        <w:rPr>
          <w:iCs/>
        </w:rPr>
        <w:t xml:space="preserve">ability of the </w:t>
      </w:r>
      <w:r w:rsidR="00FF2E51">
        <w:rPr>
          <w:iCs/>
        </w:rPr>
        <w:t xml:space="preserve">authors </w:t>
      </w:r>
      <w:r w:rsidR="0014258C">
        <w:rPr>
          <w:iCs/>
        </w:rPr>
        <w:t xml:space="preserve">of the </w:t>
      </w:r>
      <w:r w:rsidR="0014258C" w:rsidRPr="0046647F">
        <w:rPr>
          <w:iCs/>
        </w:rPr>
        <w:t>communication to fully en</w:t>
      </w:r>
      <w:r w:rsidR="00BE69C5" w:rsidRPr="0046647F">
        <w:rPr>
          <w:iCs/>
        </w:rPr>
        <w:t>j</w:t>
      </w:r>
      <w:r w:rsidR="0014258C" w:rsidRPr="0046647F">
        <w:rPr>
          <w:iCs/>
        </w:rPr>
        <w:t xml:space="preserve">oy their rights to </w:t>
      </w:r>
      <w:r w:rsidR="00BE69C5" w:rsidRPr="0046647F">
        <w:rPr>
          <w:iCs/>
        </w:rPr>
        <w:t xml:space="preserve">private life, </w:t>
      </w:r>
      <w:r w:rsidR="0014258C" w:rsidRPr="0046647F">
        <w:rPr>
          <w:iCs/>
        </w:rPr>
        <w:t>family</w:t>
      </w:r>
      <w:r w:rsidR="009337EC" w:rsidRPr="0046647F">
        <w:rPr>
          <w:iCs/>
        </w:rPr>
        <w:t>,</w:t>
      </w:r>
      <w:r w:rsidR="00BE69C5" w:rsidRPr="0046647F">
        <w:rPr>
          <w:iCs/>
        </w:rPr>
        <w:t xml:space="preserve"> and home, considering in particular the special cultural ties </w:t>
      </w:r>
      <w:r w:rsidR="00D974E0" w:rsidRPr="0046647F">
        <w:rPr>
          <w:iCs/>
        </w:rPr>
        <w:t xml:space="preserve">that </w:t>
      </w:r>
      <w:r w:rsidR="00BE69C5" w:rsidRPr="0046647F">
        <w:rPr>
          <w:iCs/>
        </w:rPr>
        <w:t>they have as indigenous people with their l</w:t>
      </w:r>
      <w:r w:rsidR="00801142" w:rsidRPr="0046647F">
        <w:rPr>
          <w:iCs/>
        </w:rPr>
        <w:t>and</w:t>
      </w:r>
      <w:r w:rsidR="00BE69C5" w:rsidRPr="0046647F">
        <w:rPr>
          <w:iCs/>
        </w:rPr>
        <w:t xml:space="preserve">. </w:t>
      </w:r>
      <w:r w:rsidR="00C670E8" w:rsidRPr="0046647F">
        <w:rPr>
          <w:iCs/>
        </w:rPr>
        <w:t>Now, i</w:t>
      </w:r>
      <w:r w:rsidR="00801142" w:rsidRPr="0046647F">
        <w:rPr>
          <w:iCs/>
        </w:rPr>
        <w:t>s</w:t>
      </w:r>
      <w:r w:rsidR="00801142">
        <w:rPr>
          <w:iCs/>
        </w:rPr>
        <w:t xml:space="preserve"> this</w:t>
      </w:r>
      <w:r w:rsidR="00C670E8">
        <w:rPr>
          <w:iCs/>
        </w:rPr>
        <w:t xml:space="preserve"> an instance of </w:t>
      </w:r>
      <w:r w:rsidR="00D95167">
        <w:rPr>
          <w:iCs/>
        </w:rPr>
        <w:t xml:space="preserve">‘true’ </w:t>
      </w:r>
      <w:r w:rsidR="00C670E8">
        <w:rPr>
          <w:iCs/>
        </w:rPr>
        <w:t xml:space="preserve">climate change litigation and, if </w:t>
      </w:r>
      <w:r w:rsidR="00320F9F">
        <w:rPr>
          <w:iCs/>
        </w:rPr>
        <w:t xml:space="preserve">–as I argue– </w:t>
      </w:r>
      <w:r w:rsidR="00C670E8">
        <w:rPr>
          <w:iCs/>
        </w:rPr>
        <w:t>no, why so?</w:t>
      </w:r>
    </w:p>
    <w:p w14:paraId="225DC835" w14:textId="77777777" w:rsidR="00D974E0" w:rsidRPr="00965D49" w:rsidRDefault="00D974E0" w:rsidP="00965D49">
      <w:pPr>
        <w:jc w:val="both"/>
        <w:rPr>
          <w:b/>
          <w:bCs/>
        </w:rPr>
      </w:pPr>
    </w:p>
    <w:p w14:paraId="59EB774C" w14:textId="705C9FF2" w:rsidR="00A60C11" w:rsidRPr="003A20BF" w:rsidRDefault="003A20BF" w:rsidP="003A20BF">
      <w:pPr>
        <w:pStyle w:val="ListParagraph"/>
        <w:numPr>
          <w:ilvl w:val="0"/>
          <w:numId w:val="2"/>
        </w:numPr>
        <w:jc w:val="both"/>
        <w:rPr>
          <w:b/>
          <w:bCs/>
        </w:rPr>
      </w:pPr>
      <w:r>
        <w:rPr>
          <w:b/>
          <w:bCs/>
        </w:rPr>
        <w:lastRenderedPageBreak/>
        <w:t>‘</w:t>
      </w:r>
      <w:r w:rsidR="002C46C3">
        <w:rPr>
          <w:b/>
          <w:bCs/>
        </w:rPr>
        <w:t>T</w:t>
      </w:r>
      <w:r>
        <w:rPr>
          <w:b/>
          <w:bCs/>
        </w:rPr>
        <w:t xml:space="preserve">rue’ </w:t>
      </w:r>
      <w:r w:rsidR="00D974E0">
        <w:rPr>
          <w:b/>
          <w:bCs/>
        </w:rPr>
        <w:t>C</w:t>
      </w:r>
      <w:r w:rsidR="00C670E8" w:rsidRPr="003A20BF">
        <w:rPr>
          <w:b/>
          <w:bCs/>
        </w:rPr>
        <w:t xml:space="preserve">limate </w:t>
      </w:r>
      <w:r w:rsidR="00D974E0">
        <w:rPr>
          <w:b/>
          <w:bCs/>
        </w:rPr>
        <w:t>C</w:t>
      </w:r>
      <w:r w:rsidR="00C670E8" w:rsidRPr="003A20BF">
        <w:rPr>
          <w:b/>
          <w:bCs/>
        </w:rPr>
        <w:t xml:space="preserve">hange </w:t>
      </w:r>
      <w:r w:rsidR="00D974E0">
        <w:rPr>
          <w:b/>
          <w:bCs/>
        </w:rPr>
        <w:t>L</w:t>
      </w:r>
      <w:r w:rsidR="002C46C3">
        <w:rPr>
          <w:b/>
          <w:bCs/>
        </w:rPr>
        <w:t>itigation</w:t>
      </w:r>
      <w:r w:rsidR="00C670E8" w:rsidRPr="003A20BF">
        <w:rPr>
          <w:b/>
          <w:bCs/>
        </w:rPr>
        <w:t>?</w:t>
      </w:r>
    </w:p>
    <w:p w14:paraId="5C15302C" w14:textId="0E6FFED2" w:rsidR="00A96F53" w:rsidRDefault="00A60C11" w:rsidP="000605C6">
      <w:pPr>
        <w:jc w:val="both"/>
      </w:pPr>
      <w:r w:rsidRPr="00A60C11">
        <w:rPr>
          <w:i/>
        </w:rPr>
        <w:t>Prima facie</w:t>
      </w:r>
      <w:r>
        <w:rPr>
          <w:iCs/>
        </w:rPr>
        <w:t xml:space="preserve">, the </w:t>
      </w:r>
      <w:r w:rsidRPr="009E2122">
        <w:rPr>
          <w:i/>
          <w:iCs/>
        </w:rPr>
        <w:t>Torres Strait Islanders</w:t>
      </w:r>
      <w:r>
        <w:t xml:space="preserve"> decision is all about climate change. </w:t>
      </w:r>
      <w:r w:rsidR="00EA0959">
        <w:t>Undoubtedly, t</w:t>
      </w:r>
      <w:r>
        <w:t xml:space="preserve">his is </w:t>
      </w:r>
      <w:r w:rsidR="00320F9F">
        <w:t>the</w:t>
      </w:r>
      <w:r>
        <w:t xml:space="preserve"> </w:t>
      </w:r>
      <w:r w:rsidR="00357215">
        <w:t>dominant element</w:t>
      </w:r>
      <w:r w:rsidR="00B4151B">
        <w:t xml:space="preserve"> </w:t>
      </w:r>
      <w:r w:rsidR="00E004D8">
        <w:t xml:space="preserve">or theme </w:t>
      </w:r>
      <w:r w:rsidR="00B4151B">
        <w:t>in th</w:t>
      </w:r>
      <w:r w:rsidR="00D652A1">
        <w:t>e</w:t>
      </w:r>
      <w:r w:rsidR="00B4151B">
        <w:t xml:space="preserve"> case</w:t>
      </w:r>
      <w:r w:rsidR="000E53B0">
        <w:t xml:space="preserve">. The suffering of the authors of the communication to the HRC </w:t>
      </w:r>
      <w:r w:rsidR="00A9496A">
        <w:t>can only indirectly be attributed to the respondent’s omissions or lack of proactiveness to alleviate them.</w:t>
      </w:r>
      <w:r w:rsidR="00361513">
        <w:rPr>
          <w:rStyle w:val="FootnoteReference"/>
        </w:rPr>
        <w:footnoteReference w:id="26"/>
      </w:r>
      <w:r w:rsidR="00A9496A">
        <w:t xml:space="preserve"> The direct cause of the</w:t>
      </w:r>
      <w:r w:rsidR="00BE7998">
        <w:t>ir</w:t>
      </w:r>
      <w:r w:rsidR="00A9496A">
        <w:t xml:space="preserve"> suffering is</w:t>
      </w:r>
      <w:r w:rsidR="000E53B0">
        <w:t xml:space="preserve"> climate change</w:t>
      </w:r>
      <w:r w:rsidR="00A9496A">
        <w:t>.</w:t>
      </w:r>
      <w:r w:rsidR="00F51232">
        <w:t xml:space="preserve"> </w:t>
      </w:r>
      <w:proofErr w:type="gramStart"/>
      <w:r w:rsidR="00C2433C">
        <w:t>But</w:t>
      </w:r>
      <w:r w:rsidR="00292858">
        <w:t>,</w:t>
      </w:r>
      <w:proofErr w:type="gramEnd"/>
      <w:r w:rsidR="00C2433C">
        <w:t xml:space="preserve"> does this </w:t>
      </w:r>
      <w:r w:rsidR="00432B7B">
        <w:t xml:space="preserve">connection between climate change and the authors’ suffering </w:t>
      </w:r>
      <w:r w:rsidR="00E73EFF">
        <w:t xml:space="preserve">suffice to </w:t>
      </w:r>
      <w:r w:rsidR="00A96F53">
        <w:t>ma</w:t>
      </w:r>
      <w:r w:rsidR="004C4D20">
        <w:t>ke</w:t>
      </w:r>
      <w:r w:rsidR="00C2433C">
        <w:t xml:space="preserve"> </w:t>
      </w:r>
      <w:r w:rsidR="00C2433C" w:rsidRPr="009E2122">
        <w:rPr>
          <w:i/>
          <w:iCs/>
        </w:rPr>
        <w:t>Torres Strait Islanders</w:t>
      </w:r>
      <w:r w:rsidR="00C2433C">
        <w:rPr>
          <w:i/>
          <w:iCs/>
        </w:rPr>
        <w:t xml:space="preserve"> </w:t>
      </w:r>
      <w:r w:rsidR="00EB0F1D">
        <w:t>a</w:t>
      </w:r>
      <w:r w:rsidR="00E24501">
        <w:t>n instance of</w:t>
      </w:r>
      <w:r w:rsidR="00EB0F1D">
        <w:t xml:space="preserve"> </w:t>
      </w:r>
      <w:r w:rsidR="0024475D">
        <w:t xml:space="preserve">‘true’ </w:t>
      </w:r>
      <w:r w:rsidR="004C4D20">
        <w:t xml:space="preserve">climate change </w:t>
      </w:r>
      <w:r w:rsidR="00E24501">
        <w:t xml:space="preserve">litigation </w:t>
      </w:r>
      <w:r w:rsidR="004C4D20">
        <w:t xml:space="preserve">in the sense </w:t>
      </w:r>
      <w:r w:rsidR="0046759B">
        <w:t>of ‘extending’</w:t>
      </w:r>
      <w:r w:rsidR="004C4D20">
        <w:t xml:space="preserve"> the</w:t>
      </w:r>
      <w:r w:rsidR="00557563">
        <w:t xml:space="preserve"> semantic field of </w:t>
      </w:r>
      <w:r w:rsidR="00EB0F1D">
        <w:t xml:space="preserve">human rights </w:t>
      </w:r>
      <w:r w:rsidR="00557563">
        <w:t xml:space="preserve">to support environmental </w:t>
      </w:r>
      <w:r w:rsidR="00777D3C">
        <w:t xml:space="preserve">protection </w:t>
      </w:r>
      <w:r w:rsidR="00557563">
        <w:t>standards pertaining to climate change?</w:t>
      </w:r>
      <w:r w:rsidR="00A96F53">
        <w:t xml:space="preserve"> </w:t>
      </w:r>
      <w:r w:rsidR="0046759B">
        <w:t>T</w:t>
      </w:r>
      <w:r w:rsidR="00557563">
        <w:t>his question sh</w:t>
      </w:r>
      <w:r w:rsidR="0046759B">
        <w:t>all</w:t>
      </w:r>
      <w:r w:rsidR="00557563">
        <w:t xml:space="preserve"> be answered in the negative</w:t>
      </w:r>
      <w:r w:rsidR="00292858">
        <w:t>,</w:t>
      </w:r>
      <w:r w:rsidR="0046759B">
        <w:t xml:space="preserve"> as the </w:t>
      </w:r>
      <w:r w:rsidR="0046759B" w:rsidRPr="009E2122">
        <w:rPr>
          <w:i/>
          <w:iCs/>
        </w:rPr>
        <w:t>Torres Strait Islanders</w:t>
      </w:r>
      <w:r w:rsidR="0046759B">
        <w:rPr>
          <w:i/>
          <w:iCs/>
        </w:rPr>
        <w:t xml:space="preserve"> </w:t>
      </w:r>
      <w:r w:rsidR="0046759B">
        <w:t xml:space="preserve">decision </w:t>
      </w:r>
      <w:r w:rsidR="00FE2437">
        <w:t>primarily</w:t>
      </w:r>
      <w:r w:rsidR="0046759B">
        <w:t xml:space="preserve"> concerns </w:t>
      </w:r>
      <w:r w:rsidR="00093C08">
        <w:t>the omissions of the respondent to alleviate the authors’ suffering. That the</w:t>
      </w:r>
      <w:r w:rsidR="00A00357">
        <w:t>ir</w:t>
      </w:r>
      <w:r w:rsidR="00093C08">
        <w:t xml:space="preserve"> suffering ultimate</w:t>
      </w:r>
      <w:r w:rsidR="00C7566A">
        <w:t>ly</w:t>
      </w:r>
      <w:r w:rsidR="00093C08">
        <w:t xml:space="preserve"> owe</w:t>
      </w:r>
      <w:r w:rsidR="00A00357">
        <w:t>s</w:t>
      </w:r>
      <w:r w:rsidR="00093C08">
        <w:t xml:space="preserve"> to climate change is almost </w:t>
      </w:r>
      <w:r w:rsidR="00C7566A">
        <w:t xml:space="preserve">extrinsic </w:t>
      </w:r>
      <w:r w:rsidR="00292858">
        <w:t xml:space="preserve">or incidental </w:t>
      </w:r>
      <w:r w:rsidR="00C7566A">
        <w:t>to the legal issue</w:t>
      </w:r>
      <w:r w:rsidR="00DA709D">
        <w:t>s of the case</w:t>
      </w:r>
      <w:r w:rsidR="00093C08">
        <w:t xml:space="preserve">. </w:t>
      </w:r>
      <w:r w:rsidR="00557563">
        <w:t xml:space="preserve"> </w:t>
      </w:r>
    </w:p>
    <w:p w14:paraId="055DE551" w14:textId="3C86346F" w:rsidR="00315950" w:rsidRPr="00DE4192" w:rsidRDefault="00BE178B" w:rsidP="000605C6">
      <w:pPr>
        <w:jc w:val="both"/>
      </w:pPr>
      <w:r>
        <w:tab/>
      </w:r>
      <w:r w:rsidR="000224BC">
        <w:t xml:space="preserve">This might </w:t>
      </w:r>
      <w:r w:rsidR="00292858">
        <w:t xml:space="preserve">appear to be </w:t>
      </w:r>
      <w:r w:rsidR="000224BC">
        <w:t>an oxymoron</w:t>
      </w:r>
      <w:r w:rsidR="00292858">
        <w:t>,</w:t>
      </w:r>
      <w:r w:rsidR="000224BC">
        <w:t xml:space="preserve"> in the sense that, i</w:t>
      </w:r>
      <w:r w:rsidR="00EA0959">
        <w:t>ndeed, t</w:t>
      </w:r>
      <w:r w:rsidR="00557563">
        <w:t xml:space="preserve">he root cause in </w:t>
      </w:r>
      <w:r w:rsidR="00557563" w:rsidRPr="009E2122">
        <w:rPr>
          <w:i/>
          <w:iCs/>
        </w:rPr>
        <w:t>Torres Strait Islanders</w:t>
      </w:r>
      <w:r w:rsidR="00557563">
        <w:rPr>
          <w:i/>
          <w:iCs/>
        </w:rPr>
        <w:t xml:space="preserve"> </w:t>
      </w:r>
      <w:r w:rsidR="00557563">
        <w:t xml:space="preserve">is </w:t>
      </w:r>
      <w:r w:rsidR="00801142">
        <w:rPr>
          <w:iCs/>
        </w:rPr>
        <w:t xml:space="preserve">climate change. </w:t>
      </w:r>
      <w:r w:rsidR="00693ABB">
        <w:rPr>
          <w:iCs/>
        </w:rPr>
        <w:t>It is the latter that</w:t>
      </w:r>
      <w:r w:rsidR="00801142">
        <w:rPr>
          <w:iCs/>
        </w:rPr>
        <w:t xml:space="preserve"> </w:t>
      </w:r>
      <w:r w:rsidR="00693ABB">
        <w:rPr>
          <w:iCs/>
        </w:rPr>
        <w:t>compromises</w:t>
      </w:r>
      <w:r w:rsidR="00766D38">
        <w:rPr>
          <w:iCs/>
        </w:rPr>
        <w:t xml:space="preserve"> the </w:t>
      </w:r>
      <w:r w:rsidR="00FE6024">
        <w:rPr>
          <w:iCs/>
        </w:rPr>
        <w:t>enjoyment</w:t>
      </w:r>
      <w:r w:rsidR="00766D38">
        <w:rPr>
          <w:iCs/>
        </w:rPr>
        <w:t xml:space="preserve"> of </w:t>
      </w:r>
      <w:r w:rsidR="002227CD">
        <w:rPr>
          <w:iCs/>
        </w:rPr>
        <w:t xml:space="preserve">human </w:t>
      </w:r>
      <w:r w:rsidR="00766D38">
        <w:rPr>
          <w:iCs/>
        </w:rPr>
        <w:t>rights</w:t>
      </w:r>
      <w:r w:rsidR="00DD1F0B">
        <w:rPr>
          <w:iCs/>
        </w:rPr>
        <w:t>.</w:t>
      </w:r>
      <w:r w:rsidR="00766D38">
        <w:rPr>
          <w:iCs/>
        </w:rPr>
        <w:t xml:space="preserve"> </w:t>
      </w:r>
      <w:r w:rsidR="00ED5B76">
        <w:rPr>
          <w:iCs/>
        </w:rPr>
        <w:t>In turn</w:t>
      </w:r>
      <w:r w:rsidR="00DD1F0B">
        <w:rPr>
          <w:iCs/>
        </w:rPr>
        <w:t xml:space="preserve">, </w:t>
      </w:r>
      <w:r w:rsidR="0040423F">
        <w:rPr>
          <w:iCs/>
        </w:rPr>
        <w:t>the impact of climate change on human rights</w:t>
      </w:r>
      <w:r w:rsidR="00766D38">
        <w:rPr>
          <w:iCs/>
        </w:rPr>
        <w:t xml:space="preserve"> </w:t>
      </w:r>
      <w:r w:rsidR="00801142">
        <w:rPr>
          <w:iCs/>
        </w:rPr>
        <w:t>generates a due diligence duty</w:t>
      </w:r>
      <w:r w:rsidR="00B000C2">
        <w:rPr>
          <w:iCs/>
        </w:rPr>
        <w:t xml:space="preserve"> for the respondent state</w:t>
      </w:r>
      <w:r w:rsidR="00777D3C">
        <w:rPr>
          <w:iCs/>
        </w:rPr>
        <w:t xml:space="preserve"> </w:t>
      </w:r>
      <w:r w:rsidR="00777D3C" w:rsidRPr="009905A6">
        <w:rPr>
          <w:i/>
        </w:rPr>
        <w:t>vis-à-vis</w:t>
      </w:r>
      <w:r w:rsidR="00777D3C">
        <w:rPr>
          <w:iCs/>
        </w:rPr>
        <w:t xml:space="preserve"> </w:t>
      </w:r>
      <w:r w:rsidR="009905A6">
        <w:rPr>
          <w:iCs/>
        </w:rPr>
        <w:t>the</w:t>
      </w:r>
      <w:r w:rsidR="00766D38">
        <w:rPr>
          <w:iCs/>
        </w:rPr>
        <w:t xml:space="preserve"> affected </w:t>
      </w:r>
      <w:r w:rsidR="00917FAB">
        <w:rPr>
          <w:iCs/>
        </w:rPr>
        <w:t xml:space="preserve">persons </w:t>
      </w:r>
      <w:r w:rsidR="00766D38">
        <w:rPr>
          <w:iCs/>
        </w:rPr>
        <w:t>who are</w:t>
      </w:r>
      <w:r w:rsidR="00777D3C">
        <w:rPr>
          <w:iCs/>
        </w:rPr>
        <w:t xml:space="preserve"> under its juris</w:t>
      </w:r>
      <w:r w:rsidR="009905A6">
        <w:rPr>
          <w:iCs/>
        </w:rPr>
        <w:t>diction</w:t>
      </w:r>
      <w:r w:rsidR="00B000C2">
        <w:rPr>
          <w:iCs/>
        </w:rPr>
        <w:t xml:space="preserve">. </w:t>
      </w:r>
      <w:r w:rsidR="00DC0725">
        <w:rPr>
          <w:iCs/>
        </w:rPr>
        <w:t>I</w:t>
      </w:r>
      <w:r w:rsidR="000B7AFD">
        <w:rPr>
          <w:iCs/>
        </w:rPr>
        <w:t>t is</w:t>
      </w:r>
      <w:r w:rsidR="00917FAB">
        <w:rPr>
          <w:iCs/>
        </w:rPr>
        <w:t>, however,</w:t>
      </w:r>
      <w:r w:rsidR="000B7AFD">
        <w:rPr>
          <w:iCs/>
        </w:rPr>
        <w:t xml:space="preserve"> important</w:t>
      </w:r>
      <w:r w:rsidR="00917FAB">
        <w:rPr>
          <w:iCs/>
        </w:rPr>
        <w:t xml:space="preserve"> </w:t>
      </w:r>
      <w:r w:rsidR="000B7AFD">
        <w:rPr>
          <w:iCs/>
        </w:rPr>
        <w:t>to highlight that</w:t>
      </w:r>
      <w:r w:rsidR="0025319E">
        <w:rPr>
          <w:iCs/>
        </w:rPr>
        <w:t xml:space="preserve"> the HRC decision </w:t>
      </w:r>
      <w:r w:rsidR="00DC0725">
        <w:rPr>
          <w:iCs/>
        </w:rPr>
        <w:t xml:space="preserve">and the standards of diligence </w:t>
      </w:r>
      <w:r w:rsidR="002D3182">
        <w:rPr>
          <w:iCs/>
        </w:rPr>
        <w:t xml:space="preserve">on behalf of the respondent that </w:t>
      </w:r>
      <w:r w:rsidR="00DC0725">
        <w:rPr>
          <w:iCs/>
        </w:rPr>
        <w:t xml:space="preserve">it identifies </w:t>
      </w:r>
      <w:r w:rsidR="0025319E">
        <w:rPr>
          <w:iCs/>
        </w:rPr>
        <w:t xml:space="preserve">do not </w:t>
      </w:r>
      <w:r w:rsidR="0044351B">
        <w:rPr>
          <w:iCs/>
        </w:rPr>
        <w:t xml:space="preserve">primarily </w:t>
      </w:r>
      <w:r w:rsidR="0025319E">
        <w:rPr>
          <w:iCs/>
        </w:rPr>
        <w:t>concern the root cause</w:t>
      </w:r>
      <w:r w:rsidR="00DC0725">
        <w:rPr>
          <w:iCs/>
        </w:rPr>
        <w:t>, namely</w:t>
      </w:r>
      <w:r w:rsidR="002D3182">
        <w:rPr>
          <w:iCs/>
        </w:rPr>
        <w:t xml:space="preserve"> climate change</w:t>
      </w:r>
      <w:r w:rsidR="0025319E">
        <w:rPr>
          <w:iCs/>
        </w:rPr>
        <w:t>.</w:t>
      </w:r>
      <w:r w:rsidR="00245EDE">
        <w:rPr>
          <w:iCs/>
        </w:rPr>
        <w:t xml:space="preserve"> Th</w:t>
      </w:r>
      <w:r w:rsidR="0044351B">
        <w:rPr>
          <w:iCs/>
        </w:rPr>
        <w:t>at is, th</w:t>
      </w:r>
      <w:r w:rsidR="00245EDE">
        <w:rPr>
          <w:iCs/>
        </w:rPr>
        <w:t xml:space="preserve">ey do not </w:t>
      </w:r>
      <w:r w:rsidR="0024475D">
        <w:rPr>
          <w:iCs/>
        </w:rPr>
        <w:t xml:space="preserve">really </w:t>
      </w:r>
      <w:r w:rsidR="00245EDE">
        <w:rPr>
          <w:iCs/>
        </w:rPr>
        <w:t xml:space="preserve">concern the </w:t>
      </w:r>
      <w:r w:rsidR="00D463AF" w:rsidRPr="00865D76">
        <w:rPr>
          <w:i/>
        </w:rPr>
        <w:t>mitigation</w:t>
      </w:r>
      <w:r w:rsidR="00D463AF">
        <w:rPr>
          <w:iCs/>
        </w:rPr>
        <w:t xml:space="preserve"> of climate change, </w:t>
      </w:r>
      <w:r w:rsidR="0044351B">
        <w:rPr>
          <w:iCs/>
        </w:rPr>
        <w:t>consisting in</w:t>
      </w:r>
      <w:r w:rsidR="00D463AF">
        <w:rPr>
          <w:iCs/>
        </w:rPr>
        <w:t xml:space="preserve"> measures, such as </w:t>
      </w:r>
      <w:r w:rsidR="00865D76">
        <w:rPr>
          <w:iCs/>
        </w:rPr>
        <w:t>reducing carbon emissions,</w:t>
      </w:r>
      <w:r w:rsidR="00D463AF">
        <w:rPr>
          <w:iCs/>
        </w:rPr>
        <w:t xml:space="preserve"> aimed at fighting the causes of climate change </w:t>
      </w:r>
      <w:r w:rsidR="00865D76">
        <w:rPr>
          <w:iCs/>
        </w:rPr>
        <w:t>or climate change itself.</w:t>
      </w:r>
      <w:r w:rsidR="00AB42F5">
        <w:rPr>
          <w:rStyle w:val="FootnoteReference"/>
          <w:iCs/>
        </w:rPr>
        <w:footnoteReference w:id="27"/>
      </w:r>
      <w:r w:rsidR="00D77B9B">
        <w:rPr>
          <w:iCs/>
        </w:rPr>
        <w:t xml:space="preserve"> </w:t>
      </w:r>
      <w:r w:rsidR="00917FAB">
        <w:rPr>
          <w:iCs/>
        </w:rPr>
        <w:t>Rather, t</w:t>
      </w:r>
      <w:r w:rsidR="00D77B9B">
        <w:rPr>
          <w:iCs/>
        </w:rPr>
        <w:t>he findings of the HRC in</w:t>
      </w:r>
      <w:r w:rsidR="0025319E">
        <w:rPr>
          <w:iCs/>
        </w:rPr>
        <w:t xml:space="preserve"> </w:t>
      </w:r>
      <w:r w:rsidR="00351071" w:rsidRPr="009E2122">
        <w:rPr>
          <w:i/>
          <w:iCs/>
        </w:rPr>
        <w:t>Torres Strait Islanders</w:t>
      </w:r>
      <w:r w:rsidR="00351071">
        <w:rPr>
          <w:i/>
          <w:iCs/>
        </w:rPr>
        <w:t xml:space="preserve"> </w:t>
      </w:r>
      <w:r w:rsidR="00D77B9B">
        <w:t xml:space="preserve">and the reason why the respondent has been found liable </w:t>
      </w:r>
      <w:r w:rsidR="00801142">
        <w:rPr>
          <w:iCs/>
        </w:rPr>
        <w:t>concern</w:t>
      </w:r>
      <w:r w:rsidR="00794969">
        <w:rPr>
          <w:iCs/>
        </w:rPr>
        <w:t xml:space="preserve"> </w:t>
      </w:r>
      <w:r w:rsidR="00794969" w:rsidRPr="00794969">
        <w:rPr>
          <w:i/>
        </w:rPr>
        <w:t>adaptation</w:t>
      </w:r>
      <w:r w:rsidR="00794969">
        <w:rPr>
          <w:iCs/>
        </w:rPr>
        <w:t xml:space="preserve"> to climate change, that is, </w:t>
      </w:r>
      <w:r w:rsidR="00B000C2">
        <w:rPr>
          <w:iCs/>
        </w:rPr>
        <w:t xml:space="preserve">standards of </w:t>
      </w:r>
      <w:r w:rsidR="00801142">
        <w:rPr>
          <w:iCs/>
        </w:rPr>
        <w:t>diligence</w:t>
      </w:r>
      <w:r w:rsidR="00B000C2">
        <w:rPr>
          <w:iCs/>
        </w:rPr>
        <w:t xml:space="preserve"> that the respondent shall demonstrate</w:t>
      </w:r>
      <w:r w:rsidR="00801142">
        <w:rPr>
          <w:iCs/>
        </w:rPr>
        <w:t xml:space="preserve"> </w:t>
      </w:r>
      <w:r w:rsidR="00CB1A12">
        <w:rPr>
          <w:iCs/>
        </w:rPr>
        <w:t xml:space="preserve">to </w:t>
      </w:r>
      <w:r w:rsidR="00A46187">
        <w:rPr>
          <w:iCs/>
        </w:rPr>
        <w:t>remedy</w:t>
      </w:r>
      <w:r w:rsidR="00801142">
        <w:rPr>
          <w:iCs/>
        </w:rPr>
        <w:t xml:space="preserve"> the consequences of climate ch</w:t>
      </w:r>
      <w:r w:rsidR="00B000C2">
        <w:rPr>
          <w:iCs/>
        </w:rPr>
        <w:t>a</w:t>
      </w:r>
      <w:r w:rsidR="00801142">
        <w:rPr>
          <w:iCs/>
        </w:rPr>
        <w:t>nge</w:t>
      </w:r>
      <w:r w:rsidR="00794969">
        <w:rPr>
          <w:iCs/>
        </w:rPr>
        <w:t xml:space="preserve"> or, in </w:t>
      </w:r>
      <w:r w:rsidR="00917FAB">
        <w:rPr>
          <w:iCs/>
        </w:rPr>
        <w:t>other</w:t>
      </w:r>
      <w:r w:rsidR="00794969">
        <w:rPr>
          <w:iCs/>
        </w:rPr>
        <w:t xml:space="preserve"> words,</w:t>
      </w:r>
      <w:r w:rsidR="00801142">
        <w:rPr>
          <w:iCs/>
        </w:rPr>
        <w:t xml:space="preserve"> </w:t>
      </w:r>
      <w:r w:rsidR="000B7AFD">
        <w:rPr>
          <w:iCs/>
        </w:rPr>
        <w:t xml:space="preserve">what the respondent is </w:t>
      </w:r>
      <w:r w:rsidR="002D3182">
        <w:rPr>
          <w:iCs/>
        </w:rPr>
        <w:t xml:space="preserve">expected </w:t>
      </w:r>
      <w:r w:rsidR="000B7AFD">
        <w:rPr>
          <w:iCs/>
        </w:rPr>
        <w:t xml:space="preserve">to do </w:t>
      </w:r>
      <w:r w:rsidR="00351071">
        <w:rPr>
          <w:iCs/>
        </w:rPr>
        <w:t>under human rights law</w:t>
      </w:r>
      <w:r w:rsidR="007352FC">
        <w:rPr>
          <w:iCs/>
        </w:rPr>
        <w:t xml:space="preserve"> in order</w:t>
      </w:r>
      <w:r w:rsidR="00CB1A12">
        <w:rPr>
          <w:iCs/>
        </w:rPr>
        <w:t xml:space="preserve"> </w:t>
      </w:r>
      <w:r w:rsidR="009808D3">
        <w:rPr>
          <w:iCs/>
        </w:rPr>
        <w:t xml:space="preserve">to </w:t>
      </w:r>
      <w:r w:rsidR="000423E0">
        <w:rPr>
          <w:iCs/>
        </w:rPr>
        <w:t>alleviate</w:t>
      </w:r>
      <w:r w:rsidR="00801142">
        <w:rPr>
          <w:iCs/>
        </w:rPr>
        <w:t xml:space="preserve"> the impact </w:t>
      </w:r>
      <w:r w:rsidR="009808D3">
        <w:rPr>
          <w:iCs/>
        </w:rPr>
        <w:t>of climate change</w:t>
      </w:r>
      <w:r w:rsidR="007352FC">
        <w:rPr>
          <w:iCs/>
        </w:rPr>
        <w:t xml:space="preserve"> on the enjoyment of rights</w:t>
      </w:r>
      <w:r w:rsidR="009808D3">
        <w:rPr>
          <w:iCs/>
        </w:rPr>
        <w:t xml:space="preserve">. </w:t>
      </w:r>
      <w:r w:rsidR="00BA7335">
        <w:rPr>
          <w:iCs/>
        </w:rPr>
        <w:t>Thus</w:t>
      </w:r>
      <w:r w:rsidR="00337488">
        <w:rPr>
          <w:iCs/>
        </w:rPr>
        <w:t xml:space="preserve">, </w:t>
      </w:r>
      <w:r w:rsidR="000C1C3E">
        <w:rPr>
          <w:iCs/>
        </w:rPr>
        <w:t xml:space="preserve">in </w:t>
      </w:r>
      <w:r w:rsidR="000C1C3E" w:rsidRPr="009E2122">
        <w:rPr>
          <w:i/>
          <w:iCs/>
        </w:rPr>
        <w:t>Torres Strait Islanders</w:t>
      </w:r>
      <w:r w:rsidR="00AB5E30">
        <w:rPr>
          <w:i/>
          <w:iCs/>
        </w:rPr>
        <w:t>,</w:t>
      </w:r>
      <w:r w:rsidR="000C1C3E">
        <w:rPr>
          <w:i/>
          <w:iCs/>
        </w:rPr>
        <w:t xml:space="preserve"> </w:t>
      </w:r>
      <w:r w:rsidR="00337488">
        <w:rPr>
          <w:iCs/>
        </w:rPr>
        <w:t>due diligence concerns</w:t>
      </w:r>
      <w:r w:rsidR="00794969">
        <w:rPr>
          <w:iCs/>
        </w:rPr>
        <w:t xml:space="preserve"> adaptation to climate change through</w:t>
      </w:r>
      <w:r w:rsidR="00337488">
        <w:rPr>
          <w:iCs/>
        </w:rPr>
        <w:t xml:space="preserve"> </w:t>
      </w:r>
      <w:r w:rsidR="00C8576F">
        <w:rPr>
          <w:iCs/>
        </w:rPr>
        <w:t xml:space="preserve">the </w:t>
      </w:r>
      <w:r w:rsidR="00794969">
        <w:rPr>
          <w:iCs/>
        </w:rPr>
        <w:t>alleviation</w:t>
      </w:r>
      <w:r w:rsidR="00C8576F">
        <w:rPr>
          <w:iCs/>
        </w:rPr>
        <w:t xml:space="preserve"> of</w:t>
      </w:r>
      <w:r w:rsidR="00337488">
        <w:rPr>
          <w:iCs/>
        </w:rPr>
        <w:t xml:space="preserve"> </w:t>
      </w:r>
      <w:r w:rsidR="00794969">
        <w:rPr>
          <w:iCs/>
        </w:rPr>
        <w:t>its adverse</w:t>
      </w:r>
      <w:r w:rsidR="00337488">
        <w:rPr>
          <w:iCs/>
        </w:rPr>
        <w:t xml:space="preserve"> consequences, not</w:t>
      </w:r>
      <w:r w:rsidR="00C8576F">
        <w:rPr>
          <w:iCs/>
        </w:rPr>
        <w:t xml:space="preserve"> </w:t>
      </w:r>
      <w:r w:rsidR="00AB5E30">
        <w:rPr>
          <w:iCs/>
        </w:rPr>
        <w:t xml:space="preserve">the </w:t>
      </w:r>
      <w:r w:rsidR="00A46187">
        <w:rPr>
          <w:iCs/>
        </w:rPr>
        <w:t>m</w:t>
      </w:r>
      <w:r w:rsidR="00BA7335">
        <w:rPr>
          <w:iCs/>
        </w:rPr>
        <w:t>itigation</w:t>
      </w:r>
      <w:r w:rsidR="00AB5E30">
        <w:rPr>
          <w:iCs/>
        </w:rPr>
        <w:t xml:space="preserve"> of</w:t>
      </w:r>
      <w:r w:rsidR="00A46187">
        <w:rPr>
          <w:iCs/>
        </w:rPr>
        <w:t xml:space="preserve"> and </w:t>
      </w:r>
      <w:r w:rsidR="00337488">
        <w:rPr>
          <w:iCs/>
        </w:rPr>
        <w:t>fight</w:t>
      </w:r>
      <w:r w:rsidR="00C8576F">
        <w:rPr>
          <w:iCs/>
        </w:rPr>
        <w:t xml:space="preserve"> against</w:t>
      </w:r>
      <w:r w:rsidR="00337488">
        <w:rPr>
          <w:iCs/>
        </w:rPr>
        <w:t xml:space="preserve"> </w:t>
      </w:r>
      <w:r w:rsidR="00906DF5">
        <w:rPr>
          <w:iCs/>
        </w:rPr>
        <w:t xml:space="preserve">climate change </w:t>
      </w:r>
      <w:r w:rsidR="00337488">
        <w:rPr>
          <w:iCs/>
        </w:rPr>
        <w:t>itself</w:t>
      </w:r>
      <w:r w:rsidR="0033096E">
        <w:rPr>
          <w:iCs/>
        </w:rPr>
        <w:t xml:space="preserve">. </w:t>
      </w:r>
      <w:r w:rsidR="00B240BF">
        <w:rPr>
          <w:iCs/>
        </w:rPr>
        <w:t xml:space="preserve">This is the reason why, in my </w:t>
      </w:r>
      <w:r w:rsidR="004E020D">
        <w:rPr>
          <w:iCs/>
        </w:rPr>
        <w:t>view</w:t>
      </w:r>
      <w:r w:rsidR="00B240BF">
        <w:rPr>
          <w:iCs/>
        </w:rPr>
        <w:t xml:space="preserve">, </w:t>
      </w:r>
      <w:r w:rsidR="00DE4192" w:rsidRPr="009E2122">
        <w:rPr>
          <w:i/>
          <w:iCs/>
        </w:rPr>
        <w:t>Torres Strait Islanders</w:t>
      </w:r>
      <w:r w:rsidR="00DE4192">
        <w:rPr>
          <w:i/>
          <w:iCs/>
        </w:rPr>
        <w:t xml:space="preserve"> </w:t>
      </w:r>
      <w:r w:rsidR="00DE4192">
        <w:t>s not ‘true’ climate change litigation.</w:t>
      </w:r>
    </w:p>
    <w:p w14:paraId="051EA30C" w14:textId="536D213C" w:rsidR="00BE178B" w:rsidRDefault="00BE178B" w:rsidP="000605C6">
      <w:pPr>
        <w:jc w:val="both"/>
      </w:pPr>
      <w:r>
        <w:rPr>
          <w:iCs/>
        </w:rPr>
        <w:tab/>
      </w:r>
      <w:r w:rsidR="00BA7335">
        <w:rPr>
          <w:iCs/>
        </w:rPr>
        <w:t>But why, u</w:t>
      </w:r>
      <w:r w:rsidR="000C1C3E">
        <w:rPr>
          <w:iCs/>
        </w:rPr>
        <w:t xml:space="preserve">nlike </w:t>
      </w:r>
      <w:r w:rsidR="00D11BB8">
        <w:rPr>
          <w:iCs/>
        </w:rPr>
        <w:t xml:space="preserve">global </w:t>
      </w:r>
      <w:r w:rsidR="000C1C3E">
        <w:rPr>
          <w:iCs/>
        </w:rPr>
        <w:t xml:space="preserve">climate change moderation, </w:t>
      </w:r>
      <w:r w:rsidR="00D11BB8">
        <w:rPr>
          <w:iCs/>
        </w:rPr>
        <w:t xml:space="preserve">local </w:t>
      </w:r>
      <w:r w:rsidR="000C1C3E">
        <w:rPr>
          <w:iCs/>
        </w:rPr>
        <w:t xml:space="preserve">adaptation to it is not </w:t>
      </w:r>
      <w:r w:rsidR="00977551">
        <w:rPr>
          <w:iCs/>
        </w:rPr>
        <w:t xml:space="preserve">‘true’ climate change </w:t>
      </w:r>
      <w:r w:rsidR="008A5EAB">
        <w:rPr>
          <w:iCs/>
        </w:rPr>
        <w:t>litigation</w:t>
      </w:r>
      <w:r w:rsidR="002E1283">
        <w:rPr>
          <w:iCs/>
        </w:rPr>
        <w:t>?</w:t>
      </w:r>
      <w:r w:rsidR="008A5EAB">
        <w:rPr>
          <w:iCs/>
        </w:rPr>
        <w:t xml:space="preserve"> </w:t>
      </w:r>
      <w:r w:rsidR="00977551" w:rsidRPr="009E2122">
        <w:rPr>
          <w:i/>
          <w:iCs/>
        </w:rPr>
        <w:t>Torres Strait Islanders</w:t>
      </w:r>
      <w:r w:rsidR="00977551">
        <w:t xml:space="preserve"> is a great example in this respect</w:t>
      </w:r>
      <w:r w:rsidR="00392B7C">
        <w:t>,</w:t>
      </w:r>
      <w:r w:rsidR="00977551">
        <w:t xml:space="preserve"> </w:t>
      </w:r>
      <w:r w:rsidR="0029276F">
        <w:t xml:space="preserve">in that it shows that adaptation </w:t>
      </w:r>
      <w:r w:rsidR="00390CC7">
        <w:t>measur</w:t>
      </w:r>
      <w:r w:rsidR="00392B7C">
        <w:t>e</w:t>
      </w:r>
      <w:r w:rsidR="00390CC7">
        <w:t xml:space="preserve">s </w:t>
      </w:r>
      <w:r w:rsidR="0029276F">
        <w:t>do not ‘stretch’ human rights rules</w:t>
      </w:r>
      <w:r w:rsidR="00390CC7">
        <w:t xml:space="preserve"> or transform them into environmental protection rules/standards.</w:t>
      </w:r>
      <w:r w:rsidR="00977551">
        <w:t xml:space="preserve"> </w:t>
      </w:r>
      <w:r w:rsidR="002E1283">
        <w:t xml:space="preserve">Indeed, </w:t>
      </w:r>
      <w:r w:rsidR="002E1283">
        <w:rPr>
          <w:iCs/>
        </w:rPr>
        <w:t>h</w:t>
      </w:r>
      <w:r w:rsidR="008E5AE5">
        <w:rPr>
          <w:iCs/>
        </w:rPr>
        <w:t>uman rights rules develop no unusual effects in</w:t>
      </w:r>
      <w:r w:rsidR="00C8576F">
        <w:rPr>
          <w:iCs/>
        </w:rPr>
        <w:t xml:space="preserve"> </w:t>
      </w:r>
      <w:r w:rsidR="00901DF3" w:rsidRPr="009E2122">
        <w:rPr>
          <w:i/>
          <w:iCs/>
        </w:rPr>
        <w:t>Torres Strait Islanders</w:t>
      </w:r>
      <w:r w:rsidR="000F68B5">
        <w:rPr>
          <w:i/>
          <w:iCs/>
        </w:rPr>
        <w:t xml:space="preserve">. </w:t>
      </w:r>
      <w:r w:rsidR="000F68B5" w:rsidRPr="000F68B5">
        <w:t>That is, t</w:t>
      </w:r>
      <w:r w:rsidR="00C8576F" w:rsidRPr="000F68B5">
        <w:t>he</w:t>
      </w:r>
      <w:r w:rsidR="00C8576F">
        <w:t xml:space="preserve"> involved</w:t>
      </w:r>
      <w:r w:rsidR="00092359">
        <w:rPr>
          <w:iCs/>
        </w:rPr>
        <w:t xml:space="preserve"> human r</w:t>
      </w:r>
      <w:r w:rsidR="00901DF3">
        <w:rPr>
          <w:iCs/>
        </w:rPr>
        <w:t>i</w:t>
      </w:r>
      <w:r w:rsidR="00092359">
        <w:rPr>
          <w:iCs/>
        </w:rPr>
        <w:t>ghts</w:t>
      </w:r>
      <w:r w:rsidR="00901DF3">
        <w:rPr>
          <w:iCs/>
        </w:rPr>
        <w:t xml:space="preserve"> rules</w:t>
      </w:r>
      <w:r w:rsidR="00C8576F">
        <w:rPr>
          <w:iCs/>
        </w:rPr>
        <w:t>, such as the right to life,</w:t>
      </w:r>
      <w:r w:rsidR="00092359">
        <w:rPr>
          <w:iCs/>
        </w:rPr>
        <w:t xml:space="preserve"> </w:t>
      </w:r>
      <w:r w:rsidR="00C8576F">
        <w:rPr>
          <w:iCs/>
        </w:rPr>
        <w:t xml:space="preserve">function in the same way </w:t>
      </w:r>
      <w:r w:rsidR="00092359">
        <w:rPr>
          <w:iCs/>
        </w:rPr>
        <w:t>irrespective of the root cause</w:t>
      </w:r>
      <w:r w:rsidR="00315950">
        <w:rPr>
          <w:iCs/>
        </w:rPr>
        <w:t xml:space="preserve"> of their endangerment</w:t>
      </w:r>
      <w:r w:rsidR="00092359">
        <w:rPr>
          <w:iCs/>
        </w:rPr>
        <w:t>, that is</w:t>
      </w:r>
      <w:r w:rsidR="00901DF3">
        <w:rPr>
          <w:iCs/>
        </w:rPr>
        <w:t>,</w:t>
      </w:r>
      <w:r w:rsidR="00092359">
        <w:rPr>
          <w:iCs/>
        </w:rPr>
        <w:t xml:space="preserve"> </w:t>
      </w:r>
      <w:r w:rsidR="000F2E48">
        <w:rPr>
          <w:iCs/>
        </w:rPr>
        <w:t xml:space="preserve">irrespective of </w:t>
      </w:r>
      <w:r w:rsidR="00092359">
        <w:rPr>
          <w:iCs/>
        </w:rPr>
        <w:t>whether</w:t>
      </w:r>
      <w:r w:rsidR="00901DF3">
        <w:rPr>
          <w:iCs/>
        </w:rPr>
        <w:t xml:space="preserve"> what threatens the </w:t>
      </w:r>
      <w:r w:rsidR="00B008A5">
        <w:rPr>
          <w:iCs/>
        </w:rPr>
        <w:t xml:space="preserve">rights of the authors of the communication </w:t>
      </w:r>
      <w:r w:rsidR="00092359">
        <w:rPr>
          <w:iCs/>
        </w:rPr>
        <w:t>is a</w:t>
      </w:r>
      <w:r w:rsidR="00B008A5">
        <w:rPr>
          <w:iCs/>
        </w:rPr>
        <w:t>n</w:t>
      </w:r>
      <w:r w:rsidR="00092359">
        <w:rPr>
          <w:iCs/>
        </w:rPr>
        <w:t>thropogenic</w:t>
      </w:r>
      <w:r w:rsidR="00B008A5">
        <w:rPr>
          <w:iCs/>
        </w:rPr>
        <w:t xml:space="preserve"> climate change</w:t>
      </w:r>
      <w:r w:rsidR="00F36E5D">
        <w:rPr>
          <w:iCs/>
        </w:rPr>
        <w:t>, environmental pollution caused by another actor, such as a multinational corporation</w:t>
      </w:r>
      <w:r w:rsidR="000F6C32">
        <w:rPr>
          <w:iCs/>
        </w:rPr>
        <w:t>,</w:t>
      </w:r>
      <w:r w:rsidR="00092359">
        <w:rPr>
          <w:iCs/>
        </w:rPr>
        <w:t xml:space="preserve"> or </w:t>
      </w:r>
      <w:r w:rsidR="005F7C1C">
        <w:rPr>
          <w:iCs/>
        </w:rPr>
        <w:t xml:space="preserve">environmental disasters </w:t>
      </w:r>
      <w:r w:rsidR="000F6C32">
        <w:rPr>
          <w:iCs/>
        </w:rPr>
        <w:t xml:space="preserve">caused </w:t>
      </w:r>
      <w:r w:rsidR="00F36E5D">
        <w:rPr>
          <w:iCs/>
        </w:rPr>
        <w:t xml:space="preserve">by </w:t>
      </w:r>
      <w:r w:rsidR="00092359">
        <w:rPr>
          <w:iCs/>
        </w:rPr>
        <w:t>natural phenomen</w:t>
      </w:r>
      <w:r w:rsidR="005F7C1C">
        <w:rPr>
          <w:iCs/>
        </w:rPr>
        <w:t>a</w:t>
      </w:r>
      <w:r w:rsidR="005834F6">
        <w:rPr>
          <w:iCs/>
        </w:rPr>
        <w:t>,</w:t>
      </w:r>
      <w:r w:rsidR="00092359">
        <w:rPr>
          <w:iCs/>
        </w:rPr>
        <w:t xml:space="preserve"> </w:t>
      </w:r>
      <w:r w:rsidR="005834F6">
        <w:rPr>
          <w:iCs/>
        </w:rPr>
        <w:t>such as</w:t>
      </w:r>
      <w:r w:rsidR="00CE4F98">
        <w:rPr>
          <w:iCs/>
        </w:rPr>
        <w:t xml:space="preserve"> </w:t>
      </w:r>
      <w:r w:rsidR="005834F6">
        <w:rPr>
          <w:iCs/>
        </w:rPr>
        <w:t xml:space="preserve">an </w:t>
      </w:r>
      <w:r w:rsidR="00A105BB">
        <w:rPr>
          <w:iCs/>
        </w:rPr>
        <w:t>earthquake, tsunami,</w:t>
      </w:r>
      <w:r w:rsidR="00CE4F98">
        <w:rPr>
          <w:iCs/>
        </w:rPr>
        <w:t xml:space="preserve"> vol</w:t>
      </w:r>
      <w:r w:rsidR="007D4BFD">
        <w:rPr>
          <w:iCs/>
        </w:rPr>
        <w:t>c</w:t>
      </w:r>
      <w:r w:rsidR="00CE4F98">
        <w:rPr>
          <w:iCs/>
        </w:rPr>
        <w:t xml:space="preserve">ano </w:t>
      </w:r>
      <w:r w:rsidR="00A105BB">
        <w:rPr>
          <w:iCs/>
        </w:rPr>
        <w:t>eruption</w:t>
      </w:r>
      <w:r w:rsidR="00112BA8">
        <w:rPr>
          <w:iCs/>
        </w:rPr>
        <w:t>,</w:t>
      </w:r>
      <w:r w:rsidR="005F7C1C">
        <w:rPr>
          <w:iCs/>
        </w:rPr>
        <w:t xml:space="preserve"> or</w:t>
      </w:r>
      <w:r w:rsidR="00B67235">
        <w:rPr>
          <w:iCs/>
        </w:rPr>
        <w:t xml:space="preserve"> </w:t>
      </w:r>
      <w:r w:rsidR="005834F6">
        <w:rPr>
          <w:iCs/>
        </w:rPr>
        <w:t xml:space="preserve">a </w:t>
      </w:r>
      <w:r w:rsidR="00B67235">
        <w:rPr>
          <w:iCs/>
        </w:rPr>
        <w:t>meteorite hitting the Torres Strait Islands.</w:t>
      </w:r>
      <w:r w:rsidR="00CE4F98">
        <w:rPr>
          <w:iCs/>
        </w:rPr>
        <w:t xml:space="preserve"> </w:t>
      </w:r>
      <w:r w:rsidR="00112BA8">
        <w:rPr>
          <w:iCs/>
        </w:rPr>
        <w:t>From</w:t>
      </w:r>
      <w:r w:rsidR="004523D3">
        <w:rPr>
          <w:iCs/>
        </w:rPr>
        <w:t xml:space="preserve"> the perspective of human rights law</w:t>
      </w:r>
      <w:r w:rsidR="00112BA8">
        <w:rPr>
          <w:iCs/>
        </w:rPr>
        <w:t>, what matters</w:t>
      </w:r>
      <w:r w:rsidR="004523D3">
        <w:rPr>
          <w:iCs/>
        </w:rPr>
        <w:t xml:space="preserve"> </w:t>
      </w:r>
      <w:r w:rsidR="00246E31">
        <w:rPr>
          <w:iCs/>
        </w:rPr>
        <w:t xml:space="preserve">when it comes to adaptation to climate </w:t>
      </w:r>
      <w:r w:rsidR="00246E31">
        <w:rPr>
          <w:iCs/>
        </w:rPr>
        <w:lastRenderedPageBreak/>
        <w:t xml:space="preserve">change </w:t>
      </w:r>
      <w:r w:rsidR="004523D3">
        <w:rPr>
          <w:iCs/>
        </w:rPr>
        <w:t xml:space="preserve">is that, </w:t>
      </w:r>
      <w:r w:rsidR="000F2E48">
        <w:rPr>
          <w:iCs/>
        </w:rPr>
        <w:t>regardless of</w:t>
      </w:r>
      <w:r w:rsidR="004523D3">
        <w:rPr>
          <w:iCs/>
        </w:rPr>
        <w:t xml:space="preserve"> the author/source of h</w:t>
      </w:r>
      <w:r w:rsidR="00D64F71">
        <w:rPr>
          <w:iCs/>
        </w:rPr>
        <w:t>uman rights risks</w:t>
      </w:r>
      <w:r w:rsidR="000F6C32">
        <w:rPr>
          <w:iCs/>
        </w:rPr>
        <w:t>/suffering</w:t>
      </w:r>
      <w:r w:rsidR="00D64F71">
        <w:rPr>
          <w:iCs/>
        </w:rPr>
        <w:t>, the state(s) that exercise</w:t>
      </w:r>
      <w:r w:rsidR="00112BA8">
        <w:rPr>
          <w:iCs/>
        </w:rPr>
        <w:t>(s)</w:t>
      </w:r>
      <w:r w:rsidR="00D64F71">
        <w:rPr>
          <w:iCs/>
        </w:rPr>
        <w:t xml:space="preserve"> jurisdiction develop</w:t>
      </w:r>
      <w:r w:rsidR="00112BA8">
        <w:rPr>
          <w:iCs/>
        </w:rPr>
        <w:t>(s)</w:t>
      </w:r>
      <w:r w:rsidR="00D64F71">
        <w:rPr>
          <w:iCs/>
        </w:rPr>
        <w:t xml:space="preserve"> appropriate</w:t>
      </w:r>
      <w:r w:rsidR="004110FE">
        <w:rPr>
          <w:iCs/>
        </w:rPr>
        <w:t xml:space="preserve"> protective</w:t>
      </w:r>
      <w:r w:rsidR="00D64F71">
        <w:rPr>
          <w:iCs/>
        </w:rPr>
        <w:t xml:space="preserve"> measures</w:t>
      </w:r>
      <w:r w:rsidR="004110FE">
        <w:rPr>
          <w:iCs/>
        </w:rPr>
        <w:t xml:space="preserve"> to the best of </w:t>
      </w:r>
      <w:r w:rsidR="0038629C">
        <w:rPr>
          <w:iCs/>
        </w:rPr>
        <w:t>its/</w:t>
      </w:r>
      <w:r w:rsidR="004110FE">
        <w:rPr>
          <w:iCs/>
        </w:rPr>
        <w:t>their ability</w:t>
      </w:r>
      <w:r w:rsidR="00221C68">
        <w:rPr>
          <w:iCs/>
        </w:rPr>
        <w:t xml:space="preserve"> to fight the consequences of the </w:t>
      </w:r>
      <w:r w:rsidR="005C065B">
        <w:rPr>
          <w:iCs/>
        </w:rPr>
        <w:t>problem</w:t>
      </w:r>
      <w:r w:rsidR="004110FE">
        <w:rPr>
          <w:iCs/>
        </w:rPr>
        <w:t xml:space="preserve">. </w:t>
      </w:r>
      <w:proofErr w:type="gramStart"/>
      <w:r w:rsidR="00112BA8">
        <w:rPr>
          <w:iCs/>
        </w:rPr>
        <w:t>In light of</w:t>
      </w:r>
      <w:proofErr w:type="gramEnd"/>
      <w:r w:rsidR="00112BA8">
        <w:rPr>
          <w:iCs/>
        </w:rPr>
        <w:t xml:space="preserve"> this</w:t>
      </w:r>
      <w:r w:rsidR="004110FE">
        <w:rPr>
          <w:iCs/>
        </w:rPr>
        <w:t>, it becomes clear, I think, that</w:t>
      </w:r>
      <w:r w:rsidR="00112BA8">
        <w:rPr>
          <w:iCs/>
        </w:rPr>
        <w:t>,</w:t>
      </w:r>
      <w:r w:rsidR="004110FE">
        <w:rPr>
          <w:iCs/>
        </w:rPr>
        <w:t xml:space="preserve"> </w:t>
      </w:r>
      <w:r w:rsidR="00246E31">
        <w:rPr>
          <w:iCs/>
        </w:rPr>
        <w:t>in a sense</w:t>
      </w:r>
      <w:r w:rsidR="00112BA8">
        <w:rPr>
          <w:iCs/>
        </w:rPr>
        <w:t>,</w:t>
      </w:r>
      <w:r w:rsidR="00246E31">
        <w:rPr>
          <w:iCs/>
        </w:rPr>
        <w:t xml:space="preserve"> </w:t>
      </w:r>
      <w:r w:rsidR="004110FE">
        <w:rPr>
          <w:iCs/>
        </w:rPr>
        <w:t>climate change is no</w:t>
      </w:r>
      <w:r w:rsidR="000E753D">
        <w:rPr>
          <w:iCs/>
        </w:rPr>
        <w:t>t</w:t>
      </w:r>
      <w:r w:rsidR="004110FE">
        <w:rPr>
          <w:iCs/>
        </w:rPr>
        <w:t xml:space="preserve"> the ‘protagonist’ in </w:t>
      </w:r>
      <w:r w:rsidR="004110FE" w:rsidRPr="009E2122">
        <w:rPr>
          <w:i/>
          <w:iCs/>
        </w:rPr>
        <w:t>Torres Strait Islanders</w:t>
      </w:r>
      <w:r w:rsidR="004110FE">
        <w:t xml:space="preserve">. </w:t>
      </w:r>
      <w:r w:rsidR="00246E31">
        <w:t>As soon as mitigation is excluded, c</w:t>
      </w:r>
      <w:r w:rsidR="00D649AB">
        <w:t>limate change does not even translate into a</w:t>
      </w:r>
      <w:r w:rsidR="0003362E">
        <w:t xml:space="preserve"> </w:t>
      </w:r>
      <w:r w:rsidR="00964056">
        <w:t>‘</w:t>
      </w:r>
      <w:r w:rsidR="0003362E">
        <w:t>proper</w:t>
      </w:r>
      <w:r w:rsidR="00964056">
        <w:t>’ or autonomous</w:t>
      </w:r>
      <w:r w:rsidR="00D649AB">
        <w:t xml:space="preserve"> legal issue in the case. It </w:t>
      </w:r>
      <w:r w:rsidR="00C301F1">
        <w:t>is</w:t>
      </w:r>
      <w:r w:rsidR="000E753D">
        <w:t xml:space="preserve"> </w:t>
      </w:r>
      <w:r w:rsidR="00D649AB">
        <w:t>‘</w:t>
      </w:r>
      <w:r w:rsidR="000E753D">
        <w:t>playing</w:t>
      </w:r>
      <w:r w:rsidR="00D649AB">
        <w:t>’</w:t>
      </w:r>
      <w:r w:rsidR="000E753D">
        <w:t xml:space="preserve"> </w:t>
      </w:r>
      <w:r w:rsidR="00112BA8">
        <w:t>in</w:t>
      </w:r>
      <w:r w:rsidR="000E753D">
        <w:t xml:space="preserve"> the</w:t>
      </w:r>
      <w:r w:rsidR="00C301F1">
        <w:t xml:space="preserve"> background </w:t>
      </w:r>
      <w:r w:rsidR="000E753D">
        <w:t xml:space="preserve">as the </w:t>
      </w:r>
      <w:r w:rsidR="00C301F1">
        <w:t>inner cause</w:t>
      </w:r>
      <w:r w:rsidR="0003362E">
        <w:t xml:space="preserve"> of human rights endangerment</w:t>
      </w:r>
      <w:r w:rsidR="00964056">
        <w:t xml:space="preserve"> or </w:t>
      </w:r>
      <w:r w:rsidR="00317416">
        <w:t>as the source of human rights suffering</w:t>
      </w:r>
      <w:r w:rsidR="00525BCA">
        <w:t>; it</w:t>
      </w:r>
      <w:r w:rsidR="00FD36D3">
        <w:t xml:space="preserve"> becomes</w:t>
      </w:r>
      <w:r w:rsidR="00C301F1">
        <w:t xml:space="preserve"> </w:t>
      </w:r>
      <w:r w:rsidR="00FD36D3">
        <w:t>legally</w:t>
      </w:r>
      <w:r w:rsidR="00C301F1">
        <w:t xml:space="preserve"> relevant to the ‘performance’ of human rights rules </w:t>
      </w:r>
      <w:r w:rsidR="001F2D59">
        <w:t>to the extent</w:t>
      </w:r>
      <w:r w:rsidR="00C301F1">
        <w:t xml:space="preserve"> that</w:t>
      </w:r>
      <w:r w:rsidR="004C2514">
        <w:t xml:space="preserve"> the measures </w:t>
      </w:r>
      <w:r w:rsidR="00880472">
        <w:t xml:space="preserve">that </w:t>
      </w:r>
      <w:r w:rsidR="004C2514">
        <w:t>the respondent state is expected to adopt</w:t>
      </w:r>
      <w:r w:rsidR="004B0E55">
        <w:t xml:space="preserve"> </w:t>
      </w:r>
      <w:r w:rsidR="004C2514">
        <w:t>shall be fit for purpose and adequate</w:t>
      </w:r>
      <w:r w:rsidR="005311DC">
        <w:rPr>
          <w:rStyle w:val="FootnoteReference"/>
        </w:rPr>
        <w:footnoteReference w:id="28"/>
      </w:r>
      <w:r w:rsidR="00FD36D3">
        <w:t xml:space="preserve"> </w:t>
      </w:r>
      <w:r w:rsidR="00AF2E40">
        <w:t>to remedy the effects of climate change</w:t>
      </w:r>
      <w:r w:rsidR="001F2D59">
        <w:t xml:space="preserve"> –not climate change itself</w:t>
      </w:r>
      <w:r w:rsidR="00AF2E40">
        <w:t xml:space="preserve">. </w:t>
      </w:r>
    </w:p>
    <w:p w14:paraId="31E1635C" w14:textId="047D3267" w:rsidR="0033559B" w:rsidRDefault="00BE178B" w:rsidP="000605C6">
      <w:pPr>
        <w:jc w:val="both"/>
      </w:pPr>
      <w:r>
        <w:tab/>
      </w:r>
      <w:r w:rsidR="0003362E">
        <w:t>However, t</w:t>
      </w:r>
      <w:r w:rsidR="004B0E55">
        <w:t xml:space="preserve">his does not mean that </w:t>
      </w:r>
      <w:r w:rsidR="00AF2E40">
        <w:t xml:space="preserve">the </w:t>
      </w:r>
      <w:r w:rsidR="00AF2E40" w:rsidRPr="009E2122">
        <w:rPr>
          <w:i/>
          <w:iCs/>
        </w:rPr>
        <w:t>Torres Strait Islanders</w:t>
      </w:r>
      <w:r w:rsidR="00AF2E40">
        <w:rPr>
          <w:i/>
          <w:iCs/>
        </w:rPr>
        <w:t xml:space="preserve"> </w:t>
      </w:r>
      <w:r w:rsidR="00AF2E40">
        <w:t xml:space="preserve">could </w:t>
      </w:r>
      <w:r w:rsidR="00744556">
        <w:t xml:space="preserve">not </w:t>
      </w:r>
      <w:r w:rsidR="00AF2E40">
        <w:t xml:space="preserve">have </w:t>
      </w:r>
      <w:r w:rsidR="004B0E55">
        <w:t xml:space="preserve">been </w:t>
      </w:r>
      <w:r w:rsidR="00AF2E40">
        <w:t>a</w:t>
      </w:r>
      <w:r w:rsidR="005C4D62">
        <w:t>n instance of</w:t>
      </w:r>
      <w:r w:rsidR="00AF2E40">
        <w:t xml:space="preserve"> ‘</w:t>
      </w:r>
      <w:r w:rsidR="004B0E55">
        <w:t>true</w:t>
      </w:r>
      <w:r w:rsidR="00AF2E40">
        <w:t>’ climate change</w:t>
      </w:r>
      <w:r w:rsidR="005C4D62">
        <w:t xml:space="preserve"> litigation</w:t>
      </w:r>
      <w:r w:rsidR="000C50FB">
        <w:t>.</w:t>
      </w:r>
      <w:r w:rsidR="006B13EB">
        <w:t xml:space="preserve"> Had the case shifted from </w:t>
      </w:r>
      <w:r w:rsidR="00D11BB8">
        <w:t xml:space="preserve">localised </w:t>
      </w:r>
      <w:r w:rsidR="00D75836">
        <w:t xml:space="preserve">adaptation </w:t>
      </w:r>
      <w:r w:rsidR="006B13EB">
        <w:t xml:space="preserve">remedying the impact of climate change to </w:t>
      </w:r>
      <w:r w:rsidR="00D11BB8">
        <w:t xml:space="preserve">global </w:t>
      </w:r>
      <w:r w:rsidR="00D75836">
        <w:t xml:space="preserve">mitigation </w:t>
      </w:r>
      <w:r w:rsidR="006B13EB">
        <w:t>fighting</w:t>
      </w:r>
      <w:r w:rsidR="00E52382">
        <w:t xml:space="preserve"> the causes of climate change, th</w:t>
      </w:r>
      <w:r w:rsidR="00BF05AF">
        <w:t xml:space="preserve">is would have made </w:t>
      </w:r>
      <w:r w:rsidR="00BF05AF" w:rsidRPr="009E2122">
        <w:rPr>
          <w:i/>
          <w:iCs/>
        </w:rPr>
        <w:t>Torres Strait Islanders</w:t>
      </w:r>
      <w:r w:rsidR="00BF05AF">
        <w:rPr>
          <w:i/>
          <w:iCs/>
        </w:rPr>
        <w:t xml:space="preserve"> </w:t>
      </w:r>
      <w:r w:rsidR="00BF05AF">
        <w:t>a</w:t>
      </w:r>
      <w:r w:rsidR="0066191C">
        <w:t>n instance of</w:t>
      </w:r>
      <w:r w:rsidR="00BF05AF">
        <w:t xml:space="preserve"> ‘</w:t>
      </w:r>
      <w:r w:rsidR="00062437">
        <w:t>true</w:t>
      </w:r>
      <w:r w:rsidR="00BF05AF">
        <w:t xml:space="preserve">’ climate change </w:t>
      </w:r>
      <w:r w:rsidR="0066191C">
        <w:t>litigation</w:t>
      </w:r>
      <w:r w:rsidR="00BF05AF">
        <w:t xml:space="preserve">. </w:t>
      </w:r>
      <w:r w:rsidR="00DA738A">
        <w:t>The difficulties</w:t>
      </w:r>
      <w:r w:rsidR="0066191C">
        <w:rPr>
          <w:rStyle w:val="FootnoteReference"/>
        </w:rPr>
        <w:footnoteReference w:id="29"/>
      </w:r>
      <w:r w:rsidR="00DA738A">
        <w:t xml:space="preserve"> that are inherent to this task might</w:t>
      </w:r>
      <w:r w:rsidR="006E0FBA">
        <w:t xml:space="preserve"> explain </w:t>
      </w:r>
      <w:r w:rsidR="00DA738A">
        <w:t>why –wisely</w:t>
      </w:r>
      <w:r w:rsidR="0001063F">
        <w:t xml:space="preserve"> enough</w:t>
      </w:r>
      <w:r w:rsidR="006E0FBA">
        <w:t xml:space="preserve">, in my </w:t>
      </w:r>
      <w:r w:rsidR="00112BA8">
        <w:t>view</w:t>
      </w:r>
      <w:r w:rsidR="00DA738A">
        <w:t>–</w:t>
      </w:r>
      <w:r w:rsidR="006E0FBA">
        <w:t xml:space="preserve"> the HRC demonstrate</w:t>
      </w:r>
      <w:r w:rsidR="00BB288F">
        <w:t>d</w:t>
      </w:r>
      <w:r w:rsidR="006E0FBA">
        <w:t xml:space="preserve"> </w:t>
      </w:r>
      <w:r w:rsidR="00F71772">
        <w:t xml:space="preserve">self-restraint </w:t>
      </w:r>
      <w:r w:rsidR="006E0FBA">
        <w:t xml:space="preserve">in </w:t>
      </w:r>
      <w:r w:rsidR="006E0FBA" w:rsidRPr="009E2122">
        <w:rPr>
          <w:i/>
          <w:iCs/>
        </w:rPr>
        <w:t>Torres Strait Islanders</w:t>
      </w:r>
      <w:r w:rsidR="00F71772">
        <w:rPr>
          <w:i/>
          <w:iCs/>
        </w:rPr>
        <w:t>,</w:t>
      </w:r>
      <w:r w:rsidR="006E0FBA">
        <w:t xml:space="preserve"> </w:t>
      </w:r>
      <w:r w:rsidR="0082342A">
        <w:t>in that it focuse</w:t>
      </w:r>
      <w:r w:rsidR="00BB288F">
        <w:t>d</w:t>
      </w:r>
      <w:r w:rsidR="0082342A">
        <w:t xml:space="preserve"> on adaptation</w:t>
      </w:r>
      <w:r w:rsidR="00DA738A">
        <w:t>.</w:t>
      </w:r>
      <w:r w:rsidR="006E0FBA">
        <w:t xml:space="preserve"> </w:t>
      </w:r>
      <w:r w:rsidR="008C7C68">
        <w:t>However,</w:t>
      </w:r>
      <w:r w:rsidR="006E0FBA">
        <w:t xml:space="preserve"> it also chose –</w:t>
      </w:r>
      <w:proofErr w:type="gramStart"/>
      <w:r w:rsidR="0001063F">
        <w:t>fairly</w:t>
      </w:r>
      <w:r w:rsidR="006E0FBA">
        <w:t xml:space="preserve"> understandably</w:t>
      </w:r>
      <w:proofErr w:type="gramEnd"/>
      <w:r w:rsidR="006E0FBA">
        <w:t xml:space="preserve">– </w:t>
      </w:r>
      <w:r w:rsidR="008C7C68">
        <w:t xml:space="preserve">to </w:t>
      </w:r>
      <w:r w:rsidR="006E0FBA">
        <w:t>giv</w:t>
      </w:r>
      <w:r w:rsidR="008C7C68">
        <w:t>e</w:t>
      </w:r>
      <w:r w:rsidR="006E0FBA">
        <w:t xml:space="preserve"> a climate change </w:t>
      </w:r>
      <w:r w:rsidR="0082342A">
        <w:t>mitigation</w:t>
      </w:r>
      <w:r w:rsidR="00A92EC1">
        <w:t xml:space="preserve"> </w:t>
      </w:r>
      <w:r w:rsidR="006E0FBA">
        <w:t>‘allure’ to its decision</w:t>
      </w:r>
      <w:r w:rsidR="00242674">
        <w:t xml:space="preserve">, which </w:t>
      </w:r>
      <w:r w:rsidR="0098307B">
        <w:t>nevertheless</w:t>
      </w:r>
      <w:r w:rsidR="00242674">
        <w:t xml:space="preserve"> remains deprived of legal effects and significance, beyond the impressions </w:t>
      </w:r>
      <w:r w:rsidR="004255A6">
        <w:t xml:space="preserve">that it creates </w:t>
      </w:r>
      <w:r w:rsidR="00242674">
        <w:t>and any ‘meta-</w:t>
      </w:r>
      <w:r w:rsidR="00C35D34">
        <w:t>messages’</w:t>
      </w:r>
      <w:r w:rsidR="00550B3B">
        <w:t xml:space="preserve"> that</w:t>
      </w:r>
      <w:r w:rsidR="00C35D34">
        <w:t xml:space="preserve"> it may be read as carrying. </w:t>
      </w:r>
    </w:p>
    <w:p w14:paraId="7672DF32" w14:textId="3B6F6FC3" w:rsidR="00C35D34" w:rsidRDefault="00BE178B" w:rsidP="000605C6">
      <w:pPr>
        <w:jc w:val="both"/>
      </w:pPr>
      <w:r>
        <w:tab/>
      </w:r>
      <w:r w:rsidR="008C7C68">
        <w:t xml:space="preserve">In the </w:t>
      </w:r>
      <w:r w:rsidR="00602D30">
        <w:t>following</w:t>
      </w:r>
      <w:r w:rsidR="008C7C68">
        <w:t xml:space="preserve"> three </w:t>
      </w:r>
      <w:r w:rsidR="00602D30">
        <w:t>sub-</w:t>
      </w:r>
      <w:r w:rsidR="008C7C68">
        <w:t>se</w:t>
      </w:r>
      <w:r w:rsidR="00602D30">
        <w:t>ct</w:t>
      </w:r>
      <w:r w:rsidR="008C7C68">
        <w:t>ions</w:t>
      </w:r>
      <w:r w:rsidR="008D7142">
        <w:t>,</w:t>
      </w:r>
      <w:r w:rsidR="008C7C68">
        <w:t xml:space="preserve"> I unpack the</w:t>
      </w:r>
      <w:r w:rsidR="004255A6">
        <w:t>se three</w:t>
      </w:r>
      <w:r w:rsidR="008C7C68">
        <w:t xml:space="preserve"> points</w:t>
      </w:r>
      <w:r w:rsidR="004255A6">
        <w:t>, namely</w:t>
      </w:r>
      <w:r w:rsidR="008D7142">
        <w:t>,</w:t>
      </w:r>
      <w:r w:rsidR="004255A6">
        <w:t xml:space="preserve"> </w:t>
      </w:r>
      <w:r w:rsidR="004805D8">
        <w:t>self-restraint, the climate change</w:t>
      </w:r>
      <w:r w:rsidR="00550B3B">
        <w:t xml:space="preserve"> </w:t>
      </w:r>
      <w:r w:rsidR="00EF1E54">
        <w:t>mitigation</w:t>
      </w:r>
      <w:r w:rsidR="004805D8">
        <w:t xml:space="preserve"> allure</w:t>
      </w:r>
      <w:r w:rsidR="008D7142">
        <w:t>,</w:t>
      </w:r>
      <w:r w:rsidR="004805D8">
        <w:t xml:space="preserve"> and the </w:t>
      </w:r>
      <w:r w:rsidR="00550B3B">
        <w:t>‘</w:t>
      </w:r>
      <w:r w:rsidR="004805D8">
        <w:t>meta-messages</w:t>
      </w:r>
      <w:r w:rsidR="00550B3B">
        <w:t>’</w:t>
      </w:r>
      <w:r w:rsidR="004805D8">
        <w:t xml:space="preserve"> </w:t>
      </w:r>
      <w:r w:rsidR="006D19CF">
        <w:t xml:space="preserve">that </w:t>
      </w:r>
      <w:r w:rsidR="004805D8">
        <w:t>it</w:t>
      </w:r>
      <w:r w:rsidR="00550B3B">
        <w:t xml:space="preserve"> possibly</w:t>
      </w:r>
      <w:r w:rsidR="004805D8">
        <w:t xml:space="preserve"> carries.</w:t>
      </w:r>
      <w:r w:rsidR="00602D30">
        <w:t xml:space="preserve"> </w:t>
      </w:r>
      <w:r w:rsidR="008C7C68">
        <w:t xml:space="preserve"> </w:t>
      </w:r>
    </w:p>
    <w:p w14:paraId="2B59ED61" w14:textId="4AB5C23F" w:rsidR="00C35D34" w:rsidRDefault="00C35D34" w:rsidP="000605C6">
      <w:pPr>
        <w:jc w:val="both"/>
      </w:pPr>
    </w:p>
    <w:p w14:paraId="39E9D330" w14:textId="3D1F580B" w:rsidR="009F6429" w:rsidRPr="009F6429" w:rsidRDefault="009F6429" w:rsidP="009F6429">
      <w:pPr>
        <w:pStyle w:val="ListParagraph"/>
        <w:numPr>
          <w:ilvl w:val="1"/>
          <w:numId w:val="2"/>
        </w:numPr>
        <w:jc w:val="both"/>
        <w:rPr>
          <w:b/>
          <w:bCs/>
        </w:rPr>
      </w:pPr>
      <w:r w:rsidRPr="009F6429">
        <w:rPr>
          <w:b/>
          <w:bCs/>
        </w:rPr>
        <w:t>Self-</w:t>
      </w:r>
      <w:r w:rsidR="008D7142">
        <w:rPr>
          <w:b/>
          <w:bCs/>
        </w:rPr>
        <w:t>R</w:t>
      </w:r>
      <w:r w:rsidRPr="009F6429">
        <w:rPr>
          <w:b/>
          <w:bCs/>
        </w:rPr>
        <w:t>estraint</w:t>
      </w:r>
    </w:p>
    <w:p w14:paraId="46F805F2" w14:textId="24AABC37" w:rsidR="001A18A6" w:rsidRDefault="004805D8" w:rsidP="000605C6">
      <w:pPr>
        <w:jc w:val="both"/>
      </w:pPr>
      <w:r>
        <w:t>S</w:t>
      </w:r>
      <w:r w:rsidR="00C35D34">
        <w:t>tart</w:t>
      </w:r>
      <w:r>
        <w:t>ing</w:t>
      </w:r>
      <w:r w:rsidR="00C35D34">
        <w:t xml:space="preserve"> with </w:t>
      </w:r>
      <w:r w:rsidR="00C35D34" w:rsidRPr="00673F0E">
        <w:t>self-restraint</w:t>
      </w:r>
      <w:r>
        <w:t>, h</w:t>
      </w:r>
      <w:r w:rsidR="006A4691">
        <w:t xml:space="preserve">ad the HRC wished to exercise scrutiny over </w:t>
      </w:r>
      <w:r w:rsidR="006F47A2">
        <w:t>any</w:t>
      </w:r>
      <w:r w:rsidR="006A4691">
        <w:t xml:space="preserve"> alleged failures of the respondent state to fight the root causes of the </w:t>
      </w:r>
      <w:r w:rsidR="00D30B6A">
        <w:t xml:space="preserve">authors’ </w:t>
      </w:r>
      <w:r w:rsidR="006A4691">
        <w:t>suffering, that is,</w:t>
      </w:r>
      <w:r w:rsidR="0033559B">
        <w:t xml:space="preserve"> to</w:t>
      </w:r>
      <w:r w:rsidR="006A4691">
        <w:t xml:space="preserve"> </w:t>
      </w:r>
      <w:r w:rsidR="00D67330">
        <w:t xml:space="preserve">pursue the mitigation </w:t>
      </w:r>
      <w:r w:rsidR="001A424F">
        <w:t>–</w:t>
      </w:r>
      <w:r w:rsidR="0086076F">
        <w:t>rather than adaption to the impact</w:t>
      </w:r>
      <w:r w:rsidR="001A424F">
        <w:t>–</w:t>
      </w:r>
      <w:r w:rsidR="0086076F">
        <w:t xml:space="preserve"> </w:t>
      </w:r>
      <w:r w:rsidR="00D67330">
        <w:t xml:space="preserve">of </w:t>
      </w:r>
      <w:r w:rsidR="006A4691">
        <w:t>climate change</w:t>
      </w:r>
      <w:r w:rsidR="002A21B8">
        <w:t xml:space="preserve"> on </w:t>
      </w:r>
      <w:r w:rsidR="007D44AC">
        <w:t xml:space="preserve">the enjoyment of </w:t>
      </w:r>
      <w:r w:rsidR="002A21B8">
        <w:t>human rights</w:t>
      </w:r>
      <w:r w:rsidR="003432A7">
        <w:t>, th</w:t>
      </w:r>
      <w:r w:rsidR="0086076F">
        <w:t>is</w:t>
      </w:r>
      <w:r w:rsidR="003432A7">
        <w:t xml:space="preserve"> would have been possible.</w:t>
      </w:r>
      <w:r w:rsidR="005A2E77">
        <w:rPr>
          <w:rStyle w:val="FootnoteReference"/>
        </w:rPr>
        <w:footnoteReference w:id="30"/>
      </w:r>
      <w:r w:rsidR="003432A7">
        <w:t xml:space="preserve"> F</w:t>
      </w:r>
      <w:r w:rsidR="006F47A2">
        <w:t>or instance</w:t>
      </w:r>
      <w:r w:rsidR="003432A7">
        <w:t>, the respondent state, in its efforts to evidence the standards of diligence and pro-activeness</w:t>
      </w:r>
      <w:r w:rsidR="00F15F40">
        <w:t xml:space="preserve"> that</w:t>
      </w:r>
      <w:r w:rsidR="003432A7">
        <w:t xml:space="preserve"> it ha</w:t>
      </w:r>
      <w:r w:rsidR="003070AF">
        <w:t>d</w:t>
      </w:r>
      <w:r w:rsidR="003432A7">
        <w:t xml:space="preserve"> demonstrated, point</w:t>
      </w:r>
      <w:r w:rsidR="00F15F40">
        <w:t>ed</w:t>
      </w:r>
      <w:r w:rsidR="003432A7">
        <w:t xml:space="preserve"> to a series of </w:t>
      </w:r>
      <w:r w:rsidR="00CE36A5">
        <w:t xml:space="preserve">mitigation </w:t>
      </w:r>
      <w:r w:rsidR="003432A7">
        <w:t xml:space="preserve">policies aiming at reversing </w:t>
      </w:r>
      <w:r w:rsidR="007E59C9">
        <w:t xml:space="preserve">climate change </w:t>
      </w:r>
      <w:r w:rsidR="003432A7">
        <w:t>and/or preventing</w:t>
      </w:r>
      <w:r w:rsidR="00F15F40">
        <w:t xml:space="preserve"> it</w:t>
      </w:r>
      <w:r w:rsidR="003432A7">
        <w:t xml:space="preserve"> </w:t>
      </w:r>
      <w:r w:rsidR="00F15F40">
        <w:t xml:space="preserve">from </w:t>
      </w:r>
      <w:r w:rsidR="003432A7">
        <w:t xml:space="preserve">further </w:t>
      </w:r>
      <w:r w:rsidR="00F15F40">
        <w:t>evolving</w:t>
      </w:r>
      <w:r w:rsidR="003432A7">
        <w:t>. To that end, the respondent refer</w:t>
      </w:r>
      <w:r w:rsidR="002D5E54">
        <w:t>red,</w:t>
      </w:r>
      <w:r w:rsidR="003432A7">
        <w:t xml:space="preserve"> </w:t>
      </w:r>
      <w:r w:rsidR="005427FA" w:rsidRPr="005427FA">
        <w:rPr>
          <w:i/>
          <w:iCs/>
        </w:rPr>
        <w:t>inter alia</w:t>
      </w:r>
      <w:r w:rsidR="002D5E54">
        <w:t xml:space="preserve">, </w:t>
      </w:r>
      <w:r w:rsidR="003432A7">
        <w:t>to</w:t>
      </w:r>
      <w:r w:rsidR="00784E8D">
        <w:t xml:space="preserve"> </w:t>
      </w:r>
      <w:r w:rsidR="002D5E54">
        <w:t xml:space="preserve">the </w:t>
      </w:r>
      <w:r w:rsidR="003070AF">
        <w:t>‘</w:t>
      </w:r>
      <w:r w:rsidR="005427FA">
        <w:rPr>
          <w:rFonts w:eastAsia="SimSun"/>
          <w:lang w:eastAsia="zh-CN"/>
        </w:rPr>
        <w:t xml:space="preserve">reduction of its carbon emissions by 20.1% (from 2005 to 2020) and by 46.7% per person (from 1990 to 2020); </w:t>
      </w:r>
      <w:r w:rsidR="002D5E54">
        <w:rPr>
          <w:rFonts w:eastAsia="SimSun"/>
          <w:lang w:eastAsia="zh-CN"/>
        </w:rPr>
        <w:t xml:space="preserve">[and to the] </w:t>
      </w:r>
      <w:r w:rsidR="005427FA">
        <w:rPr>
          <w:rFonts w:eastAsia="SimSun"/>
          <w:lang w:eastAsia="zh-CN"/>
        </w:rPr>
        <w:t>investment of an estimated $20 billion in low emissions technologies (2020-30) and $3.5 billion in the Emissions Reduction Fund</w:t>
      </w:r>
      <w:r w:rsidR="003070AF">
        <w:rPr>
          <w:rFonts w:eastAsia="SimSun"/>
          <w:lang w:eastAsia="zh-CN"/>
        </w:rPr>
        <w:t>’</w:t>
      </w:r>
      <w:r w:rsidR="00784E8D">
        <w:rPr>
          <w:rFonts w:eastAsia="SimSun"/>
          <w:lang w:eastAsia="zh-CN"/>
        </w:rPr>
        <w:t>.</w:t>
      </w:r>
      <w:r w:rsidR="00784E8D">
        <w:rPr>
          <w:rStyle w:val="FootnoteReference"/>
          <w:rFonts w:eastAsia="SimSun"/>
          <w:lang w:eastAsia="zh-CN"/>
        </w:rPr>
        <w:footnoteReference w:id="31"/>
      </w:r>
      <w:r w:rsidR="003432A7">
        <w:t xml:space="preserve"> </w:t>
      </w:r>
      <w:r w:rsidR="00784E8D">
        <w:t>These are ‘core’ climate change</w:t>
      </w:r>
      <w:r w:rsidR="00CE36A5">
        <w:t xml:space="preserve"> mitigation</w:t>
      </w:r>
      <w:r w:rsidR="00784E8D">
        <w:t xml:space="preserve"> policies aiming at </w:t>
      </w:r>
      <w:r w:rsidR="000146A7">
        <w:t>stopping and/or</w:t>
      </w:r>
      <w:r w:rsidR="002D5E54">
        <w:t xml:space="preserve"> </w:t>
      </w:r>
      <w:r w:rsidR="000146A7">
        <w:t>reversing climate change. The</w:t>
      </w:r>
      <w:r w:rsidR="00AB0786">
        <w:t>y</w:t>
      </w:r>
      <w:r w:rsidR="000146A7">
        <w:t xml:space="preserve"> do not </w:t>
      </w:r>
      <w:r w:rsidR="00436D59">
        <w:t xml:space="preserve">directly </w:t>
      </w:r>
      <w:r w:rsidR="000146A7">
        <w:t>address or remedy the adverse consequences of climate change</w:t>
      </w:r>
      <w:r w:rsidR="00C24787">
        <w:t>,</w:t>
      </w:r>
      <w:r w:rsidR="000146A7">
        <w:t xml:space="preserve"> but</w:t>
      </w:r>
      <w:r w:rsidR="003070AF">
        <w:t xml:space="preserve"> rather address</w:t>
      </w:r>
      <w:r w:rsidR="000146A7">
        <w:t xml:space="preserve"> climate change itself as </w:t>
      </w:r>
      <w:r w:rsidR="00C24787">
        <w:t>the</w:t>
      </w:r>
      <w:r w:rsidR="000146A7">
        <w:t xml:space="preserve"> roo</w:t>
      </w:r>
      <w:r w:rsidR="00C24787">
        <w:t>t</w:t>
      </w:r>
      <w:r w:rsidR="000146A7">
        <w:t xml:space="preserve"> cause</w:t>
      </w:r>
      <w:r w:rsidR="00FE3F33">
        <w:t xml:space="preserve"> of the</w:t>
      </w:r>
      <w:r w:rsidR="00436D59">
        <w:t xml:space="preserve"> adverse consequences</w:t>
      </w:r>
      <w:r w:rsidR="002A4A6A">
        <w:t xml:space="preserve"> that </w:t>
      </w:r>
      <w:r w:rsidR="000544FA">
        <w:t>result in</w:t>
      </w:r>
      <w:r w:rsidR="00FE3F33">
        <w:t xml:space="preserve"> human rights suffering</w:t>
      </w:r>
      <w:r w:rsidR="000146A7">
        <w:t xml:space="preserve">. </w:t>
      </w:r>
      <w:r w:rsidR="004E04FE">
        <w:t>H</w:t>
      </w:r>
      <w:r w:rsidR="000146A7">
        <w:t xml:space="preserve">ad the HRC </w:t>
      </w:r>
      <w:r w:rsidR="00907C9D">
        <w:t xml:space="preserve">desired to widen the ambit of its scrutiny, it would have assessed the adequacy of these </w:t>
      </w:r>
      <w:r w:rsidR="00CE36A5">
        <w:t xml:space="preserve">mitigation </w:t>
      </w:r>
      <w:r w:rsidR="00907C9D">
        <w:t xml:space="preserve">policies. Whether human rights experts </w:t>
      </w:r>
      <w:r w:rsidR="00830FAB">
        <w:t>such as</w:t>
      </w:r>
      <w:r w:rsidR="00907C9D">
        <w:t xml:space="preserve"> the HRC</w:t>
      </w:r>
      <w:r w:rsidR="00FE3F33">
        <w:t xml:space="preserve"> members</w:t>
      </w:r>
      <w:r w:rsidR="00907C9D">
        <w:t xml:space="preserve"> possess the </w:t>
      </w:r>
      <w:r w:rsidR="00AB0786">
        <w:t>‘tools’</w:t>
      </w:r>
      <w:r w:rsidR="00907C9D">
        <w:t>, knowledge</w:t>
      </w:r>
      <w:r w:rsidR="00252418">
        <w:t>,</w:t>
      </w:r>
      <w:r w:rsidR="00907C9D">
        <w:t xml:space="preserve"> and skills to proceed with such an assessment is a </w:t>
      </w:r>
      <w:r w:rsidR="002A4A6A">
        <w:t>good, albeit different</w:t>
      </w:r>
      <w:r w:rsidR="00A549CD">
        <w:t>,</w:t>
      </w:r>
      <w:r w:rsidR="00907C9D">
        <w:t xml:space="preserve"> question. </w:t>
      </w:r>
      <w:r w:rsidR="002252C1">
        <w:t>N</w:t>
      </w:r>
      <w:r w:rsidR="005C23FC">
        <w:t>evertheless</w:t>
      </w:r>
      <w:r w:rsidR="002252C1">
        <w:t>, t</w:t>
      </w:r>
      <w:r w:rsidR="00907C9D">
        <w:t xml:space="preserve">he point </w:t>
      </w:r>
      <w:r w:rsidR="00C56DE0">
        <w:t xml:space="preserve">that </w:t>
      </w:r>
      <w:r w:rsidR="00907C9D">
        <w:t xml:space="preserve">I am making here </w:t>
      </w:r>
      <w:r w:rsidR="00F10FBA">
        <w:t>is that this was an option</w:t>
      </w:r>
      <w:r w:rsidR="00FE3F33">
        <w:t xml:space="preserve"> in </w:t>
      </w:r>
      <w:r w:rsidR="00FE3F33" w:rsidRPr="009E2122">
        <w:rPr>
          <w:i/>
          <w:iCs/>
        </w:rPr>
        <w:t xml:space="preserve">Torres </w:t>
      </w:r>
      <w:r w:rsidR="00FE3F33" w:rsidRPr="009E2122">
        <w:rPr>
          <w:i/>
          <w:iCs/>
        </w:rPr>
        <w:lastRenderedPageBreak/>
        <w:t>Strait Islanders</w:t>
      </w:r>
      <w:r w:rsidR="00F10FBA">
        <w:t>; a possible path –to my understanding</w:t>
      </w:r>
      <w:r w:rsidR="003923AB">
        <w:t>,</w:t>
      </w:r>
      <w:r w:rsidR="00F10FBA">
        <w:t xml:space="preserve"> </w:t>
      </w:r>
      <w:r w:rsidR="003923AB">
        <w:t>perhaps a</w:t>
      </w:r>
      <w:r w:rsidR="00AB0786">
        <w:t xml:space="preserve"> </w:t>
      </w:r>
      <w:r w:rsidR="00F10FBA">
        <w:t>slippery path–,</w:t>
      </w:r>
      <w:r w:rsidR="002252C1">
        <w:t xml:space="preserve"> that</w:t>
      </w:r>
      <w:r w:rsidR="00F10FBA">
        <w:t xml:space="preserve"> the HRC chose </w:t>
      </w:r>
      <w:r w:rsidR="00974D99">
        <w:t xml:space="preserve">not </w:t>
      </w:r>
      <w:r w:rsidR="00F10FBA">
        <w:t>to</w:t>
      </w:r>
      <w:r w:rsidR="00974D99">
        <w:t xml:space="preserve"> take. However, the respondent’s submissions made this possible, which</w:t>
      </w:r>
      <w:r w:rsidR="003923AB">
        <w:t>,</w:t>
      </w:r>
      <w:r w:rsidR="00974D99">
        <w:t xml:space="preserve"> </w:t>
      </w:r>
      <w:r w:rsidR="00554A49">
        <w:t>as</w:t>
      </w:r>
      <w:r w:rsidR="00974D99">
        <w:t xml:space="preserve"> a fact</w:t>
      </w:r>
      <w:r w:rsidR="003923AB">
        <w:t>,</w:t>
      </w:r>
      <w:r w:rsidR="00974D99">
        <w:t xml:space="preserve"> might be telling as to how the respondent perceived this case, that is</w:t>
      </w:r>
      <w:r w:rsidR="00C07147">
        <w:t>,</w:t>
      </w:r>
      <w:r w:rsidR="00974D99">
        <w:t xml:space="preserve"> as a </w:t>
      </w:r>
      <w:r w:rsidR="00C07147">
        <w:t>case that contained elements of ‘</w:t>
      </w:r>
      <w:r w:rsidR="00554A49">
        <w:t>true</w:t>
      </w:r>
      <w:r w:rsidR="00C07147">
        <w:t xml:space="preserve">’ climate change litigation in the sense of </w:t>
      </w:r>
      <w:r w:rsidR="00554A49">
        <w:t xml:space="preserve">employing human rights rules to </w:t>
      </w:r>
      <w:r w:rsidR="00C07147">
        <w:t xml:space="preserve">address the root causes of the problem </w:t>
      </w:r>
      <w:r w:rsidR="00F742A1">
        <w:t xml:space="preserve">(i.e., </w:t>
      </w:r>
      <w:r w:rsidR="00C07147">
        <w:t>anthropogenic climate change itself</w:t>
      </w:r>
      <w:r w:rsidR="00F742A1">
        <w:t>)</w:t>
      </w:r>
      <w:r w:rsidR="0057659C">
        <w:t xml:space="preserve"> and possibly set standards of environmental protection</w:t>
      </w:r>
      <w:r w:rsidR="003A7283">
        <w:t xml:space="preserve"> aiming at the mitigation of climate change</w:t>
      </w:r>
      <w:r w:rsidR="00C07147">
        <w:t xml:space="preserve">. </w:t>
      </w:r>
    </w:p>
    <w:p w14:paraId="7C07C357" w14:textId="4FEA7181" w:rsidR="003D47EC" w:rsidRPr="00253F41" w:rsidRDefault="00BE178B" w:rsidP="000605C6">
      <w:pPr>
        <w:jc w:val="both"/>
        <w:rPr>
          <w:rFonts w:eastAsia="SimSun"/>
          <w:lang w:eastAsia="zh-CN"/>
        </w:rPr>
      </w:pPr>
      <w:r>
        <w:tab/>
      </w:r>
      <w:r w:rsidR="0057659C">
        <w:t>Thus, a</w:t>
      </w:r>
      <w:r w:rsidR="00044A2B">
        <w:t xml:space="preserve"> more ‘activist’ HRC could have opened the </w:t>
      </w:r>
      <w:r w:rsidR="0057659C" w:rsidRPr="009E2122">
        <w:rPr>
          <w:i/>
          <w:iCs/>
        </w:rPr>
        <w:t>Torres Strait Islanders</w:t>
      </w:r>
      <w:r w:rsidR="0057659C">
        <w:t xml:space="preserve"> </w:t>
      </w:r>
      <w:r w:rsidR="00044A2B">
        <w:t xml:space="preserve">case to </w:t>
      </w:r>
      <w:r w:rsidR="00835F95">
        <w:t xml:space="preserve">mitigation </w:t>
      </w:r>
      <w:r w:rsidR="00044A2B">
        <w:t>measures aiming at fighting/reversing climate change by widening the scope of its scrutiny of the measures adopted by the re</w:t>
      </w:r>
      <w:r w:rsidR="00A64CF0">
        <w:t>s</w:t>
      </w:r>
      <w:r w:rsidR="00044A2B">
        <w:t xml:space="preserve">pondent </w:t>
      </w:r>
      <w:r w:rsidR="00835F95">
        <w:t>and</w:t>
      </w:r>
      <w:r w:rsidR="00A64CF0">
        <w:t xml:space="preserve"> </w:t>
      </w:r>
      <w:r w:rsidR="008F5E90">
        <w:t xml:space="preserve">possibly </w:t>
      </w:r>
      <w:r w:rsidR="00A64CF0">
        <w:t>f</w:t>
      </w:r>
      <w:r w:rsidR="008F5E90">
        <w:t>inding</w:t>
      </w:r>
      <w:r w:rsidR="00A64CF0">
        <w:t xml:space="preserve"> its authorities negligent in the sense of not doing enough to </w:t>
      </w:r>
      <w:r w:rsidR="00835F95">
        <w:t>mitigate</w:t>
      </w:r>
      <w:r w:rsidR="00A64CF0">
        <w:t xml:space="preserve"> climate change. Instead, the HRC </w:t>
      </w:r>
      <w:r w:rsidR="00A64CF0" w:rsidRPr="00643395">
        <w:rPr>
          <w:i/>
          <w:iCs/>
        </w:rPr>
        <w:t>took note</w:t>
      </w:r>
      <w:r w:rsidR="0029592D">
        <w:t xml:space="preserve"> </w:t>
      </w:r>
      <w:r w:rsidR="004536C4">
        <w:t>‘</w:t>
      </w:r>
      <w:r w:rsidR="00253F41">
        <w:rPr>
          <w:bCs/>
          <w:iCs/>
          <w:lang w:val="en-US"/>
        </w:rPr>
        <w:t>of the other adaptation and mitigation measures mentioned by the State party</w:t>
      </w:r>
      <w:r w:rsidR="004536C4">
        <w:rPr>
          <w:lang w:val="en-US"/>
        </w:rPr>
        <w:t>’</w:t>
      </w:r>
      <w:r w:rsidR="00185DFF">
        <w:rPr>
          <w:lang w:val="en-US"/>
        </w:rPr>
        <w:t>,</w:t>
      </w:r>
      <w:r w:rsidR="00253F41">
        <w:rPr>
          <w:rStyle w:val="FootnoteReference"/>
          <w:lang w:val="en-US"/>
        </w:rPr>
        <w:footnoteReference w:id="32"/>
      </w:r>
      <w:r w:rsidR="00253F41">
        <w:rPr>
          <w:lang w:val="en-US"/>
        </w:rPr>
        <w:t xml:space="preserve"> as well as </w:t>
      </w:r>
      <w:r w:rsidR="004536C4">
        <w:rPr>
          <w:lang w:val="en-US"/>
        </w:rPr>
        <w:t>‘</w:t>
      </w:r>
      <w:r w:rsidR="0029592D">
        <w:rPr>
          <w:rFonts w:eastAsia="SimSun"/>
          <w:lang w:eastAsia="zh-CN"/>
        </w:rPr>
        <w:t xml:space="preserve">of </w:t>
      </w:r>
      <w:r w:rsidR="00253F41">
        <w:rPr>
          <w:rFonts w:eastAsia="SimSun"/>
          <w:lang w:eastAsia="zh-CN"/>
        </w:rPr>
        <w:t>[it</w:t>
      </w:r>
      <w:r w:rsidR="0029592D">
        <w:rPr>
          <w:rFonts w:eastAsia="SimSun"/>
          <w:lang w:eastAsia="zh-CN"/>
        </w:rPr>
        <w:t>s</w:t>
      </w:r>
      <w:r w:rsidR="00253F41">
        <w:rPr>
          <w:rFonts w:eastAsia="SimSun"/>
          <w:lang w:eastAsia="zh-CN"/>
        </w:rPr>
        <w:t>]</w:t>
      </w:r>
      <w:r w:rsidR="0029592D">
        <w:rPr>
          <w:rFonts w:eastAsia="SimSun"/>
          <w:lang w:eastAsia="zh-CN"/>
        </w:rPr>
        <w:t xml:space="preserve"> extensive and detailed information that it has taken numerous actions to address adverse impacts caused by climate change and carbon emissions generated within its territory.</w:t>
      </w:r>
      <w:r w:rsidR="004536C4">
        <w:rPr>
          <w:rFonts w:eastAsia="SimSun"/>
          <w:lang w:eastAsia="zh-CN"/>
        </w:rPr>
        <w:t>’</w:t>
      </w:r>
      <w:r w:rsidR="0029592D">
        <w:rPr>
          <w:rStyle w:val="FootnoteReference"/>
          <w:rFonts w:eastAsia="SimSun"/>
          <w:lang w:eastAsia="zh-CN"/>
        </w:rPr>
        <w:footnoteReference w:id="33"/>
      </w:r>
      <w:r w:rsidR="00F10FBA">
        <w:t xml:space="preserve"> </w:t>
      </w:r>
      <w:r w:rsidR="000C3695">
        <w:t>The</w:t>
      </w:r>
      <w:r w:rsidR="000146A7">
        <w:t xml:space="preserve"> </w:t>
      </w:r>
      <w:r w:rsidR="000C3695">
        <w:t xml:space="preserve">HRC </w:t>
      </w:r>
      <w:r w:rsidR="00E67D76">
        <w:t>did</w:t>
      </w:r>
      <w:r w:rsidR="000C3695">
        <w:t xml:space="preserve"> not assess the actions</w:t>
      </w:r>
      <w:r w:rsidR="00E67D76">
        <w:t>/measures</w:t>
      </w:r>
      <w:r w:rsidR="000C3695">
        <w:t xml:space="preserve"> at issue, but it </w:t>
      </w:r>
      <w:r w:rsidR="00AB31CE">
        <w:t>took note of them,</w:t>
      </w:r>
      <w:r w:rsidR="00B01045">
        <w:t xml:space="preserve"> whilst,</w:t>
      </w:r>
      <w:r w:rsidR="00AB31CE">
        <w:t xml:space="preserve"> apparently, </w:t>
      </w:r>
      <w:r w:rsidR="000C3695">
        <w:t>consider</w:t>
      </w:r>
      <w:r w:rsidR="00B01045">
        <w:t>ing</w:t>
      </w:r>
      <w:r w:rsidR="000C3695">
        <w:t xml:space="preserve"> them relevant and important enough to include in its decision.</w:t>
      </w:r>
      <w:r w:rsidR="00F77DFB">
        <w:t xml:space="preserve"> </w:t>
      </w:r>
      <w:r w:rsidR="00AB31CE">
        <w:t xml:space="preserve">Of all the </w:t>
      </w:r>
      <w:r w:rsidR="00185DFF">
        <w:t xml:space="preserve">mitigation and adaptation </w:t>
      </w:r>
      <w:r w:rsidR="005A05AD">
        <w:t>actions/measures of the respondent that it took note of,</w:t>
      </w:r>
      <w:r w:rsidR="004E04FE">
        <w:t xml:space="preserve"> </w:t>
      </w:r>
      <w:r w:rsidR="005A05AD">
        <w:t>the HRC</w:t>
      </w:r>
      <w:r w:rsidR="00B01045">
        <w:t xml:space="preserve"> then</w:t>
      </w:r>
      <w:r w:rsidR="00F77DFB">
        <w:t xml:space="preserve"> single</w:t>
      </w:r>
      <w:r w:rsidR="0020563D">
        <w:t>d out one</w:t>
      </w:r>
      <w:r w:rsidR="00185DFF">
        <w:t xml:space="preserve"> adaptation measure</w:t>
      </w:r>
      <w:r w:rsidR="00F77DFB">
        <w:t>, namely seawalls</w:t>
      </w:r>
      <w:r w:rsidR="003E1986">
        <w:t>,</w:t>
      </w:r>
      <w:r w:rsidR="00EF0848">
        <w:t xml:space="preserve"> and assessed it, finding the state negligent in this respect. </w:t>
      </w:r>
      <w:r w:rsidR="00436FD9">
        <w:t xml:space="preserve">The assessment of the appropriateness and </w:t>
      </w:r>
      <w:r w:rsidR="0016319E">
        <w:t xml:space="preserve">adequacy of </w:t>
      </w:r>
      <w:r w:rsidR="00274E39">
        <w:t xml:space="preserve">mitigation action, such as </w:t>
      </w:r>
      <w:r w:rsidR="00436FD9">
        <w:t>c</w:t>
      </w:r>
      <w:r w:rsidR="00D971F2">
        <w:t>arbon emission policies</w:t>
      </w:r>
      <w:r w:rsidR="00436FD9">
        <w:t xml:space="preserve"> </w:t>
      </w:r>
      <w:r w:rsidR="00D971F2">
        <w:t xml:space="preserve">as a </w:t>
      </w:r>
      <w:r w:rsidR="00436FD9">
        <w:t>measure against climate change</w:t>
      </w:r>
      <w:r w:rsidR="00274E39">
        <w:t>,</w:t>
      </w:r>
      <w:r w:rsidR="00436FD9">
        <w:t xml:space="preserve"> </w:t>
      </w:r>
      <w:r w:rsidR="00D971F2">
        <w:t>require</w:t>
      </w:r>
      <w:r w:rsidR="0016319E">
        <w:t xml:space="preserve">s knowledge and inputs from other disciplines, such as environmental science. Quite the contrary, </w:t>
      </w:r>
      <w:r w:rsidR="00D971F2">
        <w:t>s</w:t>
      </w:r>
      <w:r w:rsidR="00EF0848">
        <w:t xml:space="preserve">eawalls </w:t>
      </w:r>
      <w:r w:rsidR="00274E39">
        <w:t xml:space="preserve">as an adaptation </w:t>
      </w:r>
      <w:r w:rsidR="00EF0848">
        <w:t xml:space="preserve">policy/measure </w:t>
      </w:r>
      <w:r w:rsidR="00274E39">
        <w:t xml:space="preserve">are something </w:t>
      </w:r>
      <w:r w:rsidR="00EF0848">
        <w:t xml:space="preserve">that </w:t>
      </w:r>
      <w:r w:rsidR="00F77DFB">
        <w:t>any layperson</w:t>
      </w:r>
      <w:r w:rsidR="00D144EB">
        <w:t xml:space="preserve"> </w:t>
      </w:r>
      <w:r w:rsidR="003E1986">
        <w:t xml:space="preserve">can </w:t>
      </w:r>
      <w:r w:rsidR="0016319E">
        <w:t>appreciate</w:t>
      </w:r>
      <w:r w:rsidR="003E1986">
        <w:t xml:space="preserve"> </w:t>
      </w:r>
      <w:r w:rsidR="00C01C4B">
        <w:t>a</w:t>
      </w:r>
      <w:r w:rsidR="003E1986">
        <w:t xml:space="preserve">s a </w:t>
      </w:r>
      <w:r w:rsidR="00C5727A">
        <w:t xml:space="preserve">solution to an island </w:t>
      </w:r>
      <w:r w:rsidR="00D3739C">
        <w:t xml:space="preserve">being </w:t>
      </w:r>
      <w:r w:rsidR="00C5727A">
        <w:t xml:space="preserve">gradually </w:t>
      </w:r>
      <w:r w:rsidR="00A11443">
        <w:t xml:space="preserve">swallowed up by the rising sea levels that climate change generates. This </w:t>
      </w:r>
      <w:r w:rsidR="00C01C4B">
        <w:t xml:space="preserve">might be a reason </w:t>
      </w:r>
      <w:r w:rsidR="00A11443">
        <w:t>w</w:t>
      </w:r>
      <w:r w:rsidR="00C01C4B">
        <w:t>hy</w:t>
      </w:r>
      <w:r w:rsidR="00A11443">
        <w:t xml:space="preserve"> the HRC </w:t>
      </w:r>
      <w:r w:rsidR="00BA4307">
        <w:t>chose</w:t>
      </w:r>
      <w:r w:rsidR="00C01C4B">
        <w:t xml:space="preserve"> to merely take note of certain </w:t>
      </w:r>
      <w:r w:rsidR="007D3840">
        <w:t xml:space="preserve">mitigation </w:t>
      </w:r>
      <w:r w:rsidR="00C01C4B">
        <w:t>measures</w:t>
      </w:r>
      <w:r w:rsidR="00E12051" w:rsidRPr="00E12051">
        <w:t xml:space="preserve"> </w:t>
      </w:r>
      <w:r w:rsidR="00E12051">
        <w:t xml:space="preserve">against climate </w:t>
      </w:r>
      <w:proofErr w:type="gramStart"/>
      <w:r w:rsidR="00E12051">
        <w:t>change</w:t>
      </w:r>
      <w:r w:rsidR="00C01C4B">
        <w:t xml:space="preserve">, </w:t>
      </w:r>
      <w:r w:rsidR="00E12051">
        <w:t>but</w:t>
      </w:r>
      <w:proofErr w:type="gramEnd"/>
      <w:r w:rsidR="00BB56C9">
        <w:t xml:space="preserve"> felt</w:t>
      </w:r>
      <w:r w:rsidR="00E12051">
        <w:t xml:space="preserve"> confident enough to assess seawalls as a</w:t>
      </w:r>
      <w:r w:rsidR="00A11443">
        <w:t xml:space="preserve"> remedy</w:t>
      </w:r>
      <w:r w:rsidR="00E12051">
        <w:t xml:space="preserve"> to</w:t>
      </w:r>
      <w:r w:rsidR="00A11443">
        <w:t xml:space="preserve"> the</w:t>
      </w:r>
      <w:r w:rsidR="0091235E">
        <w:t xml:space="preserve"> adverse</w:t>
      </w:r>
      <w:r w:rsidR="00A11443">
        <w:t xml:space="preserve"> impact</w:t>
      </w:r>
      <w:r w:rsidR="0025782E">
        <w:t>s</w:t>
      </w:r>
      <w:r w:rsidR="00A11443">
        <w:t xml:space="preserve"> of climate change</w:t>
      </w:r>
      <w:r w:rsidR="003D47EC">
        <w:t>.</w:t>
      </w:r>
      <w:r w:rsidR="0091235E">
        <w:t xml:space="preserve"> </w:t>
      </w:r>
      <w:r w:rsidR="003D47EC">
        <w:t xml:space="preserve"> </w:t>
      </w:r>
    </w:p>
    <w:p w14:paraId="6CA9E410" w14:textId="2FEA3BFE" w:rsidR="003D47EC" w:rsidRDefault="003D47EC" w:rsidP="000605C6">
      <w:pPr>
        <w:jc w:val="both"/>
      </w:pPr>
    </w:p>
    <w:p w14:paraId="480C579D" w14:textId="7F16EE15" w:rsidR="00737221" w:rsidRPr="00737221" w:rsidRDefault="00737221" w:rsidP="00737221">
      <w:pPr>
        <w:pStyle w:val="ListParagraph"/>
        <w:numPr>
          <w:ilvl w:val="1"/>
          <w:numId w:val="2"/>
        </w:numPr>
        <w:jc w:val="both"/>
        <w:rPr>
          <w:b/>
          <w:bCs/>
        </w:rPr>
      </w:pPr>
      <w:r w:rsidRPr="00737221">
        <w:rPr>
          <w:b/>
          <w:bCs/>
        </w:rPr>
        <w:t xml:space="preserve">The </w:t>
      </w:r>
      <w:r w:rsidR="00D3739C">
        <w:rPr>
          <w:b/>
          <w:bCs/>
        </w:rPr>
        <w:t>C</w:t>
      </w:r>
      <w:r w:rsidR="007D3840">
        <w:rPr>
          <w:b/>
          <w:bCs/>
        </w:rPr>
        <w:t xml:space="preserve">limate </w:t>
      </w:r>
      <w:r w:rsidR="00D3739C">
        <w:rPr>
          <w:b/>
          <w:bCs/>
        </w:rPr>
        <w:t>C</w:t>
      </w:r>
      <w:r w:rsidR="007D3840">
        <w:rPr>
          <w:b/>
          <w:bCs/>
        </w:rPr>
        <w:t xml:space="preserve">hange </w:t>
      </w:r>
      <w:r w:rsidR="00D3739C">
        <w:rPr>
          <w:b/>
          <w:bCs/>
        </w:rPr>
        <w:t>M</w:t>
      </w:r>
      <w:r w:rsidR="007D3840">
        <w:rPr>
          <w:b/>
          <w:bCs/>
        </w:rPr>
        <w:t xml:space="preserve">itigation </w:t>
      </w:r>
      <w:r w:rsidR="00D3739C">
        <w:rPr>
          <w:b/>
          <w:bCs/>
        </w:rPr>
        <w:t>A</w:t>
      </w:r>
      <w:r w:rsidR="008E0234" w:rsidRPr="00737221">
        <w:rPr>
          <w:b/>
          <w:bCs/>
        </w:rPr>
        <w:t>llure</w:t>
      </w:r>
      <w:r w:rsidR="000A5716">
        <w:rPr>
          <w:b/>
          <w:bCs/>
        </w:rPr>
        <w:t xml:space="preserve"> </w:t>
      </w:r>
    </w:p>
    <w:p w14:paraId="1811340D" w14:textId="36184998" w:rsidR="00396D2D" w:rsidRDefault="000A5716" w:rsidP="000605C6">
      <w:pPr>
        <w:jc w:val="both"/>
      </w:pPr>
      <w:r>
        <w:t>Moving to the</w:t>
      </w:r>
      <w:r w:rsidR="009E6837">
        <w:t xml:space="preserve"> climate change mitigation</w:t>
      </w:r>
      <w:r>
        <w:t xml:space="preserve"> allure that</w:t>
      </w:r>
      <w:r w:rsidR="00A92EC1">
        <w:t>, in my eyes,</w:t>
      </w:r>
      <w:r>
        <w:t xml:space="preserve"> </w:t>
      </w:r>
      <w:r w:rsidRPr="009E2122">
        <w:rPr>
          <w:i/>
          <w:iCs/>
        </w:rPr>
        <w:t>Torres Strait Islanders</w:t>
      </w:r>
      <w:r>
        <w:rPr>
          <w:i/>
          <w:iCs/>
        </w:rPr>
        <w:t xml:space="preserve"> </w:t>
      </w:r>
      <w:r>
        <w:t>contains</w:t>
      </w:r>
      <w:r w:rsidR="00096C3D">
        <w:t xml:space="preserve">, the starting point is </w:t>
      </w:r>
      <w:r w:rsidR="008E0234">
        <w:t>that</w:t>
      </w:r>
      <w:r w:rsidR="00A92EC1">
        <w:t xml:space="preserve"> the object of the case was </w:t>
      </w:r>
      <w:r w:rsidR="00A73163">
        <w:t xml:space="preserve">construed by the HRC in a manner that </w:t>
      </w:r>
      <w:r w:rsidR="005C744C">
        <w:t xml:space="preserve">in essence </w:t>
      </w:r>
      <w:r w:rsidR="00A73163">
        <w:t>excluded</w:t>
      </w:r>
      <w:r w:rsidR="005C744C">
        <w:t xml:space="preserve"> mitigation </w:t>
      </w:r>
      <w:r w:rsidR="00A73163">
        <w:t xml:space="preserve">elements </w:t>
      </w:r>
      <w:r w:rsidR="00160A76">
        <w:t>against climate change</w:t>
      </w:r>
      <w:r w:rsidR="00A73163">
        <w:t xml:space="preserve"> </w:t>
      </w:r>
      <w:r w:rsidR="007C0799">
        <w:t>from scrutiny</w:t>
      </w:r>
      <w:r w:rsidR="00160A76">
        <w:t>,</w:t>
      </w:r>
      <w:r w:rsidR="0084181C">
        <w:t xml:space="preserve"> </w:t>
      </w:r>
      <w:r w:rsidR="00160A76">
        <w:t xml:space="preserve">focusing </w:t>
      </w:r>
      <w:r w:rsidR="0084181C">
        <w:t xml:space="preserve">instead </w:t>
      </w:r>
      <w:r w:rsidR="00160A76">
        <w:t>on</w:t>
      </w:r>
      <w:r w:rsidR="00323792">
        <w:t xml:space="preserve"> adaptation</w:t>
      </w:r>
      <w:r w:rsidR="00160A76">
        <w:t xml:space="preserve"> measures aiming at </w:t>
      </w:r>
      <w:r w:rsidR="008C2649">
        <w:t xml:space="preserve">remedying </w:t>
      </w:r>
      <w:r w:rsidR="007B2550">
        <w:t>human rights</w:t>
      </w:r>
      <w:r w:rsidR="008C2649">
        <w:t xml:space="preserve"> suffering, that is</w:t>
      </w:r>
      <w:r w:rsidR="00602E84">
        <w:t>,</w:t>
      </w:r>
      <w:r w:rsidR="008C2649">
        <w:t xml:space="preserve"> at </w:t>
      </w:r>
      <w:r w:rsidR="00602E84">
        <w:t xml:space="preserve">offering </w:t>
      </w:r>
      <w:r w:rsidR="00160A76">
        <w:t>protecti</w:t>
      </w:r>
      <w:r w:rsidR="00602E84">
        <w:t>on</w:t>
      </w:r>
      <w:r w:rsidR="00160A76">
        <w:t xml:space="preserve"> from the impact of climate change</w:t>
      </w:r>
      <w:r w:rsidR="008C2649">
        <w:t>. However,</w:t>
      </w:r>
      <w:r w:rsidR="00160A76">
        <w:t xml:space="preserve"> </w:t>
      </w:r>
      <w:r w:rsidR="008C2649">
        <w:t xml:space="preserve">this </w:t>
      </w:r>
      <w:r w:rsidR="00160A76">
        <w:t>did</w:t>
      </w:r>
      <w:r w:rsidR="002D42E6">
        <w:t xml:space="preserve"> not prevent t</w:t>
      </w:r>
      <w:r w:rsidR="000D65D5">
        <w:t>he</w:t>
      </w:r>
      <w:r w:rsidR="002D42E6">
        <w:t xml:space="preserve"> HRC from </w:t>
      </w:r>
      <w:r w:rsidR="00BA64FA">
        <w:t>‘</w:t>
      </w:r>
      <w:r w:rsidR="002D42E6">
        <w:t>disguising</w:t>
      </w:r>
      <w:r w:rsidR="00BA64FA">
        <w:t>’ parts</w:t>
      </w:r>
      <w:r w:rsidR="000D65D5">
        <w:t xml:space="preserve"> of</w:t>
      </w:r>
      <w:r w:rsidR="002D42E6">
        <w:t xml:space="preserve"> its decision –albeit in a manner that is </w:t>
      </w:r>
      <w:r w:rsidR="0084181C">
        <w:t xml:space="preserve">in principle </w:t>
      </w:r>
      <w:r w:rsidR="002D42E6">
        <w:t xml:space="preserve">deprived of tangible legal effects– </w:t>
      </w:r>
      <w:r w:rsidR="00396D2D">
        <w:t>as</w:t>
      </w:r>
      <w:r w:rsidR="002D42E6">
        <w:t xml:space="preserve"> </w:t>
      </w:r>
      <w:r w:rsidR="00323792">
        <w:t xml:space="preserve">a </w:t>
      </w:r>
      <w:r w:rsidR="002D42E6">
        <w:t>climate change</w:t>
      </w:r>
      <w:r w:rsidR="00C52E19">
        <w:t xml:space="preserve"> </w:t>
      </w:r>
      <w:r w:rsidR="00323792">
        <w:t>mitigation case</w:t>
      </w:r>
      <w:r w:rsidR="00C52E19">
        <w:t>.</w:t>
      </w:r>
      <w:r w:rsidR="00BA64FA">
        <w:t xml:space="preserve"> This is what I </w:t>
      </w:r>
      <w:r w:rsidR="0083469D">
        <w:t>term</w:t>
      </w:r>
      <w:r w:rsidR="0084181C">
        <w:t xml:space="preserve"> </w:t>
      </w:r>
      <w:r w:rsidR="00396D2D">
        <w:t>here</w:t>
      </w:r>
      <w:r w:rsidR="00BA64FA">
        <w:t xml:space="preserve"> as the HRC</w:t>
      </w:r>
      <w:r w:rsidR="00C52E19">
        <w:t xml:space="preserve"> giving a</w:t>
      </w:r>
      <w:r w:rsidR="009E6837">
        <w:t xml:space="preserve"> </w:t>
      </w:r>
      <w:r w:rsidR="007554D7">
        <w:t>‘</w:t>
      </w:r>
      <w:r w:rsidR="009E6837">
        <w:t>climate change mitigation</w:t>
      </w:r>
      <w:r w:rsidR="00C52E19">
        <w:t xml:space="preserve"> allure</w:t>
      </w:r>
      <w:r w:rsidR="00D17E16">
        <w:t>’</w:t>
      </w:r>
      <w:r w:rsidR="00C52E19">
        <w:t xml:space="preserve"> in its </w:t>
      </w:r>
      <w:r w:rsidR="00D11092">
        <w:t>decision</w:t>
      </w:r>
      <w:r w:rsidR="00C52E19">
        <w:t xml:space="preserve">. </w:t>
      </w:r>
    </w:p>
    <w:p w14:paraId="25EE0902" w14:textId="63F05F70" w:rsidR="00545F91" w:rsidRDefault="00BE178B" w:rsidP="000605C6">
      <w:pPr>
        <w:jc w:val="both"/>
      </w:pPr>
      <w:r>
        <w:tab/>
      </w:r>
      <w:r w:rsidR="00C52E19">
        <w:t xml:space="preserve">First, the fact that </w:t>
      </w:r>
      <w:r w:rsidR="00396D2D">
        <w:t>the HRC</w:t>
      </w:r>
      <w:r w:rsidR="00C52E19">
        <w:t xml:space="preserve"> takes note of </w:t>
      </w:r>
      <w:r w:rsidR="00533C89">
        <w:t xml:space="preserve">the </w:t>
      </w:r>
      <w:r w:rsidR="00586879">
        <w:t>respondent’s policies</w:t>
      </w:r>
      <w:r w:rsidR="006904DC">
        <w:t xml:space="preserve"> on carbon emissions</w:t>
      </w:r>
      <w:r w:rsidR="00586879">
        <w:t xml:space="preserve"> </w:t>
      </w:r>
      <w:r w:rsidR="00027A66">
        <w:t>gives the impression</w:t>
      </w:r>
      <w:r w:rsidR="00586879">
        <w:t xml:space="preserve"> that</w:t>
      </w:r>
      <w:r w:rsidR="006904DC">
        <w:t xml:space="preserve"> this is pa</w:t>
      </w:r>
      <w:r w:rsidR="00545F91">
        <w:t>r</w:t>
      </w:r>
      <w:r w:rsidR="006904DC">
        <w:t xml:space="preserve">t of the ‘equation’. </w:t>
      </w:r>
      <w:r w:rsidR="00D22358">
        <w:t>Yet, f</w:t>
      </w:r>
      <w:r w:rsidR="006904DC">
        <w:t xml:space="preserve">rom a legal point of view, the HRC did not assess </w:t>
      </w:r>
      <w:r w:rsidR="002A60DE">
        <w:t xml:space="preserve">these </w:t>
      </w:r>
      <w:r w:rsidR="00D22358">
        <w:t xml:space="preserve">mitigation </w:t>
      </w:r>
      <w:r w:rsidR="002A60DE">
        <w:t xml:space="preserve">policies and it certainly did not make them part of the positive </w:t>
      </w:r>
      <w:r w:rsidR="00EC2BDD">
        <w:t xml:space="preserve">human rights </w:t>
      </w:r>
      <w:r w:rsidR="002A60DE">
        <w:t xml:space="preserve">obligations </w:t>
      </w:r>
      <w:r w:rsidR="00C3327F">
        <w:t xml:space="preserve">that </w:t>
      </w:r>
      <w:r w:rsidR="002A60DE">
        <w:t xml:space="preserve">states have </w:t>
      </w:r>
      <w:r w:rsidR="002A60DE" w:rsidRPr="00EC2BDD">
        <w:rPr>
          <w:i/>
          <w:iCs/>
        </w:rPr>
        <w:t>vis-à-vis</w:t>
      </w:r>
      <w:r w:rsidR="002A60DE">
        <w:t xml:space="preserve"> people under their jurisdiction</w:t>
      </w:r>
      <w:r w:rsidR="00EC2BDD">
        <w:t xml:space="preserve">. Yet, these </w:t>
      </w:r>
      <w:r w:rsidR="00D22358">
        <w:t xml:space="preserve">mitigation </w:t>
      </w:r>
      <w:r w:rsidR="00EC2BDD">
        <w:t xml:space="preserve">policies are in the text of the decision as part of the broader ‘toolkit’ </w:t>
      </w:r>
      <w:r w:rsidR="00544E57">
        <w:t xml:space="preserve">developed by the respondent. </w:t>
      </w:r>
      <w:r w:rsidR="00C14F53">
        <w:t>For now, t</w:t>
      </w:r>
      <w:r w:rsidR="00544E57">
        <w:t xml:space="preserve">hey </w:t>
      </w:r>
      <w:r w:rsidR="00604B41">
        <w:t>stay</w:t>
      </w:r>
      <w:r w:rsidR="00544E57">
        <w:t xml:space="preserve"> in the text in a dormant manner, waiting for another decision by the HRC or </w:t>
      </w:r>
      <w:r w:rsidR="00604B41">
        <w:t xml:space="preserve">by </w:t>
      </w:r>
      <w:r w:rsidR="00544E57">
        <w:t>another authority that will</w:t>
      </w:r>
      <w:r w:rsidR="00CA13D5">
        <w:t xml:space="preserve"> wish to refer to them and</w:t>
      </w:r>
      <w:r w:rsidR="00544E57">
        <w:t xml:space="preserve"> </w:t>
      </w:r>
      <w:r w:rsidR="00CA13D5">
        <w:t>possibly treat them in a different manner</w:t>
      </w:r>
      <w:r w:rsidR="00CD7F0C">
        <w:t>,</w:t>
      </w:r>
      <w:r w:rsidR="00CA13D5">
        <w:t xml:space="preserve"> </w:t>
      </w:r>
      <w:r w:rsidR="001010C9">
        <w:t xml:space="preserve">and </w:t>
      </w:r>
      <w:r w:rsidR="00CD7F0C">
        <w:t>which</w:t>
      </w:r>
      <w:r w:rsidR="00CA13D5">
        <w:t xml:space="preserve"> </w:t>
      </w:r>
      <w:r w:rsidR="00435CEB">
        <w:t>may even</w:t>
      </w:r>
      <w:r w:rsidR="00CA13D5">
        <w:t xml:space="preserve"> </w:t>
      </w:r>
      <w:r w:rsidR="00D11092">
        <w:t>assign them</w:t>
      </w:r>
      <w:r w:rsidR="00CA13D5">
        <w:t xml:space="preserve"> </w:t>
      </w:r>
      <w:r w:rsidR="00435CEB">
        <w:t xml:space="preserve">certain </w:t>
      </w:r>
      <w:r w:rsidR="00545F91">
        <w:t>legal significance</w:t>
      </w:r>
      <w:r w:rsidR="00CA13D5">
        <w:t>.</w:t>
      </w:r>
      <w:r w:rsidR="00545F91">
        <w:t xml:space="preserve"> </w:t>
      </w:r>
    </w:p>
    <w:p w14:paraId="05638BA2" w14:textId="2E797D1B" w:rsidR="00764EC3" w:rsidRDefault="00BE178B" w:rsidP="00D72EFB">
      <w:pPr>
        <w:jc w:val="both"/>
      </w:pPr>
      <w:r>
        <w:rPr>
          <w:i/>
          <w:iCs/>
        </w:rPr>
        <w:tab/>
      </w:r>
      <w:r w:rsidR="00545F91" w:rsidRPr="00545F91">
        <w:rPr>
          <w:i/>
          <w:iCs/>
        </w:rPr>
        <w:t>Mutatis mutandis</w:t>
      </w:r>
      <w:r w:rsidR="00545F91">
        <w:t xml:space="preserve">, when assessing the admissibility of the communication in </w:t>
      </w:r>
      <w:r w:rsidR="00FC6980" w:rsidRPr="009E2122">
        <w:rPr>
          <w:i/>
          <w:iCs/>
        </w:rPr>
        <w:t>Torres Strait Islanders</w:t>
      </w:r>
      <w:r w:rsidR="00027A66">
        <w:t xml:space="preserve">, the HRC </w:t>
      </w:r>
      <w:r w:rsidR="00FC6980">
        <w:t xml:space="preserve">holds that </w:t>
      </w:r>
      <w:r w:rsidR="00FC6359">
        <w:t>‘</w:t>
      </w:r>
      <w:r w:rsidR="00251554" w:rsidRPr="00251554">
        <w:t>the State party is and has been in recent decades among the countries in which large amounts of greenhouse gas emissions have been produced</w:t>
      </w:r>
      <w:r w:rsidR="00251554">
        <w:t xml:space="preserve"> [and]</w:t>
      </w:r>
      <w:r w:rsidR="00251554" w:rsidRPr="00251554">
        <w:t xml:space="preserve"> that the State party ranks high on world economic and human development indicators</w:t>
      </w:r>
      <w:r w:rsidR="00C603D5">
        <w:t>.</w:t>
      </w:r>
      <w:r w:rsidR="00FC6359">
        <w:t>’</w:t>
      </w:r>
      <w:r w:rsidR="00C603D5">
        <w:rPr>
          <w:rStyle w:val="FootnoteReference"/>
        </w:rPr>
        <w:footnoteReference w:id="34"/>
      </w:r>
      <w:r w:rsidR="00251554">
        <w:t xml:space="preserve"> This </w:t>
      </w:r>
      <w:r w:rsidR="00251554">
        <w:lastRenderedPageBreak/>
        <w:t xml:space="preserve">statement </w:t>
      </w:r>
      <w:r w:rsidR="00ED6C69">
        <w:t>gives a climate change</w:t>
      </w:r>
      <w:r w:rsidR="00435CEB">
        <w:t xml:space="preserve"> </w:t>
      </w:r>
      <w:r w:rsidR="00D22358">
        <w:t>mitigation</w:t>
      </w:r>
      <w:r w:rsidR="00ED6C69">
        <w:t xml:space="preserve"> ‘veneer’ in the case. </w:t>
      </w:r>
      <w:r w:rsidR="00974636">
        <w:t xml:space="preserve">The respondent (co-)causes climate change, which is the reason why the authors of the communication are unable to fully enjoy their rights under the ICCPR. </w:t>
      </w:r>
      <w:r w:rsidR="00BD321D">
        <w:t xml:space="preserve">Yet, this point by the HRC </w:t>
      </w:r>
      <w:r w:rsidR="00C37930">
        <w:t>is ‘toothless’</w:t>
      </w:r>
      <w:r w:rsidR="00FC6359">
        <w:t>,</w:t>
      </w:r>
      <w:r w:rsidR="00C37930">
        <w:t xml:space="preserve"> in the sense that, as I already argued and hopefully demonstrated, it bears no legal consequences in the</w:t>
      </w:r>
      <w:r w:rsidR="002E1C8A">
        <w:t xml:space="preserve"> direction of the state having a duty under human rights law to reduce emissions or otherwise act in a manner that will</w:t>
      </w:r>
      <w:r w:rsidR="00FC6359">
        <w:t xml:space="preserve"> </w:t>
      </w:r>
      <w:r w:rsidR="00E14D30">
        <w:t xml:space="preserve">mitigate, </w:t>
      </w:r>
      <w:r w:rsidR="00CC16F9">
        <w:t xml:space="preserve">combat, </w:t>
      </w:r>
      <w:r w:rsidR="00FC6359">
        <w:t xml:space="preserve">or </w:t>
      </w:r>
      <w:r w:rsidR="00CC16F9">
        <w:t xml:space="preserve">reverse climate change. </w:t>
      </w:r>
      <w:r w:rsidR="00D95229">
        <w:t>W</w:t>
      </w:r>
      <w:r w:rsidR="00CC16F9">
        <w:t>hether the respondent (co-)causes climate change or</w:t>
      </w:r>
      <w:r w:rsidR="00640283">
        <w:t xml:space="preserve"> the extent to which it does so</w:t>
      </w:r>
      <w:r w:rsidR="00D95229">
        <w:t xml:space="preserve"> are irrelevant to</w:t>
      </w:r>
      <w:r w:rsidR="00640283">
        <w:t xml:space="preserve"> its human rights duty to strive to protect persons under their jurisdiction from the adverse effects of climate change</w:t>
      </w:r>
      <w:r w:rsidR="00E14D30">
        <w:t>, that is climate change adaptation</w:t>
      </w:r>
      <w:r w:rsidR="007E605D">
        <w:t xml:space="preserve"> </w:t>
      </w:r>
      <w:r w:rsidR="00DE5A40">
        <w:t>–which</w:t>
      </w:r>
      <w:r w:rsidR="007E605D">
        <w:t xml:space="preserve"> is what the</w:t>
      </w:r>
      <w:r w:rsidR="00507A7E">
        <w:t xml:space="preserve"> </w:t>
      </w:r>
      <w:r w:rsidR="00507A7E" w:rsidRPr="009E2122">
        <w:rPr>
          <w:i/>
          <w:iCs/>
        </w:rPr>
        <w:t>Torres Strait Islanders</w:t>
      </w:r>
      <w:r w:rsidR="00507A7E">
        <w:t xml:space="preserve"> </w:t>
      </w:r>
      <w:r w:rsidR="00D73E71">
        <w:t>decision</w:t>
      </w:r>
      <w:r w:rsidR="007E605D">
        <w:t xml:space="preserve"> </w:t>
      </w:r>
      <w:r w:rsidR="00553A2E">
        <w:t xml:space="preserve">mostly </w:t>
      </w:r>
      <w:r w:rsidR="00FC6359">
        <w:t>concerns</w:t>
      </w:r>
      <w:r w:rsidR="007E605D">
        <w:t>.</w:t>
      </w:r>
      <w:r w:rsidR="00E5057E">
        <w:t xml:space="preserve"> W</w:t>
      </w:r>
      <w:r w:rsidR="008478CC">
        <w:t>hat generates th</w:t>
      </w:r>
      <w:r w:rsidR="00E5057E">
        <w:t>e respondent’s</w:t>
      </w:r>
      <w:r w:rsidR="008478CC">
        <w:t xml:space="preserve"> duty to offer protection is not </w:t>
      </w:r>
      <w:r w:rsidR="00E5057E">
        <w:t xml:space="preserve">that it </w:t>
      </w:r>
      <w:r w:rsidR="009456C0">
        <w:t>(co-)cause</w:t>
      </w:r>
      <w:r w:rsidR="00DE5A40">
        <w:t>d</w:t>
      </w:r>
      <w:r w:rsidR="009456C0">
        <w:t xml:space="preserve"> the</w:t>
      </w:r>
      <w:r w:rsidR="00E5057E">
        <w:t xml:space="preserve"> adverse </w:t>
      </w:r>
      <w:r w:rsidR="009456C0">
        <w:t xml:space="preserve">human rights </w:t>
      </w:r>
      <w:r w:rsidR="00E5057E">
        <w:t>con</w:t>
      </w:r>
      <w:r w:rsidR="009456C0">
        <w:t>s</w:t>
      </w:r>
      <w:r w:rsidR="00E5057E">
        <w:t>equences</w:t>
      </w:r>
      <w:r w:rsidR="009456C0">
        <w:t xml:space="preserve">, but the fact that these exist and </w:t>
      </w:r>
      <w:r w:rsidR="00DE5A40">
        <w:t>produce results</w:t>
      </w:r>
      <w:r w:rsidR="009456C0">
        <w:t xml:space="preserve"> on its</w:t>
      </w:r>
      <w:r w:rsidR="00E5057E">
        <w:t xml:space="preserve"> </w:t>
      </w:r>
      <w:r w:rsidR="00507A7E">
        <w:t>t</w:t>
      </w:r>
      <w:r w:rsidR="00873075">
        <w:t>erritory</w:t>
      </w:r>
      <w:r w:rsidR="00405B19">
        <w:t>, affecting,</w:t>
      </w:r>
      <w:r w:rsidR="00873075">
        <w:t xml:space="preserve"> subsidiarily</w:t>
      </w:r>
      <w:r w:rsidR="00405B19">
        <w:t>,</w:t>
      </w:r>
      <w:r w:rsidR="00873075">
        <w:t xml:space="preserve"> </w:t>
      </w:r>
      <w:r w:rsidR="00405B19">
        <w:t xml:space="preserve">its </w:t>
      </w:r>
      <w:r w:rsidR="00873075">
        <w:t>nationa</w:t>
      </w:r>
      <w:r w:rsidR="00405B19">
        <w:t>ls</w:t>
      </w:r>
      <w:r w:rsidR="00873075">
        <w:t xml:space="preserve">. Australia </w:t>
      </w:r>
      <w:r w:rsidR="00405B19">
        <w:t>has a duty</w:t>
      </w:r>
      <w:r w:rsidR="00873075">
        <w:t xml:space="preserve"> </w:t>
      </w:r>
      <w:r w:rsidR="00764EC3">
        <w:t xml:space="preserve">to </w:t>
      </w:r>
      <w:r w:rsidR="00357FF9">
        <w:t>protect from</w:t>
      </w:r>
      <w:r w:rsidR="00873075">
        <w:t xml:space="preserve"> the impact of climate change in its islands for the benefit of </w:t>
      </w:r>
      <w:r w:rsidR="00764EC3">
        <w:t>their</w:t>
      </w:r>
      <w:r w:rsidR="00405B19">
        <w:t xml:space="preserve"> residents, who are also its</w:t>
      </w:r>
      <w:r w:rsidR="00873075">
        <w:t xml:space="preserve"> nationals</w:t>
      </w:r>
      <w:r w:rsidR="005A18CF">
        <w:t>. The sa</w:t>
      </w:r>
      <w:r w:rsidR="00405B19">
        <w:t>m</w:t>
      </w:r>
      <w:r w:rsidR="005A18CF">
        <w:t>e duty would apply irrespective of whether it is a</w:t>
      </w:r>
      <w:r w:rsidR="00EA770A">
        <w:t xml:space="preserve"> big</w:t>
      </w:r>
      <w:r w:rsidR="005A18CF">
        <w:t xml:space="preserve"> polluter or not. </w:t>
      </w:r>
    </w:p>
    <w:p w14:paraId="559DA499" w14:textId="3435DDDB" w:rsidR="00EA7F7D" w:rsidRDefault="00BE178B" w:rsidP="00D72EFB">
      <w:pPr>
        <w:jc w:val="both"/>
      </w:pPr>
      <w:r>
        <w:tab/>
      </w:r>
      <w:r w:rsidR="005A18CF">
        <w:t xml:space="preserve">Yet, the HRC refers to the </w:t>
      </w:r>
      <w:r w:rsidR="00FD0264">
        <w:t xml:space="preserve">respondent’s </w:t>
      </w:r>
      <w:r w:rsidR="005A18CF">
        <w:t xml:space="preserve">record in terms of greenhouse gas emissions </w:t>
      </w:r>
      <w:proofErr w:type="gramStart"/>
      <w:r w:rsidR="002179BB">
        <w:t xml:space="preserve">in order </w:t>
      </w:r>
      <w:r w:rsidR="005A18CF">
        <w:t>to</w:t>
      </w:r>
      <w:proofErr w:type="gramEnd"/>
      <w:r w:rsidR="005A18CF">
        <w:t xml:space="preserve"> establish jurisdiction. Right after noting </w:t>
      </w:r>
      <w:r w:rsidR="00D72EFB">
        <w:t xml:space="preserve">this record, the HRC </w:t>
      </w:r>
      <w:r w:rsidR="00FD0264">
        <w:t>holds</w:t>
      </w:r>
      <w:r w:rsidR="00D72EFB">
        <w:t xml:space="preserve">: </w:t>
      </w:r>
      <w:r w:rsidR="00611059">
        <w:t>‘</w:t>
      </w:r>
      <w:r w:rsidR="00D72EFB" w:rsidRPr="00BF78B8">
        <w:t>In view of the above, the Committee considers that the alleged actions and omissions fall under the State party’s jurisdiction under articles 1 or 2 of the Optional Protocol and therefore,</w:t>
      </w:r>
      <w:r w:rsidR="00D72EFB">
        <w:t xml:space="preserve"> it is not precluded from examining the present communication.</w:t>
      </w:r>
      <w:r w:rsidR="00611059">
        <w:t>’</w:t>
      </w:r>
      <w:r w:rsidR="00D72EFB" w:rsidRPr="005440F9">
        <w:rPr>
          <w:rStyle w:val="FootnoteReference"/>
        </w:rPr>
        <w:footnoteReference w:id="35"/>
      </w:r>
      <w:r w:rsidR="00764EC3">
        <w:t xml:space="preserve"> </w:t>
      </w:r>
      <w:r w:rsidR="00C603D5">
        <w:t>This justifies the point</w:t>
      </w:r>
      <w:r w:rsidR="00611059">
        <w:t xml:space="preserve"> that</w:t>
      </w:r>
      <w:r w:rsidR="00C603D5">
        <w:t xml:space="preserve"> I am making here, namely that the HRC chose to </w:t>
      </w:r>
      <w:r w:rsidR="00B217FB">
        <w:t>deprive climate change</w:t>
      </w:r>
      <w:r w:rsidR="00634611">
        <w:t xml:space="preserve"> mitigation</w:t>
      </w:r>
      <w:r w:rsidR="00B217FB">
        <w:t xml:space="preserve"> –the inner cause of the respondents’ </w:t>
      </w:r>
      <w:r w:rsidR="00F16355">
        <w:t>suffering</w:t>
      </w:r>
      <w:r w:rsidR="00B217FB">
        <w:t xml:space="preserve">– from generating legal effects </w:t>
      </w:r>
      <w:r w:rsidR="00B32016">
        <w:t>from the perspective</w:t>
      </w:r>
      <w:r w:rsidR="004976B9">
        <w:t xml:space="preserve"> of</w:t>
      </w:r>
      <w:r w:rsidR="00B32016">
        <w:t xml:space="preserve"> and on the basis of human </w:t>
      </w:r>
      <w:r w:rsidR="00BA75E8">
        <w:t>rights law</w:t>
      </w:r>
      <w:r w:rsidR="005631E1">
        <w:t>,</w:t>
      </w:r>
      <w:r w:rsidR="00BA75E8">
        <w:t xml:space="preserve"> but</w:t>
      </w:r>
      <w:r w:rsidR="00B32016">
        <w:t xml:space="preserve"> wished to give </w:t>
      </w:r>
      <w:r w:rsidR="0032026E">
        <w:t xml:space="preserve">its decision </w:t>
      </w:r>
      <w:r w:rsidR="00B32016">
        <w:t xml:space="preserve">a climate change </w:t>
      </w:r>
      <w:r w:rsidR="00634611">
        <w:t>mitigation</w:t>
      </w:r>
      <w:r w:rsidR="00BA75E8">
        <w:t xml:space="preserve"> </w:t>
      </w:r>
      <w:r w:rsidR="00B32016">
        <w:t xml:space="preserve">allure. </w:t>
      </w:r>
      <w:r w:rsidR="00BF78B8">
        <w:t xml:space="preserve">What the HRC </w:t>
      </w:r>
      <w:r w:rsidR="005631E1">
        <w:t>appears</w:t>
      </w:r>
      <w:r w:rsidR="00BF78B8">
        <w:t xml:space="preserve"> to imply is that jurisdiction is established </w:t>
      </w:r>
      <w:proofErr w:type="gramStart"/>
      <w:r w:rsidR="00BF78B8">
        <w:t>on the basis of</w:t>
      </w:r>
      <w:proofErr w:type="gramEnd"/>
      <w:r w:rsidR="00BF78B8">
        <w:t xml:space="preserve"> the fact that, as a polluter, the </w:t>
      </w:r>
      <w:r w:rsidR="006F466B">
        <w:t xml:space="preserve">respondent has human rights duties </w:t>
      </w:r>
      <w:r w:rsidR="006F466B" w:rsidRPr="00BA75E8">
        <w:rPr>
          <w:i/>
          <w:iCs/>
        </w:rPr>
        <w:t>vis-à-vis</w:t>
      </w:r>
      <w:r w:rsidR="006F466B">
        <w:t xml:space="preserve"> the victims. However,</w:t>
      </w:r>
      <w:r w:rsidR="0032026E">
        <w:t xml:space="preserve"> causality </w:t>
      </w:r>
      <w:r w:rsidR="004976B9">
        <w:t>is relevant to</w:t>
      </w:r>
      <w:r w:rsidR="0032026E">
        <w:t xml:space="preserve"> extraterritorial jurisdiction</w:t>
      </w:r>
      <w:r w:rsidR="00A60D4F">
        <w:t>.</w:t>
      </w:r>
      <w:r w:rsidR="00AE1A80">
        <w:rPr>
          <w:rStyle w:val="FootnoteReference"/>
        </w:rPr>
        <w:footnoteReference w:id="36"/>
      </w:r>
      <w:r w:rsidR="00A60D4F">
        <w:t xml:space="preserve"> I</w:t>
      </w:r>
      <w:r w:rsidR="0032026E">
        <w:t xml:space="preserve">n the </w:t>
      </w:r>
      <w:r w:rsidR="00A60D4F" w:rsidRPr="009E2122">
        <w:rPr>
          <w:i/>
          <w:iCs/>
        </w:rPr>
        <w:t>Torres Strait Islanders</w:t>
      </w:r>
      <w:r w:rsidR="00A60D4F">
        <w:t xml:space="preserve"> </w:t>
      </w:r>
      <w:r w:rsidR="0032026E">
        <w:t>case</w:t>
      </w:r>
      <w:r w:rsidR="00A96826">
        <w:t>,</w:t>
      </w:r>
      <w:r w:rsidR="0032026E">
        <w:t xml:space="preserve"> </w:t>
      </w:r>
      <w:r w:rsidR="006F466B">
        <w:t xml:space="preserve">jurisdiction </w:t>
      </w:r>
      <w:r w:rsidR="00A60D4F">
        <w:t xml:space="preserve">is </w:t>
      </w:r>
      <w:r w:rsidR="006F466B">
        <w:t>territor</w:t>
      </w:r>
      <w:r w:rsidR="00A60D4F">
        <w:t>ial</w:t>
      </w:r>
      <w:r w:rsidR="00C074ED">
        <w:t xml:space="preserve">, </w:t>
      </w:r>
      <w:r w:rsidR="00815900">
        <w:t>such that</w:t>
      </w:r>
      <w:r w:rsidR="00A96826">
        <w:t xml:space="preserve"> c</w:t>
      </w:r>
      <w:r w:rsidR="00A1620F">
        <w:t>ausality is irrelevant to it.</w:t>
      </w:r>
      <w:r w:rsidR="009E370C">
        <w:t xml:space="preserve"> Thus, </w:t>
      </w:r>
      <w:r w:rsidR="003E0BEC">
        <w:t>employing causality (i.e., that the respondent causes the suffering of the victims and therefore has a duty to protect them) to establish the respondent’s jurisdiction and the ensuing duty to demonstrate diligence with a view to protect the affected human rights</w:t>
      </w:r>
      <w:r w:rsidR="00E27009">
        <w:t xml:space="preserve"> </w:t>
      </w:r>
      <w:r w:rsidR="009E370C">
        <w:t>was unnecessary</w:t>
      </w:r>
      <w:r w:rsidR="00E27009">
        <w:t xml:space="preserve">, </w:t>
      </w:r>
      <w:r w:rsidR="009E370C">
        <w:t>if not</w:t>
      </w:r>
      <w:r w:rsidR="003E0BEC">
        <w:t xml:space="preserve"> erroneous</w:t>
      </w:r>
      <w:r w:rsidR="00E928FF">
        <w:t>. Yet,</w:t>
      </w:r>
      <w:r w:rsidR="00E27009">
        <w:t xml:space="preserve"> the</w:t>
      </w:r>
      <w:r w:rsidR="00E928FF">
        <w:t xml:space="preserve"> </w:t>
      </w:r>
      <w:r w:rsidR="00E34357">
        <w:t xml:space="preserve">reference to the respondent’s poor record in terms of pollution/emissions generating climate change in the part of the decision discussing jurisdiction and admissibility </w:t>
      </w:r>
      <w:r w:rsidR="005E03B5">
        <w:t>enables the HRC to bring emissions</w:t>
      </w:r>
      <w:r w:rsidR="00D4163B">
        <w:t xml:space="preserve"> (that is, climate change mitigation)</w:t>
      </w:r>
      <w:r w:rsidR="005E03B5">
        <w:t xml:space="preserve"> into the text of its decision in an ultimately ‘inoffensive’ </w:t>
      </w:r>
      <w:r w:rsidR="007C6780">
        <w:t xml:space="preserve">or legally inconsequential </w:t>
      </w:r>
      <w:r w:rsidR="005E03B5">
        <w:t>manner</w:t>
      </w:r>
      <w:r w:rsidR="003D4845">
        <w:t>,</w:t>
      </w:r>
      <w:r w:rsidR="005E03B5">
        <w:t xml:space="preserve"> in the sense that it generates no duties on the basis of human rights law </w:t>
      </w:r>
      <w:r w:rsidR="007C6780">
        <w:t xml:space="preserve">for the respondent </w:t>
      </w:r>
      <w:r w:rsidR="005E03B5">
        <w:t xml:space="preserve">to </w:t>
      </w:r>
      <w:r w:rsidR="00EA7F7D">
        <w:t xml:space="preserve">commit to concrete standards </w:t>
      </w:r>
      <w:r w:rsidR="00BB09E3">
        <w:t>concerning the</w:t>
      </w:r>
      <w:r w:rsidR="005E03B5">
        <w:t xml:space="preserve"> </w:t>
      </w:r>
      <w:r w:rsidR="00EA7F7D">
        <w:t>reduction</w:t>
      </w:r>
      <w:r w:rsidR="00BB09E3">
        <w:t xml:space="preserve"> of carbon</w:t>
      </w:r>
      <w:r w:rsidR="00EA7F7D">
        <w:t xml:space="preserve"> </w:t>
      </w:r>
      <w:r w:rsidR="00BB09E3">
        <w:t>emissions –</w:t>
      </w:r>
      <w:r w:rsidR="00EA7F7D">
        <w:t xml:space="preserve">which would </w:t>
      </w:r>
      <w:r w:rsidR="00E17A94">
        <w:t xml:space="preserve">have </w:t>
      </w:r>
      <w:r w:rsidR="00EA7F7D">
        <w:t>ma</w:t>
      </w:r>
      <w:r w:rsidR="00E17A94">
        <w:t>d</w:t>
      </w:r>
      <w:r w:rsidR="00EA7F7D">
        <w:t>e the case a ‘</w:t>
      </w:r>
      <w:r w:rsidR="00E17A94">
        <w:t>true</w:t>
      </w:r>
      <w:r w:rsidR="00EA7F7D">
        <w:t>’ climate change case</w:t>
      </w:r>
      <w:r w:rsidR="00D4163B">
        <w:t xml:space="preserve"> in the sense of involving climate change mitigation duties</w:t>
      </w:r>
      <w:r w:rsidR="00EA7F7D">
        <w:t>.</w:t>
      </w:r>
    </w:p>
    <w:p w14:paraId="3CD67789" w14:textId="54F03A3F" w:rsidR="00EA7F7D" w:rsidRDefault="00EA7F7D" w:rsidP="00D72EFB">
      <w:pPr>
        <w:jc w:val="both"/>
      </w:pPr>
    </w:p>
    <w:p w14:paraId="1EF76858" w14:textId="78D8F50C" w:rsidR="00737221" w:rsidRPr="006F6738" w:rsidRDefault="00737221" w:rsidP="006F6738">
      <w:pPr>
        <w:pStyle w:val="ListParagraph"/>
        <w:numPr>
          <w:ilvl w:val="1"/>
          <w:numId w:val="2"/>
        </w:numPr>
        <w:jc w:val="both"/>
        <w:rPr>
          <w:b/>
          <w:bCs/>
        </w:rPr>
      </w:pPr>
      <w:r w:rsidRPr="006F6738">
        <w:rPr>
          <w:b/>
          <w:bCs/>
        </w:rPr>
        <w:t>The ‘</w:t>
      </w:r>
      <w:r w:rsidR="00771BE3">
        <w:rPr>
          <w:b/>
          <w:bCs/>
        </w:rPr>
        <w:t>M</w:t>
      </w:r>
      <w:r w:rsidRPr="006F6738">
        <w:rPr>
          <w:b/>
          <w:bCs/>
        </w:rPr>
        <w:t>eta-</w:t>
      </w:r>
      <w:r w:rsidR="00771BE3">
        <w:rPr>
          <w:b/>
          <w:bCs/>
        </w:rPr>
        <w:t>M</w:t>
      </w:r>
      <w:r w:rsidR="006F6738" w:rsidRPr="006F6738">
        <w:rPr>
          <w:b/>
          <w:bCs/>
        </w:rPr>
        <w:t>essage</w:t>
      </w:r>
      <w:r w:rsidR="00061FED">
        <w:rPr>
          <w:b/>
          <w:bCs/>
        </w:rPr>
        <w:t>s’</w:t>
      </w:r>
      <w:r w:rsidR="00C64D4A">
        <w:rPr>
          <w:b/>
          <w:bCs/>
        </w:rPr>
        <w:t xml:space="preserve"> –</w:t>
      </w:r>
      <w:r w:rsidR="00771BE3">
        <w:rPr>
          <w:b/>
          <w:bCs/>
        </w:rPr>
        <w:t>I</w:t>
      </w:r>
      <w:r w:rsidR="00C64D4A">
        <w:rPr>
          <w:b/>
          <w:bCs/>
        </w:rPr>
        <w:t xml:space="preserve">nstead of a </w:t>
      </w:r>
      <w:r w:rsidR="00771BE3">
        <w:rPr>
          <w:b/>
          <w:bCs/>
        </w:rPr>
        <w:t>C</w:t>
      </w:r>
      <w:r w:rsidR="00C64D4A">
        <w:rPr>
          <w:b/>
          <w:bCs/>
        </w:rPr>
        <w:t>onclusion</w:t>
      </w:r>
    </w:p>
    <w:p w14:paraId="7BE6A14D" w14:textId="5504F5D2" w:rsidR="00340F6F" w:rsidRDefault="00D45197" w:rsidP="00D72EFB">
      <w:pPr>
        <w:jc w:val="both"/>
      </w:pPr>
      <w:r>
        <w:t>So, to sum up and give the big picture</w:t>
      </w:r>
      <w:r w:rsidR="00EC2D87">
        <w:t>,</w:t>
      </w:r>
      <w:r>
        <w:t xml:space="preserve"> the way I see it</w:t>
      </w:r>
      <w:r w:rsidR="00B67C1E">
        <w:t>,</w:t>
      </w:r>
      <w:r w:rsidR="001B28C8">
        <w:t xml:space="preserve"> the</w:t>
      </w:r>
      <w:r w:rsidR="00B67C1E" w:rsidRPr="00B67C1E">
        <w:rPr>
          <w:i/>
          <w:iCs/>
        </w:rPr>
        <w:t xml:space="preserve"> </w:t>
      </w:r>
      <w:r w:rsidR="00B67C1E" w:rsidRPr="009E2122">
        <w:rPr>
          <w:i/>
          <w:iCs/>
        </w:rPr>
        <w:t>Torres Strait Islanders</w:t>
      </w:r>
      <w:r w:rsidR="001B28C8">
        <w:t xml:space="preserve"> decision of the HRC</w:t>
      </w:r>
      <w:r w:rsidR="003121C1">
        <w:t xml:space="preserve"> </w:t>
      </w:r>
      <w:r>
        <w:t>co</w:t>
      </w:r>
      <w:r w:rsidR="003121C1">
        <w:t>vers</w:t>
      </w:r>
      <w:r>
        <w:t xml:space="preserve"> the human rights duty of the respondent to adopt measures adequately protecting </w:t>
      </w:r>
      <w:r w:rsidR="007E4157">
        <w:t>against</w:t>
      </w:r>
      <w:r w:rsidR="00B67C1E">
        <w:t xml:space="preserve"> the impact </w:t>
      </w:r>
      <w:r w:rsidR="006D4E4D">
        <w:t xml:space="preserve">that </w:t>
      </w:r>
      <w:r w:rsidR="00B67C1E">
        <w:t>climate change has on the enjoyment of human rights</w:t>
      </w:r>
      <w:r w:rsidR="001B28C8">
        <w:t xml:space="preserve"> –which corresponds to the </w:t>
      </w:r>
      <w:r w:rsidR="003121C1">
        <w:t>concept</w:t>
      </w:r>
      <w:r w:rsidR="001B28C8">
        <w:t xml:space="preserve"> of </w:t>
      </w:r>
      <w:r w:rsidR="00F259D3">
        <w:t xml:space="preserve">local </w:t>
      </w:r>
      <w:r w:rsidR="001B28C8">
        <w:t>adaptation to climate change</w:t>
      </w:r>
      <w:r w:rsidR="00072CFA">
        <w:t>.</w:t>
      </w:r>
      <w:r w:rsidR="00B67C1E">
        <w:t xml:space="preserve"> </w:t>
      </w:r>
      <w:r w:rsidR="00072CFA">
        <w:t>The decision</w:t>
      </w:r>
      <w:r w:rsidR="00B67C1E">
        <w:t xml:space="preserve"> does not </w:t>
      </w:r>
      <w:r w:rsidR="003121C1">
        <w:t>exten</w:t>
      </w:r>
      <w:r w:rsidR="004F5700">
        <w:t>d</w:t>
      </w:r>
      <w:r w:rsidR="00F93395">
        <w:t xml:space="preserve"> to</w:t>
      </w:r>
      <w:r w:rsidR="002C4B48">
        <w:t xml:space="preserve"> human rights rules serving as the basis for environmental protection duties aiming at </w:t>
      </w:r>
      <w:r w:rsidR="002C4B48">
        <w:lastRenderedPageBreak/>
        <w:t xml:space="preserve">fighting/reversing </w:t>
      </w:r>
      <w:r w:rsidR="00347670">
        <w:t>climate change</w:t>
      </w:r>
      <w:r w:rsidR="00F24F2C">
        <w:t xml:space="preserve"> –which corresponds to the </w:t>
      </w:r>
      <w:r w:rsidR="003121C1">
        <w:t>concept</w:t>
      </w:r>
      <w:r w:rsidR="00F24F2C">
        <w:t xml:space="preserve"> of </w:t>
      </w:r>
      <w:r w:rsidR="00F259D3">
        <w:t>global</w:t>
      </w:r>
      <w:r w:rsidR="00F24F2C">
        <w:t xml:space="preserve"> mitigation of climate change</w:t>
      </w:r>
      <w:r w:rsidR="00F93395">
        <w:t>.</w:t>
      </w:r>
      <w:r w:rsidR="00347670">
        <w:t xml:space="preserve"> </w:t>
      </w:r>
      <w:r w:rsidR="00F93395">
        <w:t>Y</w:t>
      </w:r>
      <w:r w:rsidR="00347670">
        <w:t xml:space="preserve">et, certain parts of </w:t>
      </w:r>
      <w:r w:rsidR="00F24F2C">
        <w:t>the decision</w:t>
      </w:r>
      <w:r w:rsidR="00347670">
        <w:t xml:space="preserve"> refer to environmental protection measures relevant to fighting/reversing climate change, </w:t>
      </w:r>
      <w:r w:rsidR="00F24F2C">
        <w:t xml:space="preserve">that is, to climate change mitigation, </w:t>
      </w:r>
      <w:r w:rsidR="00347670">
        <w:t>albeit in a</w:t>
      </w:r>
      <w:r w:rsidR="0095056E">
        <w:t xml:space="preserve"> manner that </w:t>
      </w:r>
      <w:r w:rsidR="009D6264">
        <w:t>is</w:t>
      </w:r>
      <w:r w:rsidR="0095056E">
        <w:t xml:space="preserve"> legal</w:t>
      </w:r>
      <w:r w:rsidR="00F24F2C">
        <w:t>ly</w:t>
      </w:r>
      <w:r w:rsidR="0095056E">
        <w:t xml:space="preserve"> </w:t>
      </w:r>
      <w:r w:rsidR="009D6264">
        <w:t>inconsequential</w:t>
      </w:r>
      <w:r w:rsidR="0095056E">
        <w:t xml:space="preserve">. </w:t>
      </w:r>
    </w:p>
    <w:p w14:paraId="05F9DA20" w14:textId="463C06B5" w:rsidR="00DB1D67" w:rsidRDefault="00BE178B" w:rsidP="00D72EFB">
      <w:pPr>
        <w:jc w:val="both"/>
      </w:pPr>
      <w:r>
        <w:tab/>
      </w:r>
      <w:r w:rsidR="0095056E">
        <w:t xml:space="preserve">The latter, I </w:t>
      </w:r>
      <w:r w:rsidR="00270210">
        <w:t>described as the HRC giving a</w:t>
      </w:r>
      <w:r w:rsidR="009E6837">
        <w:t xml:space="preserve"> climate change mitigation</w:t>
      </w:r>
      <w:r w:rsidR="00270210">
        <w:t xml:space="preserve"> allure in its decision. </w:t>
      </w:r>
      <w:r w:rsidR="00340F6F">
        <w:t xml:space="preserve">But why </w:t>
      </w:r>
      <w:r w:rsidR="00B808A5">
        <w:t xml:space="preserve">does </w:t>
      </w:r>
      <w:r w:rsidR="00340F6F">
        <w:t xml:space="preserve">the HRC do this? </w:t>
      </w:r>
      <w:r w:rsidR="00642375">
        <w:t xml:space="preserve">Why </w:t>
      </w:r>
      <w:r w:rsidR="004F5700">
        <w:t>does the HRC wish</w:t>
      </w:r>
      <w:r w:rsidR="00642375">
        <w:t xml:space="preserve"> to create impressions that are not supported by its findings</w:t>
      </w:r>
      <w:r w:rsidR="004A1C5A">
        <w:t>, by the width of its</w:t>
      </w:r>
      <w:r w:rsidR="00642375">
        <w:t xml:space="preserve"> scrutiny</w:t>
      </w:r>
      <w:r w:rsidR="004F5700">
        <w:t>,</w:t>
      </w:r>
      <w:r w:rsidR="009D6264">
        <w:t xml:space="preserve"> or by the legal effects produced by </w:t>
      </w:r>
      <w:r w:rsidR="001B072B">
        <w:t>its</w:t>
      </w:r>
      <w:r w:rsidR="009D6264">
        <w:t xml:space="preserve"> decision</w:t>
      </w:r>
      <w:r w:rsidR="00642375">
        <w:t xml:space="preserve">? </w:t>
      </w:r>
      <w:r w:rsidR="00270210">
        <w:t xml:space="preserve">A plausible explanation as to why the HRC does this is </w:t>
      </w:r>
      <w:r w:rsidR="00EB100E">
        <w:t xml:space="preserve">that its decision </w:t>
      </w:r>
      <w:r w:rsidR="00EB756A">
        <w:t>signals</w:t>
      </w:r>
      <w:r w:rsidR="00EB100E">
        <w:t xml:space="preserve"> </w:t>
      </w:r>
      <w:r w:rsidR="00A12AAE">
        <w:t xml:space="preserve">certain </w:t>
      </w:r>
      <w:r w:rsidR="00EB100E">
        <w:t xml:space="preserve">messages beyond the </w:t>
      </w:r>
      <w:r w:rsidR="00EB756A">
        <w:t xml:space="preserve">clearly established </w:t>
      </w:r>
      <w:r w:rsidR="00EB100E">
        <w:t>ones that</w:t>
      </w:r>
      <w:r w:rsidR="00642375">
        <w:t xml:space="preserve"> carry </w:t>
      </w:r>
      <w:r w:rsidR="009D6264">
        <w:t xml:space="preserve">tangible </w:t>
      </w:r>
      <w:r w:rsidR="00642375">
        <w:t xml:space="preserve">legal consequences and generate </w:t>
      </w:r>
      <w:r w:rsidR="009D6264">
        <w:t xml:space="preserve">concrete </w:t>
      </w:r>
      <w:r w:rsidR="00642375">
        <w:t xml:space="preserve">legal effects. </w:t>
      </w:r>
      <w:r w:rsidR="004A1C5A">
        <w:t xml:space="preserve">This </w:t>
      </w:r>
      <w:r w:rsidR="00FF329F">
        <w:t xml:space="preserve">may </w:t>
      </w:r>
      <w:r w:rsidR="004A1C5A">
        <w:t>explain why</w:t>
      </w:r>
      <w:r w:rsidR="00B808A5">
        <w:t xml:space="preserve"> </w:t>
      </w:r>
      <w:r w:rsidR="00B808A5" w:rsidRPr="009E2122">
        <w:rPr>
          <w:i/>
          <w:iCs/>
        </w:rPr>
        <w:t>Torres Strait Islanders</w:t>
      </w:r>
      <w:r w:rsidR="00B808A5">
        <w:t xml:space="preserve"> </w:t>
      </w:r>
      <w:r w:rsidR="004A1C5A">
        <w:t>has been</w:t>
      </w:r>
      <w:r w:rsidR="00B808A5">
        <w:t xml:space="preserve"> read as </w:t>
      </w:r>
      <w:r w:rsidR="00C257CE">
        <w:t>‘</w:t>
      </w:r>
      <w:r w:rsidR="00B808A5" w:rsidRPr="007B2F5B">
        <w:t>adding strong support to the idea that human rights law applies to climate harm</w:t>
      </w:r>
      <w:r w:rsidR="00C257CE">
        <w:t>’</w:t>
      </w:r>
      <w:r w:rsidR="00B808A5">
        <w:rPr>
          <w:rStyle w:val="FootnoteReference"/>
        </w:rPr>
        <w:footnoteReference w:id="37"/>
      </w:r>
      <w:r w:rsidR="00B808A5">
        <w:t xml:space="preserve"> </w:t>
      </w:r>
      <w:r w:rsidR="006E47CD">
        <w:t>or, i</w:t>
      </w:r>
      <w:r w:rsidR="00B808A5">
        <w:t xml:space="preserve">n similar terms, </w:t>
      </w:r>
      <w:r w:rsidR="006E47CD">
        <w:t xml:space="preserve">as </w:t>
      </w:r>
      <w:r w:rsidR="00C257CE">
        <w:t>‘</w:t>
      </w:r>
      <w:r w:rsidR="00B808A5" w:rsidRPr="00FF7A4B">
        <w:t>set</w:t>
      </w:r>
      <w:r w:rsidR="006E47CD">
        <w:t>[</w:t>
      </w:r>
      <w:r w:rsidR="00C233F8">
        <w:t>t</w:t>
      </w:r>
      <w:r w:rsidR="006E47CD">
        <w:t>ing]</w:t>
      </w:r>
      <w:r w:rsidR="00B808A5" w:rsidRPr="00FF7A4B">
        <w:t xml:space="preserve"> a number of important precedents which confirm the justiciability of climate change adverse impacts before international human rights organs and vindicates the rights of indigenous peoples.</w:t>
      </w:r>
      <w:r w:rsidR="00C257CE">
        <w:t>’</w:t>
      </w:r>
      <w:r w:rsidR="00B808A5">
        <w:rPr>
          <w:rStyle w:val="FootnoteReference"/>
        </w:rPr>
        <w:footnoteReference w:id="38"/>
      </w:r>
      <w:r w:rsidR="00B808A5">
        <w:t xml:space="preserve"> This is already a very </w:t>
      </w:r>
      <w:r w:rsidR="002C31C2">
        <w:t>important ‘meta-message’</w:t>
      </w:r>
      <w:r w:rsidR="00D65CA8">
        <w:t>, signalling that the HRC is willing to contribute to the global judicial dialogue on climate change and human rights law.</w:t>
      </w:r>
    </w:p>
    <w:p w14:paraId="397F471F" w14:textId="51541FC9" w:rsidR="008F3983" w:rsidRDefault="00BE178B" w:rsidP="00B0726B">
      <w:pPr>
        <w:jc w:val="both"/>
      </w:pPr>
      <w:r>
        <w:tab/>
      </w:r>
      <w:r w:rsidR="00917760">
        <w:t xml:space="preserve">It is not only what is in the </w:t>
      </w:r>
      <w:r w:rsidR="00917760" w:rsidRPr="009E2122">
        <w:rPr>
          <w:i/>
          <w:iCs/>
        </w:rPr>
        <w:t>Torres Strait Islanders</w:t>
      </w:r>
      <w:r w:rsidR="00917760">
        <w:rPr>
          <w:i/>
          <w:iCs/>
        </w:rPr>
        <w:t xml:space="preserve"> </w:t>
      </w:r>
      <w:r w:rsidR="00917760">
        <w:t>decision that matters. The potential</w:t>
      </w:r>
      <w:r w:rsidR="00C257CE">
        <w:t xml:space="preserve"> that</w:t>
      </w:r>
      <w:r w:rsidR="00917760">
        <w:t xml:space="preserve"> it carries is equally important</w:t>
      </w:r>
      <w:r w:rsidR="00DB1D67">
        <w:t xml:space="preserve">. This is of </w:t>
      </w:r>
      <w:r w:rsidR="002465A9">
        <w:t>particular</w:t>
      </w:r>
      <w:r w:rsidR="00DB1D67">
        <w:t xml:space="preserve"> significance to</w:t>
      </w:r>
      <w:r w:rsidR="002465A9">
        <w:t xml:space="preserve"> </w:t>
      </w:r>
      <w:r w:rsidR="00985E71">
        <w:t>the mitigation of climate change</w:t>
      </w:r>
      <w:r w:rsidR="003A29AD">
        <w:t xml:space="preserve"> </w:t>
      </w:r>
      <w:r w:rsidR="005A3A88">
        <w:t>dimension</w:t>
      </w:r>
      <w:r w:rsidR="003A29AD">
        <w:t xml:space="preserve"> of the case, in respect of which I argued that the HRC demonstrated self-restraint. Yet,</w:t>
      </w:r>
      <w:r w:rsidR="00985E71">
        <w:t xml:space="preserve"> </w:t>
      </w:r>
      <w:r w:rsidR="005A44E3">
        <w:t xml:space="preserve">it is important </w:t>
      </w:r>
      <w:r w:rsidR="00C257CE">
        <w:t xml:space="preserve">that </w:t>
      </w:r>
      <w:r w:rsidR="002C31C2">
        <w:t>t</w:t>
      </w:r>
      <w:r w:rsidR="00D365F9">
        <w:t xml:space="preserve">he </w:t>
      </w:r>
      <w:r w:rsidR="00E973E2">
        <w:t xml:space="preserve">text of </w:t>
      </w:r>
      <w:r w:rsidR="003A29AD">
        <w:t>its</w:t>
      </w:r>
      <w:r w:rsidR="00D365F9">
        <w:t xml:space="preserve"> decision</w:t>
      </w:r>
      <w:r w:rsidR="00E973E2">
        <w:t xml:space="preserve"> </w:t>
      </w:r>
      <w:r w:rsidR="00D365F9">
        <w:t xml:space="preserve">contains </w:t>
      </w:r>
      <w:r w:rsidR="002C31C2">
        <w:t xml:space="preserve">certain </w:t>
      </w:r>
      <w:r w:rsidR="00D365F9">
        <w:t>‘soft’ elements</w:t>
      </w:r>
      <w:r w:rsidR="005A44E3">
        <w:t xml:space="preserve"> pertaining to climate change mitigation</w:t>
      </w:r>
      <w:r w:rsidR="003A29AD">
        <w:t>.</w:t>
      </w:r>
      <w:r w:rsidR="00D365F9">
        <w:t xml:space="preserve"> </w:t>
      </w:r>
      <w:r w:rsidR="003A29AD">
        <w:t>L</w:t>
      </w:r>
      <w:r w:rsidR="000A1F6C">
        <w:t>ike</w:t>
      </w:r>
      <w:r w:rsidR="00D365F9">
        <w:t xml:space="preserve"> soft law</w:t>
      </w:r>
      <w:r w:rsidR="000A1F6C">
        <w:t xml:space="preserve"> rules,</w:t>
      </w:r>
      <w:r w:rsidR="003A29AD">
        <w:t xml:space="preserve"> these</w:t>
      </w:r>
      <w:r w:rsidR="000A1F6C">
        <w:t xml:space="preserve"> do not</w:t>
      </w:r>
      <w:r w:rsidR="00575752">
        <w:t xml:space="preserve"> yet</w:t>
      </w:r>
      <w:r w:rsidR="004635C0">
        <w:t xml:space="preserve"> </w:t>
      </w:r>
      <w:r w:rsidR="000A1F6C">
        <w:t xml:space="preserve">have any </w:t>
      </w:r>
      <w:r w:rsidR="00E973E2">
        <w:t xml:space="preserve">normative </w:t>
      </w:r>
      <w:r w:rsidR="000A1F6C">
        <w:t xml:space="preserve">force. </w:t>
      </w:r>
      <w:r w:rsidR="002F5E87">
        <w:t>‘</w:t>
      </w:r>
      <w:r w:rsidR="005A3A88">
        <w:t>M</w:t>
      </w:r>
      <w:r w:rsidR="002F5E87">
        <w:t>eta-</w:t>
      </w:r>
      <w:r w:rsidR="000A1F6C">
        <w:t>messages</w:t>
      </w:r>
      <w:r w:rsidR="002F5E87">
        <w:t>’</w:t>
      </w:r>
      <w:r w:rsidR="000A1F6C">
        <w:t xml:space="preserve">, </w:t>
      </w:r>
      <w:r w:rsidR="002F5E87">
        <w:t>such as the one</w:t>
      </w:r>
      <w:r w:rsidR="000A1F6C">
        <w:t xml:space="preserve"> that states shall reduce carbon emissions, may not yet be </w:t>
      </w:r>
      <w:r w:rsidR="00D37AD9">
        <w:t>embedded in human rights law</w:t>
      </w:r>
      <w:r w:rsidR="002F5E87">
        <w:t>;</w:t>
      </w:r>
      <w:r w:rsidR="00D37AD9">
        <w:t xml:space="preserve"> </w:t>
      </w:r>
      <w:proofErr w:type="gramStart"/>
      <w:r w:rsidR="00D37AD9">
        <w:t>but</w:t>
      </w:r>
      <w:r w:rsidR="00C257CE">
        <w:t>,</w:t>
      </w:r>
      <w:proofErr w:type="gramEnd"/>
      <w:r w:rsidR="008621D7">
        <w:t xml:space="preserve"> who knows what </w:t>
      </w:r>
      <w:r w:rsidR="004635C0">
        <w:t xml:space="preserve">will </w:t>
      </w:r>
      <w:r w:rsidR="008621D7">
        <w:t>happen in the future, particular</w:t>
      </w:r>
      <w:r w:rsidR="00C257CE">
        <w:t>ly given</w:t>
      </w:r>
      <w:r w:rsidR="008621D7">
        <w:t xml:space="preserve"> the necessity to urgently fight climate change. The</w:t>
      </w:r>
      <w:r w:rsidR="009E6837">
        <w:t xml:space="preserve"> climate change mitigation</w:t>
      </w:r>
      <w:r w:rsidR="008621D7">
        <w:t xml:space="preserve"> </w:t>
      </w:r>
      <w:r w:rsidR="001A1D64">
        <w:t xml:space="preserve">allure </w:t>
      </w:r>
      <w:r w:rsidR="004D00C5">
        <w:t xml:space="preserve">in the HRC </w:t>
      </w:r>
      <w:r w:rsidR="004D00C5" w:rsidRPr="009E2122">
        <w:rPr>
          <w:i/>
          <w:iCs/>
        </w:rPr>
        <w:t>Torres Strait Islanders</w:t>
      </w:r>
      <w:r w:rsidR="004D00C5">
        <w:t xml:space="preserve"> decision </w:t>
      </w:r>
      <w:proofErr w:type="gramStart"/>
      <w:r w:rsidR="001A1D64">
        <w:t>on the basis of</w:t>
      </w:r>
      <w:proofErr w:type="gramEnd"/>
      <w:r w:rsidR="001A1D64">
        <w:t xml:space="preserve"> human rights law does not </w:t>
      </w:r>
      <w:r w:rsidR="004D00C5">
        <w:t xml:space="preserve">suffice to </w:t>
      </w:r>
      <w:r w:rsidR="00C257CE">
        <w:t xml:space="preserve">transform </w:t>
      </w:r>
      <w:r w:rsidR="004D00C5">
        <w:t>or ev</w:t>
      </w:r>
      <w:r w:rsidR="00856C66">
        <w:t xml:space="preserve">en aim at </w:t>
      </w:r>
      <w:r w:rsidR="00D37AD9">
        <w:t>transform</w:t>
      </w:r>
      <w:r w:rsidR="00856C66">
        <w:t>ing</w:t>
      </w:r>
      <w:r w:rsidR="00D37AD9">
        <w:t xml:space="preserve"> human rights rules into rules prohibiting conduct that generates climate change or requir</w:t>
      </w:r>
      <w:r w:rsidR="00C257CE">
        <w:t>es</w:t>
      </w:r>
      <w:r w:rsidR="00D37AD9">
        <w:t xml:space="preserve"> pro</w:t>
      </w:r>
      <w:r w:rsidR="001A1D64">
        <w:t>-</w:t>
      </w:r>
      <w:r w:rsidR="00D37AD9">
        <w:t>ac</w:t>
      </w:r>
      <w:r w:rsidR="001A1D64">
        <w:t>t</w:t>
      </w:r>
      <w:r w:rsidR="00D37AD9">
        <w:t xml:space="preserve">iveness to </w:t>
      </w:r>
      <w:r w:rsidR="005A44E3">
        <w:t>mitigate, that is</w:t>
      </w:r>
      <w:r w:rsidR="001D2653">
        <w:t>,</w:t>
      </w:r>
      <w:r w:rsidR="005A44E3">
        <w:t xml:space="preserve"> </w:t>
      </w:r>
      <w:r w:rsidR="00D37AD9">
        <w:t>fight</w:t>
      </w:r>
      <w:r w:rsidR="001A1D64">
        <w:t>/reverse</w:t>
      </w:r>
      <w:r w:rsidR="00D37AD9">
        <w:t xml:space="preserve"> climate change.</w:t>
      </w:r>
      <w:r w:rsidR="001A1D64">
        <w:t xml:space="preserve"> </w:t>
      </w:r>
      <w:r w:rsidR="00BA060A">
        <w:t xml:space="preserve">Yet, </w:t>
      </w:r>
      <w:r w:rsidR="004F2BEE">
        <w:t xml:space="preserve">the </w:t>
      </w:r>
      <w:r w:rsidR="00E36233">
        <w:t>decision</w:t>
      </w:r>
      <w:r w:rsidR="004F2BEE">
        <w:t xml:space="preserve"> signals</w:t>
      </w:r>
      <w:r w:rsidR="00871199">
        <w:t xml:space="preserve"> </w:t>
      </w:r>
      <w:r w:rsidR="008C1CCA">
        <w:t>‘meta-</w:t>
      </w:r>
      <w:r w:rsidR="00871199">
        <w:t>messages</w:t>
      </w:r>
      <w:r w:rsidR="008C1CCA">
        <w:t>’</w:t>
      </w:r>
      <w:r w:rsidR="00BA060A">
        <w:t xml:space="preserve"> </w:t>
      </w:r>
      <w:r w:rsidR="004F2BEE">
        <w:t xml:space="preserve">pertaining to the </w:t>
      </w:r>
      <w:r w:rsidR="002573D0">
        <w:t xml:space="preserve">global </w:t>
      </w:r>
      <w:r w:rsidR="004F2BEE">
        <w:t>mitigation of climate change.</w:t>
      </w:r>
      <w:r w:rsidR="00BA060A">
        <w:t xml:space="preserve"> </w:t>
      </w:r>
      <w:r w:rsidR="001A1D64">
        <w:t xml:space="preserve">At this stage, </w:t>
      </w:r>
      <w:r w:rsidR="00871199">
        <w:t>the</w:t>
      </w:r>
      <w:r w:rsidR="00A12AAE">
        <w:t xml:space="preserve">se </w:t>
      </w:r>
      <w:r w:rsidR="008C1CCA">
        <w:t>‘meta-</w:t>
      </w:r>
      <w:r w:rsidR="00A12AAE">
        <w:t>messages</w:t>
      </w:r>
      <w:r w:rsidR="008C1CCA">
        <w:t>’</w:t>
      </w:r>
      <w:r w:rsidR="0022299B">
        <w:t xml:space="preserve"> merely</w:t>
      </w:r>
      <w:r w:rsidR="00EB100E">
        <w:t xml:space="preserve"> serve a </w:t>
      </w:r>
      <w:r w:rsidR="005121DA">
        <w:t xml:space="preserve">primarily </w:t>
      </w:r>
      <w:r w:rsidR="00EB100E">
        <w:t>pedagogical</w:t>
      </w:r>
      <w:r w:rsidR="0022299B">
        <w:t xml:space="preserve"> function</w:t>
      </w:r>
      <w:r w:rsidR="00C257CE">
        <w:t>,</w:t>
      </w:r>
      <w:r w:rsidR="0022299B">
        <w:t xml:space="preserve"> but they also</w:t>
      </w:r>
      <w:r w:rsidR="005121DA">
        <w:t xml:space="preserve"> </w:t>
      </w:r>
      <w:r w:rsidR="0022299B">
        <w:t>have a potential</w:t>
      </w:r>
      <w:r w:rsidR="00C257CE">
        <w:t>, w</w:t>
      </w:r>
      <w:r w:rsidR="001D2653">
        <w:t xml:space="preserve">hilst </w:t>
      </w:r>
      <w:r w:rsidR="0022299B">
        <w:t>serving</w:t>
      </w:r>
      <w:r w:rsidR="00871199">
        <w:t xml:space="preserve"> as a reminder that the HRC and other institutions of </w:t>
      </w:r>
      <w:r w:rsidR="00C257CE">
        <w:t>its</w:t>
      </w:r>
      <w:r w:rsidR="00871199">
        <w:t xml:space="preserve"> kind are here to </w:t>
      </w:r>
      <w:r w:rsidR="00346A64">
        <w:t>‘</w:t>
      </w:r>
      <w:r w:rsidR="00871199">
        <w:t>take note</w:t>
      </w:r>
      <w:r w:rsidR="00346A64">
        <w:t xml:space="preserve">’ </w:t>
      </w:r>
      <w:r w:rsidR="00BC7569">
        <w:t xml:space="preserve">(for </w:t>
      </w:r>
      <w:r w:rsidR="00346A64">
        <w:t>now</w:t>
      </w:r>
      <w:r w:rsidR="00BC7569">
        <w:t>)</w:t>
      </w:r>
      <w:r w:rsidR="00871199">
        <w:t xml:space="preserve"> </w:t>
      </w:r>
      <w:r w:rsidR="00374E97">
        <w:t>of states’ record</w:t>
      </w:r>
      <w:r w:rsidR="001805D3">
        <w:t>s</w:t>
      </w:r>
      <w:r w:rsidR="00374E97">
        <w:t xml:space="preserve"> and environmental protection policies.</w:t>
      </w:r>
      <w:r w:rsidR="00BC7569">
        <w:t xml:space="preserve"> </w:t>
      </w:r>
      <w:r w:rsidR="001D2653">
        <w:t>W</w:t>
      </w:r>
      <w:r w:rsidR="00346A64">
        <w:t xml:space="preserve">ho knows what </w:t>
      </w:r>
      <w:r w:rsidR="009B7104">
        <w:t xml:space="preserve">will </w:t>
      </w:r>
      <w:r w:rsidR="00346A64">
        <w:t xml:space="preserve">follow </w:t>
      </w:r>
      <w:r w:rsidR="00BC7569">
        <w:t>next</w:t>
      </w:r>
      <w:r w:rsidR="00346A64">
        <w:t>.</w:t>
      </w:r>
      <w:r w:rsidR="00374E97">
        <w:t xml:space="preserve"> </w:t>
      </w:r>
      <w:r w:rsidR="00D3548D">
        <w:t>Who knows how the ‘</w:t>
      </w:r>
      <w:r w:rsidR="00374E97">
        <w:t>soft</w:t>
      </w:r>
      <w:r w:rsidR="00D3548D">
        <w:t>’</w:t>
      </w:r>
      <w:r w:rsidR="00374E97">
        <w:t xml:space="preserve"> precedent</w:t>
      </w:r>
      <w:r w:rsidR="00D3548D">
        <w:t xml:space="preserve"> </w:t>
      </w:r>
      <w:r w:rsidR="00CD2CDF">
        <w:t xml:space="preserve">set by the </w:t>
      </w:r>
      <w:r w:rsidR="00CD2CDF" w:rsidRPr="009E2122">
        <w:rPr>
          <w:i/>
          <w:iCs/>
        </w:rPr>
        <w:t>Torres Strait Islanders</w:t>
      </w:r>
      <w:r w:rsidR="00CD2CDF">
        <w:t xml:space="preserve"> decision</w:t>
      </w:r>
      <w:r w:rsidR="00D3548D">
        <w:t xml:space="preserve"> </w:t>
      </w:r>
      <w:r w:rsidR="00CD2CDF">
        <w:t>will</w:t>
      </w:r>
      <w:r w:rsidR="0086284A">
        <w:t xml:space="preserve"> be further elaborated</w:t>
      </w:r>
      <w:r w:rsidR="00E75124">
        <w:t xml:space="preserve"> on</w:t>
      </w:r>
      <w:r w:rsidR="0086284A">
        <w:t xml:space="preserve"> in the future</w:t>
      </w:r>
      <w:r w:rsidR="000439A7">
        <w:t>?</w:t>
      </w:r>
      <w:r w:rsidR="00CD2CDF">
        <w:t xml:space="preserve"> </w:t>
      </w:r>
      <w:r w:rsidR="000439A7">
        <w:t xml:space="preserve">Who knows </w:t>
      </w:r>
      <w:proofErr w:type="gramStart"/>
      <w:r w:rsidR="00CD2CDF">
        <w:t>if and when</w:t>
      </w:r>
      <w:proofErr w:type="gramEnd"/>
      <w:r w:rsidR="00CD2CDF">
        <w:t xml:space="preserve"> it will evolve into </w:t>
      </w:r>
      <w:r w:rsidR="00604023">
        <w:t xml:space="preserve">human rights rules incorporating proper environmental protection standards aiming at </w:t>
      </w:r>
      <w:r w:rsidR="0031721F">
        <w:t xml:space="preserve">climate change </w:t>
      </w:r>
      <w:r w:rsidR="007D42D2">
        <w:t>mitigati</w:t>
      </w:r>
      <w:r w:rsidR="0031721F">
        <w:t>on</w:t>
      </w:r>
      <w:r w:rsidR="007D42D2">
        <w:t>, rather than mere adapti</w:t>
      </w:r>
      <w:r w:rsidR="0031721F">
        <w:t>on</w:t>
      </w:r>
      <w:r w:rsidR="007D42D2">
        <w:t xml:space="preserve"> to</w:t>
      </w:r>
      <w:r w:rsidR="00604023">
        <w:t xml:space="preserve"> </w:t>
      </w:r>
      <w:r w:rsidR="0031721F">
        <w:t>it</w:t>
      </w:r>
      <w:r w:rsidR="000439A7">
        <w:t>?</w:t>
      </w:r>
      <w:r w:rsidR="00604023">
        <w:t xml:space="preserve"> </w:t>
      </w:r>
      <w:r w:rsidR="00EC2D87">
        <w:t xml:space="preserve"> </w:t>
      </w:r>
      <w:r w:rsidR="00270210">
        <w:t xml:space="preserve">  </w:t>
      </w:r>
    </w:p>
    <w:p w14:paraId="04E155C1" w14:textId="53A37E7D" w:rsidR="00E75124" w:rsidRDefault="00E75124" w:rsidP="00B0726B">
      <w:pPr>
        <w:jc w:val="both"/>
      </w:pPr>
    </w:p>
    <w:p w14:paraId="7A912023" w14:textId="2B98D5F2" w:rsidR="00E75124" w:rsidRDefault="00E75124" w:rsidP="00B0726B">
      <w:pPr>
        <w:jc w:val="both"/>
        <w:rPr>
          <w:b/>
        </w:rPr>
      </w:pPr>
      <w:r>
        <w:rPr>
          <w:b/>
        </w:rPr>
        <w:t>Acknowledgements</w:t>
      </w:r>
    </w:p>
    <w:p w14:paraId="62FBF8B4" w14:textId="2411F074" w:rsidR="00E75124" w:rsidRPr="00965D49" w:rsidRDefault="00E75124" w:rsidP="00B0726B">
      <w:pPr>
        <w:jc w:val="both"/>
        <w:rPr>
          <w:b/>
        </w:rPr>
      </w:pPr>
      <w:r>
        <w:t>The author is thankful to A Berkes, K Dzehtsiarou, and D</w:t>
      </w:r>
      <w:r w:rsidR="00F45BA9">
        <w:t>L</w:t>
      </w:r>
      <w:r>
        <w:t xml:space="preserve"> Franklin for their comments.</w:t>
      </w:r>
    </w:p>
    <w:p w14:paraId="0FA5709A" w14:textId="19DCD120" w:rsidR="003479AE" w:rsidRDefault="003479AE" w:rsidP="003479AE">
      <w:pPr>
        <w:jc w:val="both"/>
      </w:pPr>
    </w:p>
    <w:sectPr w:rsidR="003479AE" w:rsidSect="00743939">
      <w:footerReference w:type="even" r:id="rId7"/>
      <w:footerReference w:type="default" r:id="rId8"/>
      <w:pgSz w:w="11900" w:h="16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5E84" w14:textId="77777777" w:rsidR="007D56EA" w:rsidRDefault="007D56EA" w:rsidP="00D33635">
      <w:r>
        <w:separator/>
      </w:r>
    </w:p>
  </w:endnote>
  <w:endnote w:type="continuationSeparator" w:id="0">
    <w:p w14:paraId="291A23E5" w14:textId="77777777" w:rsidR="007D56EA" w:rsidRDefault="007D56EA" w:rsidP="00D3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9359748"/>
      <w:docPartObj>
        <w:docPartGallery w:val="Page Numbers (Bottom of Page)"/>
        <w:docPartUnique/>
      </w:docPartObj>
    </w:sdtPr>
    <w:sdtContent>
      <w:p w14:paraId="2E39BE1B" w14:textId="1CB8A0F5" w:rsidR="000811AE" w:rsidRDefault="000811AE" w:rsidP="000811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C9480" w14:textId="77777777" w:rsidR="000811AE" w:rsidRDefault="00081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104167"/>
      <w:docPartObj>
        <w:docPartGallery w:val="Page Numbers (Bottom of Page)"/>
        <w:docPartUnique/>
      </w:docPartObj>
    </w:sdtPr>
    <w:sdtContent>
      <w:p w14:paraId="42C81D4E" w14:textId="79F4B667" w:rsidR="000811AE" w:rsidRDefault="000811AE" w:rsidP="000811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4C9D1F57" w14:textId="77777777" w:rsidR="000811AE" w:rsidRDefault="00081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94E4" w14:textId="77777777" w:rsidR="007D56EA" w:rsidRDefault="007D56EA" w:rsidP="00D33635">
      <w:r>
        <w:separator/>
      </w:r>
    </w:p>
  </w:footnote>
  <w:footnote w:type="continuationSeparator" w:id="0">
    <w:p w14:paraId="767E4444" w14:textId="77777777" w:rsidR="007D56EA" w:rsidRDefault="007D56EA" w:rsidP="00D33635">
      <w:r>
        <w:continuationSeparator/>
      </w:r>
    </w:p>
  </w:footnote>
  <w:footnote w:id="1">
    <w:p w14:paraId="1A741F18" w14:textId="603DC581"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Pr>
          <w:rFonts w:cs="Times New Roman"/>
          <w:color w:val="000000" w:themeColor="text1"/>
        </w:rPr>
        <w:t xml:space="preserve">UN </w:t>
      </w:r>
      <w:r w:rsidRPr="00AE1A80">
        <w:rPr>
          <w:rFonts w:cs="Times New Roman"/>
          <w:color w:val="000000" w:themeColor="text1"/>
        </w:rPr>
        <w:t xml:space="preserve">Human Rights Committee, </w:t>
      </w:r>
      <w:r>
        <w:rPr>
          <w:rFonts w:cs="Times New Roman"/>
          <w:color w:val="000000" w:themeColor="text1"/>
        </w:rPr>
        <w:t>‘</w:t>
      </w:r>
      <w:r w:rsidRPr="00AE1A80">
        <w:rPr>
          <w:rFonts w:cs="Times New Roman"/>
          <w:color w:val="000000" w:themeColor="text1"/>
        </w:rPr>
        <w:t xml:space="preserve">Views </w:t>
      </w:r>
      <w:r>
        <w:rPr>
          <w:rFonts w:cs="Times New Roman"/>
          <w:color w:val="000000" w:themeColor="text1"/>
        </w:rPr>
        <w:t>A</w:t>
      </w:r>
      <w:r w:rsidRPr="00AE1A80">
        <w:rPr>
          <w:rFonts w:cs="Times New Roman"/>
          <w:color w:val="000000" w:themeColor="text1"/>
        </w:rPr>
        <w:t xml:space="preserve">dopted by the Committee </w:t>
      </w:r>
      <w:r>
        <w:rPr>
          <w:rFonts w:cs="Times New Roman"/>
          <w:color w:val="000000" w:themeColor="text1"/>
        </w:rPr>
        <w:t>U</w:t>
      </w:r>
      <w:r w:rsidRPr="00AE1A80">
        <w:rPr>
          <w:rFonts w:cs="Times New Roman"/>
          <w:color w:val="000000" w:themeColor="text1"/>
        </w:rPr>
        <w:t xml:space="preserve">nder </w:t>
      </w:r>
      <w:r>
        <w:rPr>
          <w:rFonts w:cs="Times New Roman"/>
          <w:color w:val="000000" w:themeColor="text1"/>
        </w:rPr>
        <w:t>A</w:t>
      </w:r>
      <w:r w:rsidRPr="00AE1A80">
        <w:rPr>
          <w:rFonts w:cs="Times New Roman"/>
          <w:color w:val="000000" w:themeColor="text1"/>
        </w:rPr>
        <w:t xml:space="preserve">rticle 5(4) of the Optional Protocol, </w:t>
      </w:r>
      <w:r>
        <w:rPr>
          <w:rFonts w:cs="Times New Roman"/>
          <w:color w:val="000000" w:themeColor="text1"/>
        </w:rPr>
        <w:t>C</w:t>
      </w:r>
      <w:r w:rsidRPr="00AE1A80">
        <w:rPr>
          <w:rFonts w:cs="Times New Roman"/>
          <w:color w:val="000000" w:themeColor="text1"/>
        </w:rPr>
        <w:t xml:space="preserve">oncerning </w:t>
      </w:r>
      <w:r>
        <w:rPr>
          <w:rFonts w:cs="Times New Roman"/>
          <w:color w:val="000000" w:themeColor="text1"/>
        </w:rPr>
        <w:t>C</w:t>
      </w:r>
      <w:r w:rsidRPr="00AE1A80">
        <w:rPr>
          <w:rFonts w:cs="Times New Roman"/>
          <w:color w:val="000000" w:themeColor="text1"/>
        </w:rPr>
        <w:t>ommunication No. 3624/2019</w:t>
      </w:r>
      <w:r>
        <w:rPr>
          <w:rFonts w:cs="Times New Roman"/>
          <w:color w:val="000000" w:themeColor="text1"/>
        </w:rPr>
        <w:t>’</w:t>
      </w:r>
      <w:r w:rsidRPr="00AE1A80">
        <w:rPr>
          <w:rFonts w:cs="Times New Roman"/>
          <w:color w:val="000000" w:themeColor="text1"/>
        </w:rPr>
        <w:t xml:space="preserve"> </w:t>
      </w:r>
      <w:r>
        <w:rPr>
          <w:rFonts w:cs="Times New Roman"/>
          <w:color w:val="000000" w:themeColor="text1"/>
        </w:rPr>
        <w:t>(</w:t>
      </w:r>
      <w:r w:rsidR="00C70CB7">
        <w:rPr>
          <w:rFonts w:cs="Times New Roman"/>
          <w:color w:val="000000" w:themeColor="text1"/>
        </w:rPr>
        <w:t>22 September 2022</w:t>
      </w:r>
      <w:r>
        <w:rPr>
          <w:rFonts w:cs="Times New Roman"/>
          <w:color w:val="000000" w:themeColor="text1"/>
        </w:rPr>
        <w:t>)</w:t>
      </w:r>
      <w:r>
        <w:rPr>
          <w:rFonts w:cs="Times New Roman"/>
          <w:color w:val="000000" w:themeColor="text1"/>
          <w:shd w:val="clear" w:color="auto" w:fill="FFFFFF"/>
        </w:rPr>
        <w:t xml:space="preserve"> UN Doc </w:t>
      </w:r>
      <w:r w:rsidRPr="00AE1A80">
        <w:rPr>
          <w:rFonts w:cs="Times New Roman"/>
          <w:color w:val="000000" w:themeColor="text1"/>
        </w:rPr>
        <w:t xml:space="preserve">CCPR/C/135/D/3624/2019 </w:t>
      </w:r>
      <w:r>
        <w:rPr>
          <w:rFonts w:cs="Times New Roman"/>
          <w:color w:val="000000" w:themeColor="text1"/>
        </w:rPr>
        <w:t>(</w:t>
      </w:r>
      <w:r w:rsidRPr="00AE1A80">
        <w:rPr>
          <w:rFonts w:cs="Times New Roman"/>
          <w:color w:val="000000" w:themeColor="text1"/>
        </w:rPr>
        <w:t xml:space="preserve">hereinafter, </w:t>
      </w:r>
      <w:r w:rsidRPr="00AE1A80">
        <w:rPr>
          <w:rFonts w:cs="Times New Roman"/>
          <w:i/>
          <w:iCs/>
          <w:color w:val="000000" w:themeColor="text1"/>
        </w:rPr>
        <w:t>Torres Strait Islanders</w:t>
      </w:r>
      <w:r>
        <w:rPr>
          <w:rFonts w:cs="Times New Roman"/>
          <w:color w:val="000000" w:themeColor="text1"/>
        </w:rPr>
        <w:t>)</w:t>
      </w:r>
      <w:r w:rsidRPr="00AE1A80">
        <w:rPr>
          <w:rFonts w:cs="Times New Roman"/>
          <w:color w:val="000000" w:themeColor="text1"/>
        </w:rPr>
        <w:t>.</w:t>
      </w:r>
    </w:p>
  </w:footnote>
  <w:footnote w:id="2">
    <w:p w14:paraId="047F04FD" w14:textId="6F4A96DC" w:rsidR="00B13E80" w:rsidRDefault="00B13E80" w:rsidP="00BA5307">
      <w:pPr>
        <w:pStyle w:val="FootnoteText"/>
        <w:jc w:val="both"/>
      </w:pPr>
      <w:r>
        <w:rPr>
          <w:rStyle w:val="FootnoteReference"/>
        </w:rPr>
        <w:footnoteRef/>
      </w:r>
      <w:r>
        <w:t xml:space="preserve"> For example, </w:t>
      </w:r>
      <w:r w:rsidR="00631DB8" w:rsidRPr="00AE1A80">
        <w:rPr>
          <w:rFonts w:cs="Times New Roman"/>
          <w:color w:val="000000" w:themeColor="text1"/>
        </w:rPr>
        <w:t>Monica Feria-</w:t>
      </w:r>
      <w:proofErr w:type="spellStart"/>
      <w:r w:rsidR="00631DB8" w:rsidRPr="00AE1A80">
        <w:rPr>
          <w:rFonts w:cs="Times New Roman"/>
          <w:color w:val="000000" w:themeColor="text1"/>
        </w:rPr>
        <w:t>Tinta</w:t>
      </w:r>
      <w:proofErr w:type="spellEnd"/>
      <w:r w:rsidR="00631DB8" w:rsidRPr="00AE1A80">
        <w:rPr>
          <w:rFonts w:cs="Times New Roman"/>
          <w:color w:val="000000" w:themeColor="text1"/>
        </w:rPr>
        <w:t xml:space="preserve">, </w:t>
      </w:r>
      <w:r w:rsidR="00631DB8">
        <w:rPr>
          <w:rFonts w:cs="Times New Roman"/>
          <w:color w:val="000000" w:themeColor="text1"/>
        </w:rPr>
        <w:t>‘</w:t>
      </w:r>
      <w:r w:rsidR="00631DB8" w:rsidRPr="00893310">
        <w:rPr>
          <w:rFonts w:cs="Times New Roman"/>
          <w:color w:val="000000" w:themeColor="text1"/>
        </w:rPr>
        <w:t>Torres Strait Islanders: United Nations Human Rights Committee Delivers Ground-Breaking Decision on Climate Change Impacts on Human Rights</w:t>
      </w:r>
      <w:r w:rsidR="00631DB8">
        <w:rPr>
          <w:rFonts w:cs="Times New Roman"/>
          <w:color w:val="000000" w:themeColor="text1"/>
        </w:rPr>
        <w:t>’</w:t>
      </w:r>
      <w:r w:rsidR="00631DB8" w:rsidRPr="00AE1A80">
        <w:rPr>
          <w:rFonts w:cs="Times New Roman"/>
          <w:color w:val="000000" w:themeColor="text1"/>
        </w:rPr>
        <w:t xml:space="preserve"> </w:t>
      </w:r>
      <w:r w:rsidR="00631DB8">
        <w:rPr>
          <w:rFonts w:cs="Times New Roman"/>
          <w:color w:val="000000" w:themeColor="text1"/>
        </w:rPr>
        <w:t>(</w:t>
      </w:r>
      <w:r w:rsidR="00631DB8" w:rsidRPr="00AE1A80">
        <w:rPr>
          <w:rFonts w:cs="Times New Roman"/>
          <w:i/>
          <w:iCs/>
          <w:color w:val="000000" w:themeColor="text1"/>
        </w:rPr>
        <w:t xml:space="preserve">EJIL: </w:t>
      </w:r>
      <w:proofErr w:type="gramStart"/>
      <w:r w:rsidR="00631DB8" w:rsidRPr="00AE1A80">
        <w:rPr>
          <w:rFonts w:cs="Times New Roman"/>
          <w:i/>
          <w:iCs/>
          <w:color w:val="000000" w:themeColor="text1"/>
        </w:rPr>
        <w:t>Talk!</w:t>
      </w:r>
      <w:r w:rsidR="00631DB8" w:rsidRPr="00AE1A80">
        <w:rPr>
          <w:rFonts w:cs="Times New Roman"/>
          <w:color w:val="000000" w:themeColor="text1"/>
        </w:rPr>
        <w:t>,</w:t>
      </w:r>
      <w:proofErr w:type="gramEnd"/>
      <w:r w:rsidR="00631DB8" w:rsidRPr="00AE1A80">
        <w:rPr>
          <w:rFonts w:cs="Times New Roman"/>
          <w:color w:val="000000" w:themeColor="text1"/>
        </w:rPr>
        <w:t xml:space="preserve"> 27 September 2022</w:t>
      </w:r>
      <w:r w:rsidR="00631DB8">
        <w:rPr>
          <w:rFonts w:cs="Times New Roman"/>
          <w:color w:val="000000" w:themeColor="text1"/>
        </w:rPr>
        <w:t>)</w:t>
      </w:r>
      <w:r w:rsidR="00631DB8" w:rsidRPr="00AE1A80">
        <w:rPr>
          <w:rFonts w:cs="Times New Roman"/>
          <w:color w:val="000000" w:themeColor="text1"/>
        </w:rPr>
        <w:t xml:space="preserve"> &lt;https://www.ejiltalk.org/torres-strait-islanders-united-nations-human-rights-committee-delivers-ground-breaking-decision-on-climate-change-impacts-on-human-rights/&gt;</w:t>
      </w:r>
      <w:r w:rsidR="00631DB8">
        <w:rPr>
          <w:rFonts w:cs="Times New Roman"/>
          <w:color w:val="000000" w:themeColor="text1"/>
        </w:rPr>
        <w:t xml:space="preserve"> accessed 10 December 2022</w:t>
      </w:r>
      <w:r w:rsidR="00631DB8" w:rsidRPr="00AE1A80">
        <w:rPr>
          <w:rFonts w:cs="Times New Roman"/>
          <w:color w:val="000000" w:themeColor="text1"/>
        </w:rPr>
        <w:t>.</w:t>
      </w:r>
      <w:r w:rsidR="00631DB8" w:rsidRPr="00893310">
        <w:rPr>
          <w:rFonts w:cs="Times New Roman"/>
          <w:color w:val="000000" w:themeColor="text1"/>
        </w:rPr>
        <w:t> </w:t>
      </w:r>
    </w:p>
  </w:footnote>
  <w:footnote w:id="3">
    <w:p w14:paraId="176F0B5B" w14:textId="0935B19F"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Pr>
          <w:rFonts w:cs="Times New Roman"/>
          <w:color w:val="000000" w:themeColor="text1"/>
        </w:rPr>
        <w:t>For example</w:t>
      </w:r>
      <w:r w:rsidRPr="00AE1A80">
        <w:rPr>
          <w:rFonts w:cs="Times New Roman"/>
          <w:color w:val="000000" w:themeColor="text1"/>
        </w:rPr>
        <w:t xml:space="preserve">, </w:t>
      </w:r>
      <w:r>
        <w:rPr>
          <w:rFonts w:cs="Times New Roman"/>
          <w:color w:val="000000" w:themeColor="text1"/>
          <w:shd w:val="clear" w:color="auto" w:fill="FFFFFF"/>
        </w:rPr>
        <w:t>UN</w:t>
      </w:r>
      <w:r w:rsidRPr="00AE1A80">
        <w:rPr>
          <w:rFonts w:cs="Times New Roman"/>
          <w:color w:val="000000" w:themeColor="text1"/>
          <w:shd w:val="clear" w:color="auto" w:fill="FFFFFF"/>
        </w:rPr>
        <w:t xml:space="preserve"> Committee on the Rights of the Child, </w:t>
      </w:r>
      <w:r>
        <w:rPr>
          <w:rFonts w:cs="Times New Roman"/>
          <w:color w:val="000000" w:themeColor="text1"/>
          <w:shd w:val="clear" w:color="auto" w:fill="FFFFFF"/>
        </w:rPr>
        <w:t>‘</w:t>
      </w:r>
      <w:r w:rsidRPr="00AE1A80">
        <w:rPr>
          <w:rFonts w:cs="Times New Roman"/>
          <w:color w:val="000000" w:themeColor="text1"/>
          <w:shd w:val="clear" w:color="auto" w:fill="FFFFFF"/>
        </w:rPr>
        <w:t>Decision Adopted by the</w:t>
      </w:r>
      <w:r w:rsidRPr="00AE1A80">
        <w:rPr>
          <w:rFonts w:cs="Times New Roman"/>
          <w:color w:val="000000" w:themeColor="text1"/>
        </w:rPr>
        <w:br/>
      </w:r>
      <w:r w:rsidRPr="00AE1A80">
        <w:rPr>
          <w:rFonts w:cs="Times New Roman"/>
          <w:color w:val="000000" w:themeColor="text1"/>
          <w:shd w:val="clear" w:color="auto" w:fill="FFFFFF"/>
        </w:rPr>
        <w:t>Committee on the Rights of the Child Under the Optional Protocol to the Convention on</w:t>
      </w:r>
      <w:r w:rsidRPr="00AE1A80">
        <w:rPr>
          <w:rFonts w:cs="Times New Roman"/>
          <w:color w:val="000000" w:themeColor="text1"/>
        </w:rPr>
        <w:br/>
      </w:r>
      <w:r w:rsidRPr="00AE1A80">
        <w:rPr>
          <w:rFonts w:cs="Times New Roman"/>
          <w:color w:val="000000" w:themeColor="text1"/>
          <w:shd w:val="clear" w:color="auto" w:fill="FFFFFF"/>
        </w:rPr>
        <w:t>the Rights of the Child on a Communications Procedure in Respect of Communication</w:t>
      </w:r>
      <w:r w:rsidRPr="00AE1A80">
        <w:rPr>
          <w:rFonts w:cs="Times New Roman"/>
          <w:color w:val="000000" w:themeColor="text1"/>
        </w:rPr>
        <w:br/>
      </w:r>
      <w:r w:rsidRPr="00AE1A80">
        <w:rPr>
          <w:rFonts w:cs="Times New Roman"/>
          <w:color w:val="000000" w:themeColor="text1"/>
          <w:shd w:val="clear" w:color="auto" w:fill="FFFFFF"/>
        </w:rPr>
        <w:t>No. 104/2019</w:t>
      </w:r>
      <w:r>
        <w:rPr>
          <w:rFonts w:cs="Times New Roman"/>
          <w:color w:val="000000" w:themeColor="text1"/>
          <w:shd w:val="clear" w:color="auto" w:fill="FFFFFF"/>
        </w:rPr>
        <w:t>’</w:t>
      </w:r>
      <w:r w:rsidRPr="00AE1A80">
        <w:rPr>
          <w:rFonts w:cs="Times New Roman"/>
          <w:color w:val="000000" w:themeColor="text1"/>
          <w:shd w:val="clear" w:color="auto" w:fill="FFFFFF"/>
        </w:rPr>
        <w:t xml:space="preserve"> </w:t>
      </w:r>
      <w:r>
        <w:rPr>
          <w:rFonts w:cs="Times New Roman"/>
          <w:color w:val="000000" w:themeColor="text1"/>
          <w:shd w:val="clear" w:color="auto" w:fill="FFFFFF"/>
        </w:rPr>
        <w:t>(</w:t>
      </w:r>
      <w:r w:rsidR="00C70CB7">
        <w:rPr>
          <w:rFonts w:cs="Times New Roman"/>
          <w:color w:val="000000" w:themeColor="text1"/>
          <w:shd w:val="clear" w:color="auto" w:fill="FFFFFF"/>
        </w:rPr>
        <w:t>11 November 2021</w:t>
      </w:r>
      <w:r>
        <w:rPr>
          <w:rFonts w:cs="Times New Roman"/>
          <w:color w:val="000000" w:themeColor="text1"/>
          <w:shd w:val="clear" w:color="auto" w:fill="FFFFFF"/>
        </w:rPr>
        <w:t xml:space="preserve">) UN Doc </w:t>
      </w:r>
      <w:r w:rsidRPr="00AE1A80">
        <w:rPr>
          <w:rFonts w:cs="Times New Roman"/>
          <w:color w:val="000000" w:themeColor="text1"/>
          <w:shd w:val="clear" w:color="auto" w:fill="FFFFFF"/>
        </w:rPr>
        <w:t>CRC/C/88/d/104/2019</w:t>
      </w:r>
      <w:r w:rsidRPr="00AE1A80">
        <w:rPr>
          <w:rFonts w:cs="Times New Roman"/>
          <w:color w:val="000000" w:themeColor="text1"/>
        </w:rPr>
        <w:br/>
      </w:r>
      <w:r w:rsidRPr="00AE1A80">
        <w:rPr>
          <w:rFonts w:cs="Times New Roman"/>
          <w:color w:val="000000" w:themeColor="text1"/>
          <w:shd w:val="clear" w:color="auto" w:fill="FFFFFF"/>
        </w:rPr>
        <w:t>(</w:t>
      </w:r>
      <w:r w:rsidRPr="00AE1A80">
        <w:rPr>
          <w:rFonts w:cs="Times New Roman"/>
          <w:i/>
          <w:iCs/>
          <w:color w:val="000000" w:themeColor="text1"/>
          <w:shd w:val="clear" w:color="auto" w:fill="FFFFFF"/>
        </w:rPr>
        <w:t xml:space="preserve">Chiara </w:t>
      </w:r>
      <w:proofErr w:type="spellStart"/>
      <w:r w:rsidRPr="00AE1A80">
        <w:rPr>
          <w:rFonts w:cs="Times New Roman"/>
          <w:i/>
          <w:iCs/>
          <w:color w:val="000000" w:themeColor="text1"/>
          <w:shd w:val="clear" w:color="auto" w:fill="FFFFFF"/>
        </w:rPr>
        <w:t>Sacchi</w:t>
      </w:r>
      <w:proofErr w:type="spellEnd"/>
      <w:r w:rsidRPr="00AE1A80">
        <w:rPr>
          <w:rFonts w:cs="Times New Roman"/>
          <w:i/>
          <w:iCs/>
          <w:color w:val="000000" w:themeColor="text1"/>
          <w:shd w:val="clear" w:color="auto" w:fill="FFFFFF"/>
        </w:rPr>
        <w:t xml:space="preserve"> and Others v Argentina</w:t>
      </w:r>
      <w:r w:rsidRPr="00AE1A80">
        <w:rPr>
          <w:rFonts w:cs="Times New Roman"/>
          <w:color w:val="000000" w:themeColor="text1"/>
          <w:shd w:val="clear" w:color="auto" w:fill="FFFFFF"/>
        </w:rPr>
        <w:t xml:space="preserve"> -as well as against Brazil, France, </w:t>
      </w:r>
      <w:proofErr w:type="gramStart"/>
      <w:r w:rsidRPr="00AE1A80">
        <w:rPr>
          <w:rFonts w:cs="Times New Roman"/>
          <w:color w:val="000000" w:themeColor="text1"/>
          <w:shd w:val="clear" w:color="auto" w:fill="FFFFFF"/>
        </w:rPr>
        <w:t>Germany</w:t>
      </w:r>
      <w:proofErr w:type="gramEnd"/>
      <w:r w:rsidRPr="00AE1A80">
        <w:rPr>
          <w:rFonts w:cs="Times New Roman"/>
          <w:color w:val="000000" w:themeColor="text1"/>
          <w:shd w:val="clear" w:color="auto" w:fill="FFFFFF"/>
        </w:rPr>
        <w:t xml:space="preserve"> and Turkey). </w:t>
      </w:r>
    </w:p>
  </w:footnote>
  <w:footnote w:id="4">
    <w:p w14:paraId="40B93C7A" w14:textId="0809BA46"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Pr>
          <w:rFonts w:cs="Times New Roman"/>
          <w:color w:val="000000" w:themeColor="text1"/>
        </w:rPr>
        <w:t>For instance</w:t>
      </w:r>
      <w:r w:rsidRPr="00AE1A80">
        <w:rPr>
          <w:rFonts w:cs="Times New Roman"/>
          <w:color w:val="000000" w:themeColor="text1"/>
        </w:rPr>
        <w:t xml:space="preserve">, </w:t>
      </w:r>
      <w:r w:rsidRPr="00AE1A80">
        <w:rPr>
          <w:rStyle w:val="Emphasis"/>
          <w:rFonts w:cs="Times New Roman"/>
          <w:color w:val="2A2A2A"/>
          <w:bdr w:val="none" w:sz="0" w:space="0" w:color="auto" w:frame="1"/>
          <w:shd w:val="clear" w:color="auto" w:fill="FFFFFF"/>
        </w:rPr>
        <w:t>Duarte Agostinho and Others v Portugal and Others</w:t>
      </w:r>
      <w:r w:rsidRPr="00AE1A80">
        <w:rPr>
          <w:rFonts w:cs="Times New Roman"/>
          <w:color w:val="2A2A2A"/>
          <w:shd w:val="clear" w:color="auto" w:fill="FFFFFF"/>
        </w:rPr>
        <w:t xml:space="preserve"> App No 39371/20</w:t>
      </w:r>
      <w:r w:rsidR="0074587C">
        <w:rPr>
          <w:rFonts w:cs="Times New Roman"/>
          <w:color w:val="2A2A2A"/>
          <w:shd w:val="clear" w:color="auto" w:fill="FFFFFF"/>
        </w:rPr>
        <w:t xml:space="preserve"> (ECtHR)</w:t>
      </w:r>
      <w:r>
        <w:rPr>
          <w:rFonts w:cs="Times New Roman"/>
          <w:color w:val="2A2A2A"/>
          <w:shd w:val="clear" w:color="auto" w:fill="FFFFFF"/>
        </w:rPr>
        <w:t xml:space="preserve"> was </w:t>
      </w:r>
      <w:r w:rsidRPr="00AE1A80">
        <w:rPr>
          <w:rFonts w:cs="Times New Roman"/>
          <w:color w:val="2A2A2A"/>
          <w:shd w:val="clear" w:color="auto" w:fill="FFFFFF"/>
        </w:rPr>
        <w:t xml:space="preserve">relinquished to the </w:t>
      </w:r>
      <w:r w:rsidRPr="00F45BA9">
        <w:rPr>
          <w:rFonts w:cs="Times New Roman"/>
          <w:color w:val="2A2A2A"/>
          <w:shd w:val="clear" w:color="auto" w:fill="FFFFFF"/>
        </w:rPr>
        <w:t>Grand Chamber on 28</w:t>
      </w:r>
      <w:r w:rsidRPr="00C70CB7">
        <w:rPr>
          <w:rFonts w:cs="Times New Roman"/>
          <w:color w:val="2A2A2A"/>
          <w:shd w:val="clear" w:color="auto" w:fill="FFFFFF"/>
        </w:rPr>
        <w:t xml:space="preserve"> June 2022 (see, ECtHR, ‘Grand Chamber to Examine Case Concerning Global Warming’ (</w:t>
      </w:r>
      <w:r w:rsidR="003C4441" w:rsidRPr="00965D49">
        <w:rPr>
          <w:rFonts w:cs="Times New Roman"/>
          <w:i/>
          <w:color w:val="2A2A2A"/>
          <w:shd w:val="clear" w:color="auto" w:fill="FFFFFF"/>
        </w:rPr>
        <w:t>Press Release</w:t>
      </w:r>
      <w:r w:rsidR="003C4441">
        <w:rPr>
          <w:rFonts w:cs="Times New Roman"/>
          <w:color w:val="2A2A2A"/>
          <w:shd w:val="clear" w:color="auto" w:fill="FFFFFF"/>
        </w:rPr>
        <w:t xml:space="preserve">, </w:t>
      </w:r>
      <w:r w:rsidRPr="00F45BA9">
        <w:rPr>
          <w:rFonts w:cs="Times New Roman"/>
          <w:color w:val="2A2A2A"/>
          <w:shd w:val="clear" w:color="auto" w:fill="FFFFFF"/>
        </w:rPr>
        <w:t>20 June 2022) &lt;</w:t>
      </w:r>
      <w:r w:rsidRPr="00965D49">
        <w:rPr>
          <w:rFonts w:cs="Times New Roman"/>
        </w:rPr>
        <w:t>https://hudoc.echr.coe.int/app/conversion/pdf/?library=ECHR&amp;id=003-7374717-10079435&amp;filename=Relinquishment%20in%20favour%20of%20the%20Grand%20Chamber%20of%20the%20case%20Duarte%20Agostinho%20and%20Others%20v.%20Portugal%20and%20Others.pdf</w:t>
      </w:r>
      <w:r w:rsidRPr="00F45BA9">
        <w:rPr>
          <w:rFonts w:cs="Times New Roman"/>
          <w:color w:val="2A2A2A"/>
          <w:shd w:val="clear" w:color="auto" w:fill="FFFFFF"/>
        </w:rPr>
        <w:t xml:space="preserve">&gt; </w:t>
      </w:r>
      <w:r w:rsidR="003C4441">
        <w:rPr>
          <w:rFonts w:cs="Times New Roman"/>
          <w:color w:val="2A2A2A"/>
          <w:shd w:val="clear" w:color="auto" w:fill="FFFFFF"/>
        </w:rPr>
        <w:t>a</w:t>
      </w:r>
      <w:r w:rsidRPr="00F45BA9">
        <w:rPr>
          <w:rFonts w:cs="Times New Roman"/>
          <w:color w:val="2A2A2A"/>
          <w:shd w:val="clear" w:color="auto" w:fill="FFFFFF"/>
        </w:rPr>
        <w:t>ccessed</w:t>
      </w:r>
      <w:r>
        <w:rPr>
          <w:rFonts w:cs="Times New Roman"/>
          <w:color w:val="2A2A2A"/>
          <w:shd w:val="clear" w:color="auto" w:fill="FFFFFF"/>
        </w:rPr>
        <w:t xml:space="preserve"> 1</w:t>
      </w:r>
      <w:r w:rsidR="002B1623">
        <w:rPr>
          <w:rFonts w:cs="Times New Roman"/>
          <w:color w:val="2A2A2A"/>
          <w:shd w:val="clear" w:color="auto" w:fill="FFFFFF"/>
        </w:rPr>
        <w:t>0</w:t>
      </w:r>
      <w:r>
        <w:rPr>
          <w:rFonts w:cs="Times New Roman"/>
          <w:color w:val="2A2A2A"/>
          <w:shd w:val="clear" w:color="auto" w:fill="FFFFFF"/>
        </w:rPr>
        <w:t xml:space="preserve"> December 2022). </w:t>
      </w:r>
    </w:p>
  </w:footnote>
  <w:footnote w:id="5">
    <w:p w14:paraId="706D0E90" w14:textId="24F19F00"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Pr>
          <w:rFonts w:cs="Times New Roman"/>
          <w:color w:val="000000" w:themeColor="text1"/>
        </w:rPr>
        <w:t>For example</w:t>
      </w:r>
      <w:r w:rsidRPr="00AE1A80">
        <w:rPr>
          <w:rFonts w:cs="Times New Roman"/>
          <w:color w:val="000000" w:themeColor="text1"/>
        </w:rPr>
        <w:t>, Helen Keller</w:t>
      </w:r>
      <w:r>
        <w:rPr>
          <w:rFonts w:cs="Times New Roman"/>
          <w:color w:val="000000" w:themeColor="text1"/>
        </w:rPr>
        <w:t xml:space="preserve"> and</w:t>
      </w:r>
      <w:r w:rsidRPr="00AE1A80">
        <w:rPr>
          <w:rFonts w:cs="Times New Roman"/>
          <w:color w:val="000000" w:themeColor="text1"/>
        </w:rPr>
        <w:t xml:space="preserve"> Corina </w:t>
      </w:r>
      <w:proofErr w:type="spellStart"/>
      <w:r w:rsidRPr="00AE1A80">
        <w:rPr>
          <w:rFonts w:cs="Times New Roman"/>
          <w:color w:val="000000" w:themeColor="text1"/>
        </w:rPr>
        <w:t>Heri</w:t>
      </w:r>
      <w:proofErr w:type="spellEnd"/>
      <w:r w:rsidRPr="00AE1A80">
        <w:rPr>
          <w:rFonts w:cs="Times New Roman"/>
          <w:color w:val="000000" w:themeColor="text1"/>
          <w:shd w:val="clear" w:color="auto" w:fill="FFFFFF"/>
        </w:rPr>
        <w:t xml:space="preserve">, </w:t>
      </w:r>
      <w:r>
        <w:rPr>
          <w:rFonts w:cs="Times New Roman"/>
          <w:color w:val="000000" w:themeColor="text1"/>
          <w:shd w:val="clear" w:color="auto" w:fill="FFFFFF"/>
        </w:rPr>
        <w:t>‘</w:t>
      </w:r>
      <w:r w:rsidRPr="00AE1A80">
        <w:rPr>
          <w:rFonts w:cs="Times New Roman"/>
          <w:color w:val="000000" w:themeColor="text1"/>
        </w:rPr>
        <w:t>The Future is Now: Climate Cases Before the ECtHR</w:t>
      </w:r>
      <w:r>
        <w:rPr>
          <w:rFonts w:cs="Times New Roman"/>
          <w:color w:val="000000" w:themeColor="text1"/>
        </w:rPr>
        <w:t>’ [2022] 40</w:t>
      </w:r>
      <w:r w:rsidRPr="00AE1A80">
        <w:rPr>
          <w:rFonts w:cs="Times New Roman"/>
          <w:color w:val="000000" w:themeColor="text1"/>
          <w:shd w:val="clear" w:color="auto" w:fill="FFFFFF"/>
        </w:rPr>
        <w:t> </w:t>
      </w:r>
      <w:r w:rsidRPr="00965D49">
        <w:rPr>
          <w:rFonts w:cs="Times New Roman"/>
          <w:iCs/>
          <w:color w:val="000000" w:themeColor="text1"/>
        </w:rPr>
        <w:t>Nordic Journal of Human Rights</w:t>
      </w:r>
      <w:r w:rsidRPr="00AE1A80">
        <w:rPr>
          <w:rFonts w:cs="Times New Roman"/>
          <w:color w:val="000000" w:themeColor="text1"/>
          <w:shd w:val="clear" w:color="auto" w:fill="FFFFFF"/>
        </w:rPr>
        <w:t xml:space="preserve"> </w:t>
      </w:r>
      <w:r w:rsidRPr="00AE1A80">
        <w:rPr>
          <w:rFonts w:cs="Times New Roman"/>
          <w:color w:val="000000" w:themeColor="text1"/>
        </w:rPr>
        <w:t>153</w:t>
      </w:r>
      <w:r>
        <w:rPr>
          <w:rFonts w:cs="Times New Roman"/>
          <w:color w:val="000000" w:themeColor="text1"/>
        </w:rPr>
        <w:t>;</w:t>
      </w:r>
      <w:r w:rsidRPr="00AE1A80">
        <w:rPr>
          <w:rFonts w:cs="Times New Roman"/>
          <w:color w:val="000000" w:themeColor="text1"/>
        </w:rPr>
        <w:t xml:space="preserve"> Corina </w:t>
      </w:r>
      <w:proofErr w:type="spellStart"/>
      <w:r w:rsidRPr="00AE1A80">
        <w:rPr>
          <w:rFonts w:cs="Times New Roman"/>
          <w:color w:val="000000" w:themeColor="text1"/>
        </w:rPr>
        <w:t>Heri</w:t>
      </w:r>
      <w:proofErr w:type="spellEnd"/>
      <w:r w:rsidRPr="00AE1A80">
        <w:rPr>
          <w:rFonts w:cs="Times New Roman"/>
          <w:color w:val="000000" w:themeColor="text1"/>
        </w:rPr>
        <w:t xml:space="preserve">, </w:t>
      </w:r>
      <w:r>
        <w:rPr>
          <w:rFonts w:cs="Times New Roman"/>
          <w:color w:val="000000" w:themeColor="text1"/>
        </w:rPr>
        <w:t>‘</w:t>
      </w:r>
      <w:r w:rsidRPr="00AE1A80">
        <w:rPr>
          <w:rFonts w:cs="Times New Roman"/>
          <w:color w:val="000000" w:themeColor="text1"/>
        </w:rPr>
        <w:t xml:space="preserve">Climate Change </w:t>
      </w:r>
      <w:r>
        <w:rPr>
          <w:rFonts w:cs="Times New Roman"/>
          <w:color w:val="000000" w:themeColor="text1"/>
        </w:rPr>
        <w:t>B</w:t>
      </w:r>
      <w:r w:rsidRPr="00AE1A80">
        <w:rPr>
          <w:rFonts w:cs="Times New Roman"/>
          <w:color w:val="000000" w:themeColor="text1"/>
        </w:rPr>
        <w:t>efore the European Court of Human Rights: Capturing Risk, Ill-Treatment and Vulnerability</w:t>
      </w:r>
      <w:r>
        <w:rPr>
          <w:rFonts w:cs="Times New Roman"/>
          <w:color w:val="000000" w:themeColor="text1"/>
        </w:rPr>
        <w:t>’ [2022] 33</w:t>
      </w:r>
      <w:r w:rsidRPr="00AE1A80">
        <w:rPr>
          <w:rFonts w:cs="Times New Roman"/>
          <w:color w:val="000000" w:themeColor="text1"/>
        </w:rPr>
        <w:t xml:space="preserve"> </w:t>
      </w:r>
      <w:r w:rsidRPr="00965D49">
        <w:rPr>
          <w:rFonts w:cs="Times New Roman"/>
          <w:iCs/>
          <w:color w:val="000000" w:themeColor="text1"/>
        </w:rPr>
        <w:t>European Journal of International Law</w:t>
      </w:r>
      <w:r>
        <w:rPr>
          <w:rFonts w:cs="Times New Roman"/>
          <w:color w:val="000000" w:themeColor="text1"/>
        </w:rPr>
        <w:t xml:space="preserve"> 925. On</w:t>
      </w:r>
      <w:r w:rsidRPr="00AE1A80">
        <w:rPr>
          <w:rFonts w:cs="Times New Roman"/>
          <w:color w:val="000000" w:themeColor="text1"/>
        </w:rPr>
        <w:t xml:space="preserve"> the prohibition of ill-treatment and climate change</w:t>
      </w:r>
      <w:r>
        <w:rPr>
          <w:rFonts w:cs="Times New Roman"/>
          <w:color w:val="000000" w:themeColor="text1"/>
        </w:rPr>
        <w:t>, see also,</w:t>
      </w:r>
      <w:r w:rsidRPr="00AE1A80">
        <w:rPr>
          <w:rFonts w:cs="Times New Roman"/>
          <w:color w:val="000000" w:themeColor="text1"/>
        </w:rPr>
        <w:t xml:space="preserve"> </w:t>
      </w:r>
      <w:proofErr w:type="spellStart"/>
      <w:r w:rsidRPr="00AE1A80">
        <w:rPr>
          <w:rFonts w:cs="Times New Roman"/>
          <w:color w:val="000000" w:themeColor="text1"/>
        </w:rPr>
        <w:t>Natasa</w:t>
      </w:r>
      <w:proofErr w:type="spellEnd"/>
      <w:r w:rsidRPr="00AE1A80">
        <w:rPr>
          <w:rFonts w:cs="Times New Roman"/>
          <w:color w:val="000000" w:themeColor="text1"/>
        </w:rPr>
        <w:t xml:space="preserve"> </w:t>
      </w:r>
      <w:proofErr w:type="spellStart"/>
      <w:r w:rsidRPr="00AE1A80">
        <w:rPr>
          <w:rFonts w:cs="Times New Roman"/>
          <w:color w:val="000000" w:themeColor="text1"/>
        </w:rPr>
        <w:t>Mavronicola</w:t>
      </w:r>
      <w:proofErr w:type="spellEnd"/>
      <w:r w:rsidRPr="00AE1A80">
        <w:rPr>
          <w:rFonts w:cs="Times New Roman"/>
          <w:color w:val="000000" w:themeColor="text1"/>
        </w:rPr>
        <w:t xml:space="preserve">, </w:t>
      </w:r>
      <w:r>
        <w:rPr>
          <w:rFonts w:cs="Times New Roman"/>
          <w:color w:val="000000" w:themeColor="text1"/>
        </w:rPr>
        <w:t>‘</w:t>
      </w:r>
      <w:r w:rsidRPr="00AE1A80">
        <w:rPr>
          <w:rFonts w:cs="Times New Roman"/>
          <w:color w:val="000000" w:themeColor="text1"/>
        </w:rPr>
        <w:t xml:space="preserve">The Future is a Foreign Country: State (In)Action on Climate Change and the Right </w:t>
      </w:r>
      <w:r w:rsidR="00751FC2">
        <w:rPr>
          <w:rFonts w:cs="Times New Roman"/>
          <w:color w:val="000000" w:themeColor="text1"/>
        </w:rPr>
        <w:t>A</w:t>
      </w:r>
      <w:r w:rsidRPr="00AE1A80">
        <w:rPr>
          <w:rFonts w:cs="Times New Roman"/>
          <w:color w:val="000000" w:themeColor="text1"/>
        </w:rPr>
        <w:t>gainst Torture and Ill-Treatment</w:t>
      </w:r>
      <w:r>
        <w:rPr>
          <w:rFonts w:cs="Times New Roman"/>
          <w:color w:val="000000" w:themeColor="text1"/>
        </w:rPr>
        <w:t>’</w:t>
      </w:r>
      <w:r w:rsidRPr="00AE1A80">
        <w:rPr>
          <w:rFonts w:cs="Times New Roman"/>
          <w:color w:val="000000" w:themeColor="text1"/>
        </w:rPr>
        <w:t xml:space="preserve"> </w:t>
      </w:r>
      <w:r>
        <w:rPr>
          <w:rFonts w:cs="Times New Roman"/>
          <w:color w:val="000000" w:themeColor="text1"/>
        </w:rPr>
        <w:t>[</w:t>
      </w:r>
      <w:r w:rsidRPr="00AE1A80">
        <w:rPr>
          <w:rFonts w:cs="Times New Roman"/>
          <w:color w:val="000000" w:themeColor="text1"/>
        </w:rPr>
        <w:t>2022</w:t>
      </w:r>
      <w:r>
        <w:rPr>
          <w:rFonts w:cs="Times New Roman"/>
          <w:color w:val="000000" w:themeColor="text1"/>
        </w:rPr>
        <w:t>]</w:t>
      </w:r>
      <w:r w:rsidRPr="00AE1A80">
        <w:rPr>
          <w:rFonts w:cs="Times New Roman"/>
          <w:color w:val="000000" w:themeColor="text1"/>
        </w:rPr>
        <w:t xml:space="preserve"> </w:t>
      </w:r>
      <w:r w:rsidRPr="00965D49">
        <w:rPr>
          <w:rFonts w:cs="Times New Roman"/>
          <w:iCs/>
          <w:color w:val="000000" w:themeColor="text1"/>
        </w:rPr>
        <w:t xml:space="preserve">Europe of Rights and Liberties/Europe des droits &amp; </w:t>
      </w:r>
      <w:proofErr w:type="spellStart"/>
      <w:r w:rsidRPr="00965D49">
        <w:rPr>
          <w:rFonts w:cs="Times New Roman"/>
          <w:iCs/>
          <w:color w:val="000000" w:themeColor="text1"/>
        </w:rPr>
        <w:t>Libertés</w:t>
      </w:r>
      <w:proofErr w:type="spellEnd"/>
      <w:r w:rsidRPr="00AE1A80">
        <w:rPr>
          <w:rFonts w:cs="Times New Roman"/>
          <w:color w:val="000000" w:themeColor="text1"/>
        </w:rPr>
        <w:t xml:space="preserve"> 211.</w:t>
      </w:r>
    </w:p>
  </w:footnote>
  <w:footnote w:id="6">
    <w:p w14:paraId="7A27997B" w14:textId="480687E5"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Pr>
          <w:rFonts w:cs="Times New Roman"/>
          <w:color w:val="000000" w:themeColor="text1"/>
        </w:rPr>
        <w:t>For example</w:t>
      </w:r>
      <w:r w:rsidRPr="00AE1A80">
        <w:rPr>
          <w:rFonts w:cs="Times New Roman"/>
          <w:color w:val="000000" w:themeColor="text1"/>
        </w:rPr>
        <w:t xml:space="preserve">, </w:t>
      </w:r>
      <w:r w:rsidRPr="00AE1A80">
        <w:rPr>
          <w:rFonts w:cs="Times New Roman"/>
          <w:color w:val="000000" w:themeColor="text1"/>
          <w:shd w:val="clear" w:color="auto" w:fill="FFFFFF"/>
        </w:rPr>
        <w:t>Helen Keller</w:t>
      </w:r>
      <w:r>
        <w:rPr>
          <w:rFonts w:cs="Times New Roman"/>
          <w:color w:val="000000" w:themeColor="text1"/>
          <w:shd w:val="clear" w:color="auto" w:fill="FFFFFF"/>
        </w:rPr>
        <w:t xml:space="preserve"> and </w:t>
      </w:r>
      <w:r w:rsidRPr="00AE1A80">
        <w:rPr>
          <w:rFonts w:cs="Times New Roman"/>
          <w:color w:val="000000" w:themeColor="text1"/>
          <w:shd w:val="clear" w:color="auto" w:fill="FFFFFF"/>
        </w:rPr>
        <w:t>Abigail D</w:t>
      </w:r>
      <w:r>
        <w:rPr>
          <w:rFonts w:cs="Times New Roman"/>
          <w:color w:val="000000" w:themeColor="text1"/>
          <w:shd w:val="clear" w:color="auto" w:fill="FFFFFF"/>
        </w:rPr>
        <w:t xml:space="preserve"> </w:t>
      </w:r>
      <w:r w:rsidRPr="00AE1A80">
        <w:rPr>
          <w:rFonts w:cs="Times New Roman"/>
          <w:color w:val="000000" w:themeColor="text1"/>
          <w:shd w:val="clear" w:color="auto" w:fill="FFFFFF"/>
        </w:rPr>
        <w:t xml:space="preserve">Pershing, </w:t>
      </w:r>
      <w:r>
        <w:rPr>
          <w:rFonts w:cs="Times New Roman"/>
          <w:color w:val="000000" w:themeColor="text1"/>
          <w:shd w:val="clear" w:color="auto" w:fill="FFFFFF"/>
        </w:rPr>
        <w:t>‘</w:t>
      </w:r>
      <w:r w:rsidRPr="00AE1A80">
        <w:rPr>
          <w:rFonts w:cs="Times New Roman"/>
          <w:color w:val="000000" w:themeColor="text1"/>
          <w:shd w:val="clear" w:color="auto" w:fill="FFFFFF"/>
        </w:rPr>
        <w:t>Climate Change in Court: Overcoming Procedural Hurdles in Transboundary Environmental Cases</w:t>
      </w:r>
      <w:r>
        <w:rPr>
          <w:rFonts w:cs="Times New Roman"/>
          <w:color w:val="000000" w:themeColor="text1"/>
          <w:shd w:val="clear" w:color="auto" w:fill="FFFFFF"/>
        </w:rPr>
        <w:t>’ [2022] 3</w:t>
      </w:r>
      <w:r w:rsidRPr="00AE1A80">
        <w:rPr>
          <w:rFonts w:cs="Times New Roman"/>
          <w:color w:val="000000" w:themeColor="text1"/>
          <w:shd w:val="clear" w:color="auto" w:fill="FFFFFF"/>
        </w:rPr>
        <w:t> </w:t>
      </w:r>
      <w:r w:rsidRPr="00965D49">
        <w:rPr>
          <w:rFonts w:cs="Times New Roman"/>
          <w:iCs/>
          <w:color w:val="000000" w:themeColor="text1"/>
        </w:rPr>
        <w:t>European Convention on Human Rights Law Review</w:t>
      </w:r>
      <w:r w:rsidRPr="00AE1A80">
        <w:rPr>
          <w:rFonts w:cs="Times New Roman"/>
          <w:color w:val="000000" w:themeColor="text1"/>
          <w:shd w:val="clear" w:color="auto" w:fill="FFFFFF"/>
        </w:rPr>
        <w:t xml:space="preserve"> 23</w:t>
      </w:r>
      <w:r>
        <w:rPr>
          <w:rFonts w:cs="Times New Roman"/>
          <w:color w:val="000000" w:themeColor="text1"/>
        </w:rPr>
        <w:t>;</w:t>
      </w:r>
      <w:r w:rsidRPr="00AE1A80">
        <w:rPr>
          <w:rFonts w:cs="Times New Roman"/>
          <w:color w:val="000000" w:themeColor="text1"/>
        </w:rPr>
        <w:t xml:space="preserve"> Tim </w:t>
      </w:r>
      <w:proofErr w:type="spellStart"/>
      <w:r w:rsidRPr="00AE1A80">
        <w:rPr>
          <w:rFonts w:cs="Times New Roman"/>
          <w:color w:val="000000" w:themeColor="text1"/>
        </w:rPr>
        <w:t>Eicke</w:t>
      </w:r>
      <w:proofErr w:type="spellEnd"/>
      <w:r w:rsidRPr="00AE1A80">
        <w:rPr>
          <w:rFonts w:cs="Times New Roman"/>
          <w:color w:val="000000" w:themeColor="text1"/>
        </w:rPr>
        <w:t xml:space="preserve">, </w:t>
      </w:r>
      <w:r>
        <w:rPr>
          <w:rFonts w:cs="Times New Roman"/>
          <w:color w:val="000000" w:themeColor="text1"/>
        </w:rPr>
        <w:t>‘</w:t>
      </w:r>
      <w:r w:rsidRPr="00AE1A80">
        <w:rPr>
          <w:rFonts w:cs="Times New Roman"/>
          <w:color w:val="000000" w:themeColor="text1"/>
        </w:rPr>
        <w:t>Climate Change and the Convention: Beyond Admissibility</w:t>
      </w:r>
      <w:r>
        <w:rPr>
          <w:rFonts w:cs="Times New Roman"/>
          <w:color w:val="000000" w:themeColor="text1"/>
        </w:rPr>
        <w:t>’</w:t>
      </w:r>
      <w:r w:rsidRPr="00AE1A80">
        <w:rPr>
          <w:rFonts w:cs="Times New Roman"/>
          <w:color w:val="000000" w:themeColor="text1"/>
        </w:rPr>
        <w:t xml:space="preserve"> </w:t>
      </w:r>
      <w:r>
        <w:rPr>
          <w:rFonts w:cs="Times New Roman"/>
          <w:color w:val="000000" w:themeColor="text1"/>
        </w:rPr>
        <w:t>[</w:t>
      </w:r>
      <w:r w:rsidRPr="00AE1A80">
        <w:rPr>
          <w:rFonts w:cs="Times New Roman"/>
          <w:color w:val="000000" w:themeColor="text1"/>
        </w:rPr>
        <w:t>2022</w:t>
      </w:r>
      <w:r>
        <w:rPr>
          <w:rFonts w:cs="Times New Roman"/>
          <w:color w:val="000000" w:themeColor="text1"/>
        </w:rPr>
        <w:t>] 2</w:t>
      </w:r>
      <w:r w:rsidRPr="00AE1A80">
        <w:rPr>
          <w:rFonts w:cs="Times New Roman"/>
          <w:color w:val="000000" w:themeColor="text1"/>
        </w:rPr>
        <w:t> </w:t>
      </w:r>
      <w:r w:rsidRPr="00965D49">
        <w:rPr>
          <w:rFonts w:cs="Times New Roman"/>
          <w:iCs/>
          <w:color w:val="000000" w:themeColor="text1"/>
        </w:rPr>
        <w:t>European Convention on Human Rights Law Review</w:t>
      </w:r>
      <w:r>
        <w:rPr>
          <w:rFonts w:cs="Times New Roman"/>
          <w:iCs/>
          <w:color w:val="000000" w:themeColor="text1"/>
        </w:rPr>
        <w:t xml:space="preserve"> </w:t>
      </w:r>
      <w:r w:rsidRPr="00AE1A80">
        <w:rPr>
          <w:rFonts w:cs="Times New Roman"/>
          <w:color w:val="000000" w:themeColor="text1"/>
        </w:rPr>
        <w:t>8</w:t>
      </w:r>
      <w:r>
        <w:rPr>
          <w:rFonts w:cs="Times New Roman"/>
          <w:color w:val="000000" w:themeColor="text1"/>
        </w:rPr>
        <w:t>;</w:t>
      </w:r>
      <w:r w:rsidRPr="00AE1A80">
        <w:rPr>
          <w:rFonts w:cs="Times New Roman"/>
          <w:color w:val="000000" w:themeColor="text1"/>
        </w:rPr>
        <w:t xml:space="preserve"> Ole W Pedersen, </w:t>
      </w:r>
      <w:r>
        <w:rPr>
          <w:rFonts w:cs="Times New Roman"/>
          <w:color w:val="000000" w:themeColor="text1"/>
        </w:rPr>
        <w:t>‘</w:t>
      </w:r>
      <w:r w:rsidRPr="00AE1A80">
        <w:rPr>
          <w:rFonts w:cs="Times New Roman"/>
          <w:color w:val="000000" w:themeColor="text1"/>
        </w:rPr>
        <w:t>Any Role for the ECHR When it Comes to Climate Change?</w:t>
      </w:r>
      <w:r>
        <w:rPr>
          <w:rFonts w:cs="Times New Roman"/>
          <w:color w:val="000000" w:themeColor="text1"/>
        </w:rPr>
        <w:t>’ [2022] 3</w:t>
      </w:r>
      <w:r w:rsidRPr="00AE1A80">
        <w:rPr>
          <w:rFonts w:cs="Times New Roman"/>
          <w:color w:val="000000" w:themeColor="text1"/>
        </w:rPr>
        <w:t> </w:t>
      </w:r>
      <w:r w:rsidRPr="00965D49">
        <w:rPr>
          <w:rFonts w:cs="Times New Roman"/>
          <w:iCs/>
          <w:color w:val="000000" w:themeColor="text1"/>
        </w:rPr>
        <w:t>European Convention on Human Rights Law Review</w:t>
      </w:r>
      <w:r w:rsidRPr="00AE1A80">
        <w:rPr>
          <w:rFonts w:cs="Times New Roman"/>
          <w:color w:val="000000" w:themeColor="text1"/>
        </w:rPr>
        <w:t xml:space="preserve"> 17.</w:t>
      </w:r>
    </w:p>
  </w:footnote>
  <w:footnote w:id="7">
    <w:p w14:paraId="7F79A81F" w14:textId="51FBA8D5"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sidR="00790657">
        <w:rPr>
          <w:rFonts w:cs="Times New Roman"/>
          <w:color w:val="000000" w:themeColor="text1"/>
        </w:rPr>
        <w:t>See, f</w:t>
      </w:r>
      <w:r>
        <w:rPr>
          <w:rFonts w:cs="Times New Roman"/>
          <w:color w:val="000000" w:themeColor="text1"/>
        </w:rPr>
        <w:t>or instance</w:t>
      </w:r>
      <w:r w:rsidRPr="00AE1A80">
        <w:rPr>
          <w:rFonts w:cs="Times New Roman"/>
          <w:color w:val="000000" w:themeColor="text1"/>
        </w:rPr>
        <w:t xml:space="preserve">, Benoit Mayer, </w:t>
      </w:r>
      <w:r>
        <w:rPr>
          <w:rFonts w:cs="Times New Roman"/>
          <w:color w:val="000000" w:themeColor="text1"/>
        </w:rPr>
        <w:t>‘</w:t>
      </w:r>
      <w:r w:rsidRPr="00AE1A80">
        <w:rPr>
          <w:rFonts w:cs="Times New Roman"/>
          <w:color w:val="000000" w:themeColor="text1"/>
        </w:rPr>
        <w:t>Climate Change Mitigation as an Obligation Under Human Rights Treaties?</w:t>
      </w:r>
      <w:r>
        <w:rPr>
          <w:rFonts w:cs="Times New Roman"/>
          <w:color w:val="000000" w:themeColor="text1"/>
        </w:rPr>
        <w:t>’ [2021] 115</w:t>
      </w:r>
      <w:r w:rsidRPr="00AE1A80">
        <w:rPr>
          <w:rFonts w:cs="Times New Roman"/>
          <w:color w:val="000000" w:themeColor="text1"/>
        </w:rPr>
        <w:t xml:space="preserve"> </w:t>
      </w:r>
      <w:r w:rsidRPr="00965D49">
        <w:rPr>
          <w:rFonts w:cs="Times New Roman"/>
          <w:iCs/>
          <w:color w:val="000000" w:themeColor="text1"/>
        </w:rPr>
        <w:t>American Journal of International Law</w:t>
      </w:r>
      <w:r>
        <w:rPr>
          <w:rFonts w:cs="Times New Roman"/>
          <w:color w:val="000000" w:themeColor="text1"/>
        </w:rPr>
        <w:t xml:space="preserve"> </w:t>
      </w:r>
      <w:r w:rsidRPr="00AE1A80">
        <w:rPr>
          <w:rFonts w:cs="Times New Roman"/>
          <w:color w:val="000000" w:themeColor="text1"/>
        </w:rPr>
        <w:t>409</w:t>
      </w:r>
      <w:r>
        <w:rPr>
          <w:rFonts w:cs="Times New Roman"/>
          <w:color w:val="000000" w:themeColor="text1"/>
        </w:rPr>
        <w:t>;</w:t>
      </w:r>
      <w:r w:rsidRPr="00AE1A80">
        <w:rPr>
          <w:rFonts w:cs="Times New Roman"/>
          <w:color w:val="000000" w:themeColor="text1"/>
        </w:rPr>
        <w:t xml:space="preserve"> Alexander </w:t>
      </w:r>
      <w:proofErr w:type="spellStart"/>
      <w:r w:rsidRPr="00AE1A80">
        <w:rPr>
          <w:rFonts w:cs="Times New Roman"/>
          <w:color w:val="000000" w:themeColor="text1"/>
        </w:rPr>
        <w:t>Zahar</w:t>
      </w:r>
      <w:proofErr w:type="spellEnd"/>
      <w:r w:rsidRPr="00AE1A80">
        <w:rPr>
          <w:rFonts w:cs="Times New Roman"/>
          <w:color w:val="000000" w:themeColor="text1"/>
        </w:rPr>
        <w:t xml:space="preserve">, </w:t>
      </w:r>
      <w:r>
        <w:rPr>
          <w:rFonts w:cs="Times New Roman"/>
          <w:color w:val="000000" w:themeColor="text1"/>
        </w:rPr>
        <w:t>‘</w:t>
      </w:r>
      <w:r w:rsidRPr="00AE1A80">
        <w:rPr>
          <w:rFonts w:cs="Times New Roman"/>
          <w:color w:val="000000" w:themeColor="text1"/>
        </w:rPr>
        <w:t xml:space="preserve">The Limits of Human Rights Law: A Reply to Corina </w:t>
      </w:r>
      <w:proofErr w:type="spellStart"/>
      <w:r w:rsidRPr="00AE1A80">
        <w:rPr>
          <w:rFonts w:cs="Times New Roman"/>
          <w:color w:val="000000" w:themeColor="text1"/>
        </w:rPr>
        <w:t>Heri</w:t>
      </w:r>
      <w:proofErr w:type="spellEnd"/>
      <w:r>
        <w:rPr>
          <w:rFonts w:cs="Times New Roman"/>
          <w:color w:val="000000" w:themeColor="text1"/>
        </w:rPr>
        <w:t>’ [2022] 33</w:t>
      </w:r>
      <w:r w:rsidRPr="00AE1A80">
        <w:rPr>
          <w:rFonts w:cs="Times New Roman"/>
          <w:color w:val="000000" w:themeColor="text1"/>
        </w:rPr>
        <w:t xml:space="preserve"> </w:t>
      </w:r>
      <w:r w:rsidRPr="00965D49">
        <w:rPr>
          <w:rFonts w:cs="Times New Roman"/>
          <w:iCs/>
          <w:color w:val="000000" w:themeColor="text1"/>
        </w:rPr>
        <w:t>European Journal of International Law</w:t>
      </w:r>
      <w:r w:rsidRPr="00AE1A80">
        <w:rPr>
          <w:rFonts w:cs="Times New Roman"/>
          <w:color w:val="000000" w:themeColor="text1"/>
        </w:rPr>
        <w:t xml:space="preserve"> 953.</w:t>
      </w:r>
    </w:p>
  </w:footnote>
  <w:footnote w:id="8">
    <w:p w14:paraId="2EAE4947" w14:textId="3BC9DDD5" w:rsidR="000811AE" w:rsidRPr="00965D49" w:rsidRDefault="000811AE" w:rsidP="00BA5307">
      <w:pPr>
        <w:pStyle w:val="FootnoteText"/>
        <w:jc w:val="both"/>
        <w:rPr>
          <w:rFonts w:cs="Times New Roman"/>
          <w:color w:val="000000" w:themeColor="text1"/>
          <w:lang w:val="fr-CA"/>
        </w:rPr>
      </w:pPr>
      <w:r w:rsidRPr="00AE1A80">
        <w:rPr>
          <w:rStyle w:val="FootnoteReference"/>
          <w:rFonts w:cs="Times New Roman"/>
          <w:color w:val="000000" w:themeColor="text1"/>
        </w:rPr>
        <w:footnoteRef/>
      </w:r>
      <w:r w:rsidRPr="00AE1A80">
        <w:rPr>
          <w:rFonts w:cs="Times New Roman"/>
          <w:color w:val="000000" w:themeColor="text1"/>
          <w:lang w:val="fr-CA"/>
        </w:rPr>
        <w:t xml:space="preserve"> </w:t>
      </w:r>
      <w:r w:rsidRPr="00AE1A80">
        <w:rPr>
          <w:rFonts w:cs="Times New Roman"/>
          <w:i/>
          <w:iCs/>
          <w:color w:val="000000" w:themeColor="text1"/>
          <w:lang w:val="fr-CA"/>
        </w:rPr>
        <w:t xml:space="preserve">Torres </w:t>
      </w:r>
      <w:proofErr w:type="spellStart"/>
      <w:r w:rsidRPr="00AE1A80">
        <w:rPr>
          <w:rFonts w:cs="Times New Roman"/>
          <w:i/>
          <w:iCs/>
          <w:color w:val="000000" w:themeColor="text1"/>
          <w:lang w:val="fr-CA"/>
        </w:rPr>
        <w:t>Strait</w:t>
      </w:r>
      <w:proofErr w:type="spellEnd"/>
      <w:r w:rsidRPr="00AE1A80">
        <w:rPr>
          <w:rFonts w:cs="Times New Roman"/>
          <w:i/>
          <w:iCs/>
          <w:color w:val="000000" w:themeColor="text1"/>
          <w:lang w:val="fr-CA"/>
        </w:rPr>
        <w:t xml:space="preserve"> </w:t>
      </w:r>
      <w:proofErr w:type="spellStart"/>
      <w:r w:rsidRPr="00AE1A80">
        <w:rPr>
          <w:rFonts w:cs="Times New Roman"/>
          <w:i/>
          <w:iCs/>
          <w:color w:val="000000" w:themeColor="text1"/>
          <w:lang w:val="fr-CA"/>
        </w:rPr>
        <w:t>Islanders</w:t>
      </w:r>
      <w:proofErr w:type="spellEnd"/>
      <w:r w:rsidRPr="00AE1A80">
        <w:rPr>
          <w:rFonts w:cs="Times New Roman"/>
          <w:color w:val="000000" w:themeColor="text1"/>
          <w:lang w:val="fr-CA"/>
        </w:rPr>
        <w:t xml:space="preserve"> </w:t>
      </w:r>
      <w:r>
        <w:rPr>
          <w:rFonts w:cs="Times New Roman"/>
          <w:color w:val="000000" w:themeColor="text1"/>
          <w:lang w:val="fr-CA"/>
        </w:rPr>
        <w:t>(</w:t>
      </w:r>
      <w:r w:rsidRPr="00AE1A80">
        <w:rPr>
          <w:rFonts w:cs="Times New Roman"/>
          <w:color w:val="000000" w:themeColor="text1"/>
          <w:lang w:val="fr-CA"/>
        </w:rPr>
        <w:t>n 1</w:t>
      </w:r>
      <w:r>
        <w:rPr>
          <w:rFonts w:cs="Times New Roman"/>
          <w:color w:val="000000" w:themeColor="text1"/>
          <w:lang w:val="fr-CA"/>
        </w:rPr>
        <w:t>)</w:t>
      </w:r>
      <w:r w:rsidRPr="00AE1A80">
        <w:rPr>
          <w:rFonts w:cs="Times New Roman"/>
          <w:color w:val="000000" w:themeColor="text1"/>
          <w:lang w:val="fr-CA"/>
        </w:rPr>
        <w:t xml:space="preserve"> para </w:t>
      </w:r>
      <w:r w:rsidRPr="00965D49">
        <w:rPr>
          <w:rFonts w:cs="Times New Roman"/>
          <w:color w:val="000000" w:themeColor="text1"/>
          <w:lang w:val="fr-CA"/>
        </w:rPr>
        <w:t>2.1.</w:t>
      </w:r>
    </w:p>
  </w:footnote>
  <w:footnote w:id="9">
    <w:p w14:paraId="79115080" w14:textId="74DF0A28"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Pr>
          <w:rFonts w:cs="Times New Roman"/>
          <w:color w:val="000000" w:themeColor="text1"/>
        </w:rPr>
        <w:t>i</w:t>
      </w:r>
      <w:r w:rsidRPr="00AE1A80">
        <w:rPr>
          <w:rFonts w:cs="Times New Roman"/>
          <w:color w:val="000000" w:themeColor="text1"/>
        </w:rPr>
        <w:t>bid paras 2.2 -</w:t>
      </w:r>
      <w:r>
        <w:rPr>
          <w:rFonts w:cs="Times New Roman"/>
          <w:color w:val="000000" w:themeColor="text1"/>
        </w:rPr>
        <w:t xml:space="preserve"> </w:t>
      </w:r>
      <w:r w:rsidRPr="00AE1A80">
        <w:rPr>
          <w:rFonts w:cs="Times New Roman"/>
          <w:color w:val="000000" w:themeColor="text1"/>
        </w:rPr>
        <w:t>2.6.</w:t>
      </w:r>
    </w:p>
  </w:footnote>
  <w:footnote w:id="10">
    <w:p w14:paraId="0DA6D067" w14:textId="1299D9C3"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Pr>
          <w:rFonts w:cs="Times New Roman"/>
          <w:color w:val="000000" w:themeColor="text1"/>
        </w:rPr>
        <w:t>i</w:t>
      </w:r>
      <w:r w:rsidRPr="00AE1A80">
        <w:rPr>
          <w:rFonts w:cs="Times New Roman"/>
          <w:color w:val="000000" w:themeColor="text1"/>
        </w:rPr>
        <w:t>bid para 2.7.</w:t>
      </w:r>
    </w:p>
  </w:footnote>
  <w:footnote w:id="11">
    <w:p w14:paraId="6054E529" w14:textId="48FA3077"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Pr>
          <w:rFonts w:cs="Times New Roman"/>
          <w:color w:val="000000" w:themeColor="text1"/>
        </w:rPr>
        <w:t>i</w:t>
      </w:r>
      <w:r w:rsidRPr="00AE1A80">
        <w:rPr>
          <w:rFonts w:cs="Times New Roman"/>
          <w:color w:val="000000" w:themeColor="text1"/>
        </w:rPr>
        <w:t>bid para 2.8</w:t>
      </w:r>
      <w:r w:rsidR="00BD463A">
        <w:rPr>
          <w:rFonts w:cs="Times New Roman"/>
          <w:color w:val="000000" w:themeColor="text1"/>
        </w:rPr>
        <w:t>.</w:t>
      </w:r>
    </w:p>
  </w:footnote>
  <w:footnote w:id="12">
    <w:p w14:paraId="639B82D1" w14:textId="5B59C1AA"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International Covenant on Civil and Political Rights (adopted 16 December 1966, entered into force 23 March 1976) 999 UNTS 171.</w:t>
      </w:r>
    </w:p>
  </w:footnote>
  <w:footnote w:id="13">
    <w:p w14:paraId="598FD0CA" w14:textId="2B37A563" w:rsidR="000811AE" w:rsidRPr="00965D49" w:rsidRDefault="000811AE" w:rsidP="00BA5307">
      <w:pPr>
        <w:pStyle w:val="FootnoteText"/>
        <w:jc w:val="both"/>
        <w:rPr>
          <w:rFonts w:cs="Times New Roman"/>
          <w:color w:val="000000" w:themeColor="text1"/>
          <w:lang w:val="fr-CA"/>
        </w:rPr>
      </w:pPr>
      <w:r w:rsidRPr="00AE1A80">
        <w:rPr>
          <w:rStyle w:val="FootnoteReference"/>
          <w:rFonts w:cs="Times New Roman"/>
          <w:color w:val="000000" w:themeColor="text1"/>
        </w:rPr>
        <w:footnoteRef/>
      </w:r>
      <w:r w:rsidRPr="00AE1A80">
        <w:rPr>
          <w:rFonts w:cs="Times New Roman"/>
          <w:color w:val="000000" w:themeColor="text1"/>
          <w:lang w:val="fr-CA"/>
        </w:rPr>
        <w:t xml:space="preserve"> </w:t>
      </w:r>
      <w:r w:rsidRPr="00AE1A80">
        <w:rPr>
          <w:rFonts w:cs="Times New Roman"/>
          <w:i/>
          <w:iCs/>
          <w:color w:val="000000" w:themeColor="text1"/>
          <w:lang w:val="fr-CA"/>
        </w:rPr>
        <w:t xml:space="preserve">Torres </w:t>
      </w:r>
      <w:proofErr w:type="spellStart"/>
      <w:r w:rsidRPr="00AE1A80">
        <w:rPr>
          <w:rFonts w:cs="Times New Roman"/>
          <w:i/>
          <w:iCs/>
          <w:color w:val="000000" w:themeColor="text1"/>
          <w:lang w:val="fr-CA"/>
        </w:rPr>
        <w:t>Strait</w:t>
      </w:r>
      <w:proofErr w:type="spellEnd"/>
      <w:r w:rsidRPr="00AE1A80">
        <w:rPr>
          <w:rFonts w:cs="Times New Roman"/>
          <w:i/>
          <w:iCs/>
          <w:color w:val="000000" w:themeColor="text1"/>
          <w:lang w:val="fr-CA"/>
        </w:rPr>
        <w:t xml:space="preserve"> </w:t>
      </w:r>
      <w:proofErr w:type="spellStart"/>
      <w:r w:rsidRPr="00AE1A80">
        <w:rPr>
          <w:rFonts w:cs="Times New Roman"/>
          <w:i/>
          <w:iCs/>
          <w:color w:val="000000" w:themeColor="text1"/>
          <w:lang w:val="fr-CA"/>
        </w:rPr>
        <w:t>Islanders</w:t>
      </w:r>
      <w:proofErr w:type="spellEnd"/>
      <w:r>
        <w:rPr>
          <w:rFonts w:cs="Times New Roman"/>
          <w:color w:val="000000" w:themeColor="text1"/>
          <w:lang w:val="fr-CA"/>
        </w:rPr>
        <w:t xml:space="preserve"> (</w:t>
      </w:r>
      <w:r w:rsidRPr="00AE1A80">
        <w:rPr>
          <w:rFonts w:cs="Times New Roman"/>
          <w:color w:val="000000" w:themeColor="text1"/>
          <w:lang w:val="fr-CA"/>
        </w:rPr>
        <w:t>n 1</w:t>
      </w:r>
      <w:r>
        <w:rPr>
          <w:rFonts w:cs="Times New Roman"/>
          <w:color w:val="000000" w:themeColor="text1"/>
          <w:lang w:val="fr-CA"/>
        </w:rPr>
        <w:t>)</w:t>
      </w:r>
      <w:r w:rsidRPr="00AE1A80">
        <w:rPr>
          <w:rFonts w:cs="Times New Roman"/>
          <w:color w:val="000000" w:themeColor="text1"/>
          <w:lang w:val="fr-CA"/>
        </w:rPr>
        <w:t xml:space="preserve"> paras </w:t>
      </w:r>
      <w:r w:rsidRPr="00965D49">
        <w:rPr>
          <w:rFonts w:cs="Times New Roman"/>
          <w:color w:val="000000" w:themeColor="text1"/>
          <w:lang w:val="fr-CA"/>
        </w:rPr>
        <w:t>3.1 - 3.6.</w:t>
      </w:r>
    </w:p>
  </w:footnote>
  <w:footnote w:id="14">
    <w:p w14:paraId="18AE2B08" w14:textId="5750945F"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Pr>
          <w:rFonts w:cs="Times New Roman"/>
          <w:color w:val="000000" w:themeColor="text1"/>
        </w:rPr>
        <w:t>i</w:t>
      </w:r>
      <w:r w:rsidRPr="00AE1A80">
        <w:rPr>
          <w:rFonts w:cs="Times New Roman"/>
          <w:color w:val="000000" w:themeColor="text1"/>
        </w:rPr>
        <w:t>bid paras 3.3 and 3.7.</w:t>
      </w:r>
    </w:p>
  </w:footnote>
  <w:footnote w:id="15">
    <w:p w14:paraId="759DD4E0" w14:textId="771E1955"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Pr>
          <w:rFonts w:cs="Times New Roman"/>
          <w:color w:val="000000" w:themeColor="text1"/>
        </w:rPr>
        <w:t>i</w:t>
      </w:r>
      <w:r w:rsidRPr="00AE1A80">
        <w:rPr>
          <w:rFonts w:cs="Times New Roman"/>
          <w:color w:val="000000" w:themeColor="text1"/>
        </w:rPr>
        <w:t>bid para 7.4.</w:t>
      </w:r>
    </w:p>
  </w:footnote>
  <w:footnote w:id="16">
    <w:p w14:paraId="5A523705" w14:textId="609E5DF9"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Pr>
          <w:rFonts w:cs="Times New Roman"/>
          <w:color w:val="000000" w:themeColor="text1"/>
        </w:rPr>
        <w:t>i</w:t>
      </w:r>
      <w:r w:rsidRPr="00AE1A80">
        <w:rPr>
          <w:rFonts w:cs="Times New Roman"/>
          <w:color w:val="000000" w:themeColor="text1"/>
        </w:rPr>
        <w:t>bid para 10.</w:t>
      </w:r>
    </w:p>
  </w:footnote>
  <w:footnote w:id="17">
    <w:p w14:paraId="5EF551E5" w14:textId="618B9F43"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Pr>
          <w:rFonts w:cs="Times New Roman"/>
          <w:color w:val="000000" w:themeColor="text1"/>
        </w:rPr>
        <w:t>i</w:t>
      </w:r>
      <w:r w:rsidRPr="00AE1A80">
        <w:rPr>
          <w:rFonts w:cs="Times New Roman"/>
          <w:color w:val="000000" w:themeColor="text1"/>
        </w:rPr>
        <w:t>bid paras 8.3-8.5.</w:t>
      </w:r>
    </w:p>
  </w:footnote>
  <w:footnote w:id="18">
    <w:p w14:paraId="41584320" w14:textId="3BF71F8C"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Pr>
          <w:rFonts w:cs="Times New Roman"/>
          <w:color w:val="000000" w:themeColor="text1"/>
        </w:rPr>
        <w:t>i</w:t>
      </w:r>
      <w:r w:rsidRPr="00AE1A80">
        <w:rPr>
          <w:rFonts w:cs="Times New Roman"/>
          <w:color w:val="000000" w:themeColor="text1"/>
        </w:rPr>
        <w:t>bid para 8.6.</w:t>
      </w:r>
    </w:p>
  </w:footnote>
  <w:footnote w:id="19">
    <w:p w14:paraId="0DFB32AB" w14:textId="7BE86217"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Pr>
          <w:rFonts w:cs="Times New Roman"/>
          <w:color w:val="000000" w:themeColor="text1"/>
        </w:rPr>
        <w:t>i</w:t>
      </w:r>
      <w:r w:rsidRPr="00AE1A80">
        <w:rPr>
          <w:rFonts w:cs="Times New Roman"/>
          <w:color w:val="000000" w:themeColor="text1"/>
        </w:rPr>
        <w:t>bid para 8.7.</w:t>
      </w:r>
    </w:p>
  </w:footnote>
  <w:footnote w:id="20">
    <w:p w14:paraId="43B90356" w14:textId="5AA566CC"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Pr>
          <w:rFonts w:cs="Times New Roman"/>
          <w:color w:val="000000" w:themeColor="text1"/>
        </w:rPr>
        <w:t>i</w:t>
      </w:r>
      <w:r w:rsidRPr="00AE1A80">
        <w:rPr>
          <w:rFonts w:cs="Times New Roman"/>
          <w:color w:val="000000" w:themeColor="text1"/>
        </w:rPr>
        <w:t>bid.</w:t>
      </w:r>
    </w:p>
  </w:footnote>
  <w:footnote w:id="21">
    <w:p w14:paraId="03679508" w14:textId="5200A30A"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Pr>
          <w:rFonts w:cs="Times New Roman"/>
          <w:color w:val="000000" w:themeColor="text1"/>
        </w:rPr>
        <w:t>i</w:t>
      </w:r>
      <w:r w:rsidRPr="00AE1A80">
        <w:rPr>
          <w:rFonts w:cs="Times New Roman"/>
          <w:color w:val="000000" w:themeColor="text1"/>
        </w:rPr>
        <w:t>bid.</w:t>
      </w:r>
    </w:p>
  </w:footnote>
  <w:footnote w:id="22">
    <w:p w14:paraId="16A02990" w14:textId="1AD7F6A1"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Pr>
          <w:rFonts w:cs="Times New Roman"/>
          <w:color w:val="000000" w:themeColor="text1"/>
        </w:rPr>
        <w:t>i</w:t>
      </w:r>
      <w:r w:rsidRPr="00AE1A80">
        <w:rPr>
          <w:rFonts w:cs="Times New Roman"/>
          <w:color w:val="000000" w:themeColor="text1"/>
        </w:rPr>
        <w:t>bid para 8.10.</w:t>
      </w:r>
    </w:p>
  </w:footnote>
  <w:footnote w:id="23">
    <w:p w14:paraId="6AFAA781" w14:textId="358F987D"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Pr>
          <w:rFonts w:cs="Times New Roman"/>
          <w:color w:val="000000" w:themeColor="text1"/>
        </w:rPr>
        <w:t>i</w:t>
      </w:r>
      <w:r w:rsidRPr="00AE1A80">
        <w:rPr>
          <w:rFonts w:cs="Times New Roman"/>
          <w:color w:val="000000" w:themeColor="text1"/>
        </w:rPr>
        <w:t>bid para 8.11.</w:t>
      </w:r>
    </w:p>
  </w:footnote>
  <w:footnote w:id="24">
    <w:p w14:paraId="4E3E83EC" w14:textId="4ADC8ABC"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Pr>
          <w:rFonts w:cs="Times New Roman"/>
          <w:color w:val="000000" w:themeColor="text1"/>
        </w:rPr>
        <w:t>i</w:t>
      </w:r>
      <w:r w:rsidRPr="00AE1A80">
        <w:rPr>
          <w:rFonts w:cs="Times New Roman"/>
          <w:color w:val="000000" w:themeColor="text1"/>
        </w:rPr>
        <w:t>bid para 8.12.</w:t>
      </w:r>
    </w:p>
  </w:footnote>
  <w:footnote w:id="25">
    <w:p w14:paraId="08EDFA71" w14:textId="3DF691F6"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Pr>
          <w:rFonts w:cs="Times New Roman"/>
          <w:color w:val="000000" w:themeColor="text1"/>
        </w:rPr>
        <w:t>i</w:t>
      </w:r>
      <w:r w:rsidRPr="00AE1A80">
        <w:rPr>
          <w:rFonts w:cs="Times New Roman"/>
          <w:color w:val="000000" w:themeColor="text1"/>
        </w:rPr>
        <w:t>bid para 8.14. See also</w:t>
      </w:r>
      <w:r>
        <w:rPr>
          <w:rFonts w:cs="Times New Roman"/>
          <w:color w:val="000000" w:themeColor="text1"/>
        </w:rPr>
        <w:t>,</w:t>
      </w:r>
      <w:r w:rsidRPr="00AE1A80">
        <w:rPr>
          <w:rFonts w:cs="Times New Roman"/>
          <w:color w:val="000000" w:themeColor="text1"/>
        </w:rPr>
        <w:t xml:space="preserve"> para. 8.10, </w:t>
      </w:r>
      <w:r>
        <w:rPr>
          <w:rFonts w:cs="Times New Roman"/>
          <w:color w:val="000000" w:themeColor="text1"/>
        </w:rPr>
        <w:t>in which</w:t>
      </w:r>
      <w:r w:rsidRPr="00AE1A80">
        <w:rPr>
          <w:rFonts w:cs="Times New Roman"/>
          <w:color w:val="000000" w:themeColor="text1"/>
        </w:rPr>
        <w:t xml:space="preserve"> the HRC embodies the special relationship of indigenous people with their territory and their indigenous traditional way of life within the rights enshrined in Article 17 ICCPR. </w:t>
      </w:r>
    </w:p>
  </w:footnote>
  <w:footnote w:id="26">
    <w:p w14:paraId="3C3BBE6D" w14:textId="374A6E79" w:rsidR="000811AE" w:rsidRDefault="000811AE" w:rsidP="00BA5307">
      <w:pPr>
        <w:pStyle w:val="FootnoteText"/>
        <w:jc w:val="both"/>
      </w:pPr>
      <w:r>
        <w:rPr>
          <w:rStyle w:val="FootnoteReference"/>
        </w:rPr>
        <w:footnoteRef/>
      </w:r>
      <w:r>
        <w:t xml:space="preserve"> </w:t>
      </w:r>
      <w:r w:rsidR="00671DC7" w:rsidRPr="00965D49">
        <w:t xml:space="preserve">See, for instance, </w:t>
      </w:r>
      <w:proofErr w:type="spellStart"/>
      <w:r w:rsidR="00671DC7" w:rsidRPr="00965D49">
        <w:t>Vladislava</w:t>
      </w:r>
      <w:proofErr w:type="spellEnd"/>
      <w:r w:rsidR="00671DC7" w:rsidRPr="00965D49">
        <w:t xml:space="preserve"> Stoyanova, ‘Causation Between State Omission and Harm Within the Framework of Positive Obligations </w:t>
      </w:r>
      <w:r w:rsidR="00671DC7">
        <w:t>U</w:t>
      </w:r>
      <w:r w:rsidR="00671DC7" w:rsidRPr="00965D49">
        <w:t>nder the European Convention on Human Rights’ [2018] 18 Human Rights Law Review</w:t>
      </w:r>
      <w:r w:rsidR="00526814">
        <w:t xml:space="preserve"> 309</w:t>
      </w:r>
      <w:r w:rsidR="00671DC7">
        <w:t xml:space="preserve">, </w:t>
      </w:r>
      <w:proofErr w:type="gramStart"/>
      <w:r w:rsidR="00671DC7">
        <w:t>in particular 313-314</w:t>
      </w:r>
      <w:proofErr w:type="gramEnd"/>
      <w:r w:rsidR="00671DC7" w:rsidRPr="00965D49">
        <w:t xml:space="preserve">; Laurens </w:t>
      </w:r>
      <w:proofErr w:type="spellStart"/>
      <w:r w:rsidR="00671DC7" w:rsidRPr="00965D49">
        <w:t>Lavrysen</w:t>
      </w:r>
      <w:proofErr w:type="spellEnd"/>
      <w:r w:rsidR="00671DC7" w:rsidRPr="00965D49">
        <w:t xml:space="preserve">, ‘Causation and Positive Obligations Under the ECHR: A Reply to </w:t>
      </w:r>
      <w:proofErr w:type="spellStart"/>
      <w:r w:rsidR="00671DC7" w:rsidRPr="00965D49">
        <w:t>Vladislava</w:t>
      </w:r>
      <w:proofErr w:type="spellEnd"/>
      <w:r w:rsidR="00671DC7" w:rsidRPr="00965D49">
        <w:t xml:space="preserve"> Stoyanova’ 18 Human Rights Law Review</w:t>
      </w:r>
      <w:r w:rsidR="00526814">
        <w:t xml:space="preserve"> 705</w:t>
      </w:r>
      <w:r w:rsidR="00671DC7">
        <w:t>, in particular 708</w:t>
      </w:r>
      <w:r w:rsidR="00671DC7" w:rsidRPr="00965D49">
        <w:t>.</w:t>
      </w:r>
    </w:p>
  </w:footnote>
  <w:footnote w:id="27">
    <w:p w14:paraId="7A9BA6A4" w14:textId="65834C33"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See Christina Voigt’s analysis that criticises the HRC on this point</w:t>
      </w:r>
      <w:r w:rsidR="00882954">
        <w:rPr>
          <w:rFonts w:cs="Times New Roman"/>
          <w:color w:val="000000" w:themeColor="text1"/>
        </w:rPr>
        <w:t xml:space="preserve"> (</w:t>
      </w:r>
      <w:r w:rsidRPr="00AE1A80">
        <w:rPr>
          <w:rFonts w:cs="Times New Roman"/>
          <w:color w:val="000000" w:themeColor="text1"/>
        </w:rPr>
        <w:t xml:space="preserve">Christina Voigt, </w:t>
      </w:r>
      <w:r>
        <w:rPr>
          <w:rFonts w:cs="Times New Roman"/>
          <w:color w:val="000000" w:themeColor="text1"/>
        </w:rPr>
        <w:t>‘</w:t>
      </w:r>
      <w:r w:rsidRPr="00AE1A80">
        <w:rPr>
          <w:rFonts w:cs="Times New Roman"/>
          <w:color w:val="000000" w:themeColor="text1"/>
        </w:rPr>
        <w:t>UNHRC is Turning up the Heat: Human Rights Violations Due to Inadequate Adaptation Action to Climate Change</w:t>
      </w:r>
      <w:r>
        <w:rPr>
          <w:rFonts w:cs="Times New Roman"/>
          <w:color w:val="000000" w:themeColor="text1"/>
        </w:rPr>
        <w:t>’</w:t>
      </w:r>
      <w:r w:rsidRPr="00AE1A80">
        <w:rPr>
          <w:rFonts w:cs="Times New Roman"/>
          <w:color w:val="000000" w:themeColor="text1"/>
        </w:rPr>
        <w:t xml:space="preserve"> </w:t>
      </w:r>
      <w:r>
        <w:rPr>
          <w:rFonts w:cs="Times New Roman"/>
          <w:color w:val="000000" w:themeColor="text1"/>
        </w:rPr>
        <w:t>(</w:t>
      </w:r>
      <w:r w:rsidRPr="00AE1A80">
        <w:rPr>
          <w:rFonts w:cs="Times New Roman"/>
          <w:i/>
          <w:iCs/>
          <w:color w:val="000000" w:themeColor="text1"/>
        </w:rPr>
        <w:t xml:space="preserve">EJIL: </w:t>
      </w:r>
      <w:proofErr w:type="gramStart"/>
      <w:r w:rsidRPr="00AE1A80">
        <w:rPr>
          <w:rFonts w:cs="Times New Roman"/>
          <w:i/>
          <w:iCs/>
          <w:color w:val="000000" w:themeColor="text1"/>
        </w:rPr>
        <w:t>Talk!</w:t>
      </w:r>
      <w:r w:rsidRPr="00AE1A80">
        <w:rPr>
          <w:rFonts w:cs="Times New Roman"/>
          <w:color w:val="000000" w:themeColor="text1"/>
        </w:rPr>
        <w:t>,</w:t>
      </w:r>
      <w:proofErr w:type="gramEnd"/>
      <w:r w:rsidRPr="00AE1A80">
        <w:rPr>
          <w:rFonts w:cs="Times New Roman"/>
          <w:color w:val="000000" w:themeColor="text1"/>
        </w:rPr>
        <w:t xml:space="preserve"> 26 September 2022</w:t>
      </w:r>
      <w:r>
        <w:rPr>
          <w:rFonts w:cs="Times New Roman"/>
          <w:color w:val="000000" w:themeColor="text1"/>
        </w:rPr>
        <w:t>)</w:t>
      </w:r>
      <w:r w:rsidRPr="00AE1A80">
        <w:rPr>
          <w:rFonts w:cs="Times New Roman"/>
          <w:color w:val="000000" w:themeColor="text1"/>
        </w:rPr>
        <w:t xml:space="preserve"> &lt;https://www.ejiltalk.org/unhrc-is-turning-up-the-heat-human-rights-violations-due-to-inadequate-adaptation-action-to-climate-change/&gt;</w:t>
      </w:r>
      <w:r>
        <w:rPr>
          <w:rFonts w:cs="Times New Roman"/>
          <w:color w:val="000000" w:themeColor="text1"/>
        </w:rPr>
        <w:t xml:space="preserve"> accessed 1</w:t>
      </w:r>
      <w:r w:rsidR="002B1623">
        <w:rPr>
          <w:rFonts w:cs="Times New Roman"/>
          <w:color w:val="000000" w:themeColor="text1"/>
        </w:rPr>
        <w:t>0</w:t>
      </w:r>
      <w:r>
        <w:rPr>
          <w:rFonts w:cs="Times New Roman"/>
          <w:color w:val="000000" w:themeColor="text1"/>
        </w:rPr>
        <w:t xml:space="preserve"> December 2022</w:t>
      </w:r>
      <w:r w:rsidR="00097762">
        <w:rPr>
          <w:rFonts w:cs="Times New Roman"/>
          <w:color w:val="000000" w:themeColor="text1"/>
        </w:rPr>
        <w:t>)</w:t>
      </w:r>
      <w:r>
        <w:rPr>
          <w:rFonts w:cs="Times New Roman"/>
          <w:color w:val="000000" w:themeColor="text1"/>
        </w:rPr>
        <w:t>.</w:t>
      </w:r>
      <w:r w:rsidRPr="00893310">
        <w:rPr>
          <w:rFonts w:cs="Times New Roman"/>
          <w:color w:val="000000" w:themeColor="text1"/>
        </w:rPr>
        <w:t> </w:t>
      </w:r>
      <w:r w:rsidRPr="00AE1A80">
        <w:rPr>
          <w:rFonts w:cs="Times New Roman"/>
          <w:color w:val="000000" w:themeColor="text1"/>
        </w:rPr>
        <w:t xml:space="preserve">Valentin </w:t>
      </w:r>
      <w:proofErr w:type="spellStart"/>
      <w:r w:rsidRPr="00AE1A80">
        <w:rPr>
          <w:rFonts w:cs="Times New Roman"/>
          <w:color w:val="000000" w:themeColor="text1"/>
        </w:rPr>
        <w:t>Büchi</w:t>
      </w:r>
      <w:proofErr w:type="spellEnd"/>
      <w:r w:rsidRPr="00AE1A80">
        <w:rPr>
          <w:rFonts w:cs="Times New Roman"/>
          <w:color w:val="000000" w:themeColor="text1"/>
        </w:rPr>
        <w:t xml:space="preserve"> makes the same point concerning </w:t>
      </w:r>
      <w:proofErr w:type="gramStart"/>
      <w:r w:rsidRPr="00AE1A80">
        <w:rPr>
          <w:rFonts w:cs="Times New Roman"/>
          <w:color w:val="000000" w:themeColor="text1"/>
        </w:rPr>
        <w:t>in particular the</w:t>
      </w:r>
      <w:proofErr w:type="gramEnd"/>
      <w:r w:rsidRPr="00AE1A80">
        <w:rPr>
          <w:rFonts w:cs="Times New Roman"/>
          <w:color w:val="000000" w:themeColor="text1"/>
        </w:rPr>
        <w:t xml:space="preserve"> right to life</w:t>
      </w:r>
      <w:r w:rsidR="00097762">
        <w:rPr>
          <w:rFonts w:cs="Times New Roman"/>
          <w:color w:val="000000" w:themeColor="text1"/>
        </w:rPr>
        <w:t xml:space="preserve"> (</w:t>
      </w:r>
      <w:r>
        <w:rPr>
          <w:rFonts w:cs="Times New Roman"/>
          <w:color w:val="000000" w:themeColor="text1"/>
        </w:rPr>
        <w:t xml:space="preserve">Valentin </w:t>
      </w:r>
      <w:proofErr w:type="spellStart"/>
      <w:r w:rsidRPr="00AE1A80">
        <w:rPr>
          <w:rFonts w:cs="Times New Roman"/>
          <w:color w:val="000000" w:themeColor="text1"/>
        </w:rPr>
        <w:t>Büchi</w:t>
      </w:r>
      <w:proofErr w:type="spellEnd"/>
      <w:r>
        <w:rPr>
          <w:rFonts w:cs="Times New Roman"/>
          <w:color w:val="000000" w:themeColor="text1"/>
        </w:rPr>
        <w:t>,</w:t>
      </w:r>
      <w:r w:rsidRPr="00AE1A80">
        <w:rPr>
          <w:rFonts w:cs="Times New Roman"/>
          <w:color w:val="000000" w:themeColor="text1"/>
        </w:rPr>
        <w:t xml:space="preserve"> </w:t>
      </w:r>
      <w:r>
        <w:rPr>
          <w:rFonts w:cs="Times New Roman"/>
          <w:color w:val="000000" w:themeColor="text1"/>
        </w:rPr>
        <w:t>‘</w:t>
      </w:r>
      <w:r w:rsidRPr="00AE1A80">
        <w:rPr>
          <w:rFonts w:cs="Times New Roman"/>
          <w:color w:val="000000" w:themeColor="text1"/>
        </w:rPr>
        <w:t>Tiptoeing Around the Right to Life: Climate Change and the Right to Life After the Torres Strait Islanders Decision</w:t>
      </w:r>
      <w:r>
        <w:rPr>
          <w:rFonts w:cs="Times New Roman"/>
          <w:color w:val="000000" w:themeColor="text1"/>
        </w:rPr>
        <w:t>’</w:t>
      </w:r>
      <w:r w:rsidRPr="00AE1A80">
        <w:rPr>
          <w:rFonts w:cs="Times New Roman"/>
          <w:color w:val="000000" w:themeColor="text1"/>
        </w:rPr>
        <w:t xml:space="preserve"> </w:t>
      </w:r>
      <w:r>
        <w:rPr>
          <w:rFonts w:cs="Times New Roman"/>
          <w:color w:val="000000" w:themeColor="text1"/>
        </w:rPr>
        <w:t>(</w:t>
      </w:r>
      <w:proofErr w:type="spellStart"/>
      <w:r w:rsidRPr="00AE1A80">
        <w:rPr>
          <w:rFonts w:cs="Times New Roman"/>
          <w:i/>
          <w:iCs/>
          <w:color w:val="000000" w:themeColor="text1"/>
        </w:rPr>
        <w:t>Völkerrechtsblog</w:t>
      </w:r>
      <w:proofErr w:type="spellEnd"/>
      <w:r w:rsidRPr="00AE1A80">
        <w:rPr>
          <w:rFonts w:cs="Times New Roman"/>
          <w:i/>
          <w:iCs/>
          <w:color w:val="000000" w:themeColor="text1"/>
        </w:rPr>
        <w:t>,</w:t>
      </w:r>
      <w:r w:rsidRPr="00AE1A80">
        <w:rPr>
          <w:rFonts w:cs="Times New Roman"/>
          <w:color w:val="000000" w:themeColor="text1"/>
        </w:rPr>
        <w:t xml:space="preserve"> 04 October 2022</w:t>
      </w:r>
      <w:r>
        <w:rPr>
          <w:rFonts w:cs="Times New Roman"/>
          <w:color w:val="000000" w:themeColor="text1"/>
        </w:rPr>
        <w:t>)</w:t>
      </w:r>
      <w:r w:rsidRPr="00AE1A80">
        <w:rPr>
          <w:rFonts w:cs="Times New Roman"/>
          <w:color w:val="000000" w:themeColor="text1"/>
        </w:rPr>
        <w:t xml:space="preserve"> &lt;https://voelkerrechtsblog.org/tiptoeing-around-the-right-to-life/&gt;</w:t>
      </w:r>
      <w:r>
        <w:rPr>
          <w:rFonts w:cs="Times New Roman"/>
          <w:color w:val="000000" w:themeColor="text1"/>
        </w:rPr>
        <w:t xml:space="preserve"> accessed 1</w:t>
      </w:r>
      <w:r w:rsidR="00693BF1">
        <w:rPr>
          <w:rFonts w:cs="Times New Roman"/>
          <w:color w:val="000000" w:themeColor="text1"/>
        </w:rPr>
        <w:t>0</w:t>
      </w:r>
      <w:r>
        <w:rPr>
          <w:rFonts w:cs="Times New Roman"/>
          <w:color w:val="000000" w:themeColor="text1"/>
        </w:rPr>
        <w:t xml:space="preserve"> December 2022</w:t>
      </w:r>
      <w:r w:rsidR="00097762">
        <w:rPr>
          <w:rFonts w:cs="Times New Roman"/>
          <w:color w:val="000000" w:themeColor="text1"/>
        </w:rPr>
        <w:t>)</w:t>
      </w:r>
      <w:r w:rsidRPr="00AE1A80">
        <w:rPr>
          <w:rFonts w:cs="Times New Roman"/>
          <w:color w:val="000000" w:themeColor="text1"/>
        </w:rPr>
        <w:t>.</w:t>
      </w:r>
      <w:r w:rsidRPr="00AE1A80">
        <w:rPr>
          <w:rFonts w:cs="Times New Roman"/>
          <w:i/>
          <w:iCs/>
          <w:color w:val="000000" w:themeColor="text1"/>
        </w:rPr>
        <w:t> </w:t>
      </w:r>
      <w:r w:rsidRPr="00AE1A80">
        <w:rPr>
          <w:rFonts w:cs="Times New Roman"/>
          <w:color w:val="000000" w:themeColor="text1"/>
        </w:rPr>
        <w:t>See also</w:t>
      </w:r>
      <w:r>
        <w:rPr>
          <w:rFonts w:cs="Times New Roman"/>
          <w:color w:val="000000" w:themeColor="text1"/>
        </w:rPr>
        <w:t>,</w:t>
      </w:r>
      <w:r w:rsidRPr="00AE1A80">
        <w:rPr>
          <w:rFonts w:cs="Times New Roman"/>
          <w:color w:val="000000" w:themeColor="text1"/>
        </w:rPr>
        <w:t xml:space="preserve"> on the same issue</w:t>
      </w:r>
      <w:r>
        <w:rPr>
          <w:rFonts w:cs="Times New Roman"/>
          <w:color w:val="000000" w:themeColor="text1"/>
        </w:rPr>
        <w:t>,</w:t>
      </w:r>
      <w:r w:rsidRPr="00AE1A80">
        <w:rPr>
          <w:rFonts w:cs="Times New Roman"/>
          <w:color w:val="000000" w:themeColor="text1"/>
        </w:rPr>
        <w:t xml:space="preserve"> </w:t>
      </w:r>
      <w:r w:rsidR="00097762">
        <w:rPr>
          <w:rFonts w:cs="Times New Roman"/>
          <w:color w:val="000000" w:themeColor="text1"/>
        </w:rPr>
        <w:t>n</w:t>
      </w:r>
      <w:r w:rsidRPr="00AE1A80">
        <w:rPr>
          <w:rFonts w:cs="Times New Roman"/>
          <w:color w:val="000000" w:themeColor="text1"/>
        </w:rPr>
        <w:t xml:space="preserve"> </w:t>
      </w:r>
      <w:r w:rsidR="00D91D3D">
        <w:rPr>
          <w:rFonts w:cs="Times New Roman"/>
          <w:color w:val="000000" w:themeColor="text1"/>
        </w:rPr>
        <w:t>30</w:t>
      </w:r>
      <w:r w:rsidRPr="00AE1A80">
        <w:rPr>
          <w:rFonts w:cs="Times New Roman"/>
          <w:color w:val="000000" w:themeColor="text1"/>
        </w:rPr>
        <w:t xml:space="preserve">. </w:t>
      </w:r>
    </w:p>
  </w:footnote>
  <w:footnote w:id="28">
    <w:p w14:paraId="25AC007C" w14:textId="44A83F2B"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Laurens </w:t>
      </w:r>
      <w:proofErr w:type="spellStart"/>
      <w:r w:rsidRPr="00AE1A80">
        <w:rPr>
          <w:rFonts w:cs="Times New Roman"/>
          <w:color w:val="000000" w:themeColor="text1"/>
        </w:rPr>
        <w:t>Lavrysen</w:t>
      </w:r>
      <w:proofErr w:type="spellEnd"/>
      <w:r w:rsidRPr="00AE1A80">
        <w:rPr>
          <w:rFonts w:cs="Times New Roman"/>
          <w:color w:val="000000" w:themeColor="text1"/>
        </w:rPr>
        <w:t xml:space="preserve">, </w:t>
      </w:r>
      <w:r w:rsidRPr="00AE1A80">
        <w:rPr>
          <w:rFonts w:cs="Times New Roman"/>
          <w:i/>
          <w:iCs/>
          <w:color w:val="000000" w:themeColor="text1"/>
        </w:rPr>
        <w:t xml:space="preserve">Human Rights in a Positive State: Rethinking the Relationship </w:t>
      </w:r>
      <w:r>
        <w:rPr>
          <w:rFonts w:cs="Times New Roman"/>
          <w:i/>
          <w:iCs/>
          <w:color w:val="000000" w:themeColor="text1"/>
        </w:rPr>
        <w:t>B</w:t>
      </w:r>
      <w:r w:rsidRPr="00AE1A80">
        <w:rPr>
          <w:rFonts w:cs="Times New Roman"/>
          <w:i/>
          <w:iCs/>
          <w:color w:val="000000" w:themeColor="text1"/>
        </w:rPr>
        <w:t>etween Positive and Negative Obligations under the European Convention on Human Rights</w:t>
      </w:r>
      <w:r w:rsidRPr="00AE1A80">
        <w:rPr>
          <w:rFonts w:cs="Times New Roman"/>
          <w:color w:val="000000" w:themeColor="text1"/>
        </w:rPr>
        <w:t xml:space="preserve"> (</w:t>
      </w:r>
      <w:proofErr w:type="spellStart"/>
      <w:r w:rsidRPr="00AE1A80">
        <w:rPr>
          <w:rFonts w:cs="Times New Roman"/>
          <w:color w:val="000000" w:themeColor="text1"/>
        </w:rPr>
        <w:t>Intersentia</w:t>
      </w:r>
      <w:proofErr w:type="spellEnd"/>
      <w:r w:rsidRPr="00AE1A80">
        <w:rPr>
          <w:rFonts w:cs="Times New Roman"/>
          <w:color w:val="000000" w:themeColor="text1"/>
        </w:rPr>
        <w:t xml:space="preserve"> 2016) 158-166.</w:t>
      </w:r>
    </w:p>
  </w:footnote>
  <w:footnote w:id="29">
    <w:p w14:paraId="5B694CAC" w14:textId="2BF5D320" w:rsidR="000811AE" w:rsidRPr="00AE1A80" w:rsidRDefault="000811AE" w:rsidP="00BA5307">
      <w:pPr>
        <w:pStyle w:val="FootnoteText"/>
        <w:jc w:val="both"/>
        <w:rPr>
          <w:rFonts w:cs="Times New Roman"/>
        </w:rPr>
      </w:pPr>
      <w:r w:rsidRPr="00AE1A80">
        <w:rPr>
          <w:rStyle w:val="FootnoteReference"/>
          <w:rFonts w:cs="Times New Roman"/>
        </w:rPr>
        <w:footnoteRef/>
      </w:r>
      <w:r w:rsidRPr="00AE1A80">
        <w:rPr>
          <w:rFonts w:cs="Times New Roman"/>
        </w:rPr>
        <w:t xml:space="preserve"> Vassilis P </w:t>
      </w:r>
      <w:r w:rsidRPr="00AE1A80">
        <w:rPr>
          <w:rFonts w:cs="Times New Roman"/>
          <w:color w:val="000000"/>
          <w:shd w:val="clear" w:color="auto" w:fill="FFFFFF"/>
        </w:rPr>
        <w:t>Tzevelekos</w:t>
      </w:r>
      <w:r>
        <w:rPr>
          <w:rFonts w:cs="Times New Roman"/>
          <w:color w:val="000000"/>
          <w:shd w:val="clear" w:color="auto" w:fill="FFFFFF"/>
        </w:rPr>
        <w:t xml:space="preserve"> and</w:t>
      </w:r>
      <w:r w:rsidRPr="00AE1A80">
        <w:rPr>
          <w:rFonts w:cs="Times New Roman"/>
          <w:color w:val="000000"/>
          <w:shd w:val="clear" w:color="auto" w:fill="FFFFFF"/>
        </w:rPr>
        <w:t xml:space="preserve"> Kanstantsin Dzehtsiarou, </w:t>
      </w:r>
      <w:r>
        <w:rPr>
          <w:rFonts w:cs="Times New Roman"/>
          <w:color w:val="000000"/>
          <w:shd w:val="clear" w:color="auto" w:fill="FFFFFF"/>
        </w:rPr>
        <w:t>‘</w:t>
      </w:r>
      <w:r w:rsidRPr="00AE1A80">
        <w:rPr>
          <w:rFonts w:cs="Times New Roman"/>
          <w:color w:val="000000"/>
          <w:shd w:val="clear" w:color="auto" w:fill="FFFFFF"/>
        </w:rPr>
        <w:t>Climate Change: The World and the ECtHR in Unchartered Waters</w:t>
      </w:r>
      <w:r>
        <w:rPr>
          <w:rFonts w:cs="Times New Roman"/>
          <w:color w:val="000000"/>
          <w:shd w:val="clear" w:color="auto" w:fill="FFFFFF"/>
        </w:rPr>
        <w:t>’</w:t>
      </w:r>
      <w:r w:rsidRPr="00AE1A80">
        <w:rPr>
          <w:rFonts w:cs="Times New Roman"/>
          <w:color w:val="000000"/>
          <w:shd w:val="clear" w:color="auto" w:fill="FFFFFF"/>
        </w:rPr>
        <w:t xml:space="preserve"> </w:t>
      </w:r>
      <w:r>
        <w:rPr>
          <w:rFonts w:cs="Times New Roman"/>
          <w:color w:val="000000"/>
          <w:shd w:val="clear" w:color="auto" w:fill="FFFFFF"/>
        </w:rPr>
        <w:t>[</w:t>
      </w:r>
      <w:r w:rsidRPr="00AE1A80">
        <w:rPr>
          <w:rFonts w:cs="Times New Roman"/>
          <w:color w:val="000000"/>
          <w:shd w:val="clear" w:color="auto" w:fill="FFFFFF"/>
        </w:rPr>
        <w:t>2022</w:t>
      </w:r>
      <w:r>
        <w:rPr>
          <w:rFonts w:cs="Times New Roman"/>
          <w:color w:val="000000"/>
          <w:shd w:val="clear" w:color="auto" w:fill="FFFFFF"/>
        </w:rPr>
        <w:t>] 3</w:t>
      </w:r>
      <w:r w:rsidRPr="00AE1A80">
        <w:rPr>
          <w:rFonts w:cs="Times New Roman"/>
          <w:color w:val="000000"/>
          <w:shd w:val="clear" w:color="auto" w:fill="FFFFFF"/>
        </w:rPr>
        <w:t> </w:t>
      </w:r>
      <w:r w:rsidRPr="00AE1A80">
        <w:rPr>
          <w:rStyle w:val="Emphasis"/>
          <w:rFonts w:cs="Times New Roman"/>
          <w:color w:val="000000"/>
          <w:shd w:val="clear" w:color="auto" w:fill="FFFFFF"/>
        </w:rPr>
        <w:t>European Convention on Human Rights Law Review</w:t>
      </w:r>
      <w:r w:rsidRPr="00AE1A80">
        <w:rPr>
          <w:rFonts w:cs="Times New Roman"/>
          <w:color w:val="000000"/>
          <w:shd w:val="clear" w:color="auto" w:fill="FFFFFF"/>
        </w:rPr>
        <w:t xml:space="preserve"> 1.</w:t>
      </w:r>
    </w:p>
  </w:footnote>
  <w:footnote w:id="30">
    <w:p w14:paraId="1862409A" w14:textId="1436C010"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See</w:t>
      </w:r>
      <w:r w:rsidR="00CA1121">
        <w:rPr>
          <w:rFonts w:cs="Times New Roman"/>
          <w:color w:val="000000" w:themeColor="text1"/>
        </w:rPr>
        <w:t>,</w:t>
      </w:r>
      <w:r w:rsidRPr="00AE1A80">
        <w:rPr>
          <w:rFonts w:cs="Times New Roman"/>
          <w:color w:val="000000" w:themeColor="text1"/>
        </w:rPr>
        <w:t xml:space="preserve"> for instance</w:t>
      </w:r>
      <w:r w:rsidR="00CA1121">
        <w:rPr>
          <w:rFonts w:cs="Times New Roman"/>
          <w:color w:val="000000" w:themeColor="text1"/>
        </w:rPr>
        <w:t>,</w:t>
      </w:r>
      <w:r w:rsidRPr="00AE1A80">
        <w:rPr>
          <w:rFonts w:cs="Times New Roman"/>
          <w:color w:val="000000" w:themeColor="text1"/>
        </w:rPr>
        <w:t xml:space="preserve"> </w:t>
      </w:r>
      <w:r w:rsidR="00996BD6" w:rsidRPr="00AE1A80">
        <w:rPr>
          <w:rFonts w:cs="Times New Roman"/>
          <w:i/>
          <w:iCs/>
          <w:color w:val="000000" w:themeColor="text1"/>
        </w:rPr>
        <w:t>Torres Strait Islanders</w:t>
      </w:r>
      <w:r w:rsidR="00996BD6">
        <w:rPr>
          <w:rFonts w:cs="Times New Roman"/>
          <w:color w:val="000000" w:themeColor="text1"/>
        </w:rPr>
        <w:t xml:space="preserve"> (n</w:t>
      </w:r>
      <w:r w:rsidR="00996BD6" w:rsidRPr="00AE1A80">
        <w:rPr>
          <w:rFonts w:cs="Times New Roman"/>
          <w:color w:val="000000" w:themeColor="text1"/>
        </w:rPr>
        <w:t xml:space="preserve"> 1</w:t>
      </w:r>
      <w:r w:rsidR="00996BD6">
        <w:rPr>
          <w:rFonts w:cs="Times New Roman"/>
          <w:color w:val="000000" w:themeColor="text1"/>
        </w:rPr>
        <w:t xml:space="preserve">) </w:t>
      </w:r>
      <w:r w:rsidR="00E47986">
        <w:rPr>
          <w:rFonts w:cs="Times New Roman"/>
          <w:color w:val="000000" w:themeColor="text1"/>
        </w:rPr>
        <w:t>I</w:t>
      </w:r>
      <w:r w:rsidRPr="00AE1A80">
        <w:rPr>
          <w:rFonts w:cs="Times New Roman"/>
          <w:color w:val="000000" w:themeColor="text1"/>
        </w:rPr>
        <w:t xml:space="preserve">ndividual </w:t>
      </w:r>
      <w:r w:rsidR="00E47986">
        <w:rPr>
          <w:rFonts w:cs="Times New Roman"/>
          <w:color w:val="000000" w:themeColor="text1"/>
        </w:rPr>
        <w:t>O</w:t>
      </w:r>
      <w:r w:rsidRPr="00AE1A80">
        <w:rPr>
          <w:rFonts w:cs="Times New Roman"/>
          <w:color w:val="000000" w:themeColor="text1"/>
        </w:rPr>
        <w:t xml:space="preserve">pinion by the </w:t>
      </w:r>
      <w:r w:rsidR="00E47986">
        <w:rPr>
          <w:rFonts w:cs="Times New Roman"/>
          <w:color w:val="000000" w:themeColor="text1"/>
        </w:rPr>
        <w:t>M</w:t>
      </w:r>
      <w:r w:rsidRPr="00AE1A80">
        <w:rPr>
          <w:rFonts w:cs="Times New Roman"/>
          <w:color w:val="000000" w:themeColor="text1"/>
        </w:rPr>
        <w:t xml:space="preserve">ember of the HRC </w:t>
      </w:r>
      <w:r w:rsidRPr="00AE1A80">
        <w:rPr>
          <w:rFonts w:cs="Times New Roman"/>
          <w:color w:val="000000" w:themeColor="text1"/>
          <w:lang w:val="en-US"/>
        </w:rPr>
        <w:t xml:space="preserve">Duncan </w:t>
      </w:r>
      <w:proofErr w:type="spellStart"/>
      <w:r w:rsidRPr="00AE1A80">
        <w:rPr>
          <w:rFonts w:cs="Times New Roman"/>
          <w:color w:val="000000" w:themeColor="text1"/>
          <w:lang w:val="en-US"/>
        </w:rPr>
        <w:t>Laki</w:t>
      </w:r>
      <w:proofErr w:type="spellEnd"/>
      <w:r w:rsidRPr="00AE1A80">
        <w:rPr>
          <w:rFonts w:cs="Times New Roman"/>
          <w:color w:val="000000" w:themeColor="text1"/>
          <w:lang w:val="en-US"/>
        </w:rPr>
        <w:t xml:space="preserve"> </w:t>
      </w:r>
      <w:proofErr w:type="spellStart"/>
      <w:r w:rsidRPr="00AE1A80">
        <w:rPr>
          <w:rFonts w:cs="Times New Roman"/>
          <w:color w:val="000000" w:themeColor="text1"/>
          <w:lang w:val="en-US"/>
        </w:rPr>
        <w:t>Muhumuza</w:t>
      </w:r>
      <w:proofErr w:type="spellEnd"/>
      <w:r w:rsidRPr="00AE1A80">
        <w:rPr>
          <w:rFonts w:cs="Times New Roman"/>
          <w:color w:val="000000" w:themeColor="text1"/>
          <w:lang w:val="en-US"/>
        </w:rPr>
        <w:t xml:space="preserve"> </w:t>
      </w:r>
      <w:r w:rsidR="00E47986">
        <w:rPr>
          <w:rFonts w:cs="Times New Roman"/>
          <w:color w:val="000000" w:themeColor="text1"/>
          <w:lang w:val="en-US"/>
        </w:rPr>
        <w:t>para 11,</w:t>
      </w:r>
      <w:r w:rsidRPr="00AE1A80">
        <w:rPr>
          <w:rFonts w:cs="Times New Roman"/>
          <w:color w:val="000000" w:themeColor="text1"/>
          <w:lang w:val="en-US"/>
        </w:rPr>
        <w:t xml:space="preserve"> </w:t>
      </w:r>
      <w:r w:rsidRPr="00AE1A80">
        <w:rPr>
          <w:rFonts w:cs="Times New Roman"/>
          <w:color w:val="000000" w:themeColor="text1"/>
        </w:rPr>
        <w:t xml:space="preserve">noting that </w:t>
      </w:r>
      <w:r w:rsidR="0089688E">
        <w:rPr>
          <w:rFonts w:cs="Times New Roman"/>
          <w:color w:val="000000" w:themeColor="text1"/>
        </w:rPr>
        <w:t>‘</w:t>
      </w:r>
      <w:r w:rsidRPr="00AE1A80">
        <w:rPr>
          <w:rFonts w:cs="Times New Roman"/>
          <w:color w:val="000000" w:themeColor="text1"/>
        </w:rPr>
        <w:t>the State Party has not taken any measures to reduce greenhouse gas emissions and cease the promotion of fossil fuel extraction and use</w:t>
      </w:r>
      <w:r w:rsidR="0089688E">
        <w:rPr>
          <w:rFonts w:cs="Times New Roman"/>
          <w:color w:val="000000" w:themeColor="text1"/>
        </w:rPr>
        <w:t>’</w:t>
      </w:r>
      <w:r w:rsidRPr="00AE1A80">
        <w:rPr>
          <w:rFonts w:cs="Times New Roman"/>
          <w:color w:val="000000" w:themeColor="text1"/>
        </w:rPr>
        <w:t>. In similar terms, in his concurring individual opinion</w:t>
      </w:r>
      <w:r w:rsidR="0082186C">
        <w:rPr>
          <w:rFonts w:cs="Times New Roman"/>
          <w:color w:val="000000" w:themeColor="text1"/>
        </w:rPr>
        <w:t>,</w:t>
      </w:r>
      <w:r w:rsidRPr="00AE1A80">
        <w:rPr>
          <w:rFonts w:cs="Times New Roman"/>
          <w:color w:val="000000" w:themeColor="text1"/>
        </w:rPr>
        <w:t xml:space="preserve"> the member of the HRC Gentian </w:t>
      </w:r>
      <w:proofErr w:type="spellStart"/>
      <w:r w:rsidRPr="00AE1A80">
        <w:rPr>
          <w:rFonts w:cs="Times New Roman"/>
          <w:color w:val="000000" w:themeColor="text1"/>
        </w:rPr>
        <w:t>Zyberi</w:t>
      </w:r>
      <w:proofErr w:type="spellEnd"/>
      <w:r w:rsidRPr="00AE1A80">
        <w:rPr>
          <w:rFonts w:cs="Times New Roman"/>
          <w:color w:val="000000" w:themeColor="text1"/>
        </w:rPr>
        <w:t xml:space="preserve"> </w:t>
      </w:r>
      <w:r>
        <w:rPr>
          <w:rFonts w:cs="Times New Roman"/>
          <w:color w:val="000000" w:themeColor="text1"/>
        </w:rPr>
        <w:t>holds that</w:t>
      </w:r>
      <w:r w:rsidRPr="00AE1A80">
        <w:rPr>
          <w:rFonts w:cs="Times New Roman"/>
          <w:color w:val="000000" w:themeColor="text1"/>
        </w:rPr>
        <w:t xml:space="preserve"> </w:t>
      </w:r>
      <w:r w:rsidR="0089688E">
        <w:rPr>
          <w:rFonts w:cs="Times New Roman"/>
          <w:color w:val="000000" w:themeColor="text1"/>
        </w:rPr>
        <w:t>‘</w:t>
      </w:r>
      <w:r w:rsidRPr="00AE1A80">
        <w:rPr>
          <w:rFonts w:cs="Times New Roman"/>
          <w:color w:val="000000" w:themeColor="text1"/>
        </w:rPr>
        <w:t>the due diligence standard requires States to set their national climate mitigation targets at the level of their highest possible ambition and to pursue effective domestic mitigation measures with the aim of achieving those targets</w:t>
      </w:r>
      <w:r w:rsidR="0089688E">
        <w:rPr>
          <w:rFonts w:cs="Times New Roman"/>
          <w:color w:val="000000" w:themeColor="text1"/>
        </w:rPr>
        <w:t>’</w:t>
      </w:r>
      <w:r w:rsidRPr="00AE1A80">
        <w:rPr>
          <w:rFonts w:cs="Times New Roman"/>
          <w:color w:val="000000" w:themeColor="text1"/>
        </w:rPr>
        <w:t xml:space="preserve"> (para 3 of the </w:t>
      </w:r>
      <w:r w:rsidR="00EA286F">
        <w:rPr>
          <w:rFonts w:cs="Times New Roman"/>
          <w:color w:val="000000" w:themeColor="text1"/>
        </w:rPr>
        <w:t>Individual O</w:t>
      </w:r>
      <w:r w:rsidRPr="00AE1A80">
        <w:rPr>
          <w:rFonts w:cs="Times New Roman"/>
          <w:color w:val="000000" w:themeColor="text1"/>
        </w:rPr>
        <w:t xml:space="preserve">pinion). </w:t>
      </w:r>
    </w:p>
  </w:footnote>
  <w:footnote w:id="31">
    <w:p w14:paraId="38634147" w14:textId="13EF2C22" w:rsidR="000811AE" w:rsidRPr="00965D49" w:rsidRDefault="000811AE" w:rsidP="00BA5307">
      <w:pPr>
        <w:pStyle w:val="FootnoteText"/>
        <w:jc w:val="both"/>
        <w:rPr>
          <w:rFonts w:cs="Times New Roman"/>
          <w:color w:val="000000" w:themeColor="text1"/>
          <w:lang w:val="fr-CA"/>
        </w:rPr>
      </w:pPr>
      <w:r w:rsidRPr="00AE1A80">
        <w:rPr>
          <w:rStyle w:val="FootnoteReference"/>
          <w:rFonts w:cs="Times New Roman"/>
          <w:color w:val="000000" w:themeColor="text1"/>
        </w:rPr>
        <w:footnoteRef/>
      </w:r>
      <w:r w:rsidRPr="00965D49">
        <w:rPr>
          <w:rFonts w:cs="Times New Roman"/>
          <w:color w:val="000000" w:themeColor="text1"/>
          <w:lang w:val="fr-CA"/>
        </w:rPr>
        <w:t xml:space="preserve"> </w:t>
      </w:r>
      <w:r w:rsidRPr="00965D49">
        <w:rPr>
          <w:rFonts w:cs="Times New Roman"/>
          <w:i/>
          <w:iCs/>
          <w:color w:val="000000" w:themeColor="text1"/>
          <w:lang w:val="fr-CA"/>
        </w:rPr>
        <w:t xml:space="preserve">Torres </w:t>
      </w:r>
      <w:proofErr w:type="spellStart"/>
      <w:r w:rsidRPr="00965D49">
        <w:rPr>
          <w:rFonts w:cs="Times New Roman"/>
          <w:i/>
          <w:iCs/>
          <w:color w:val="000000" w:themeColor="text1"/>
          <w:lang w:val="fr-CA"/>
        </w:rPr>
        <w:t>Strait</w:t>
      </w:r>
      <w:proofErr w:type="spellEnd"/>
      <w:r w:rsidRPr="00965D49">
        <w:rPr>
          <w:rFonts w:cs="Times New Roman"/>
          <w:i/>
          <w:iCs/>
          <w:color w:val="000000" w:themeColor="text1"/>
          <w:lang w:val="fr-CA"/>
        </w:rPr>
        <w:t xml:space="preserve"> </w:t>
      </w:r>
      <w:proofErr w:type="spellStart"/>
      <w:r w:rsidRPr="00965D49">
        <w:rPr>
          <w:rFonts w:cs="Times New Roman"/>
          <w:i/>
          <w:iCs/>
          <w:color w:val="000000" w:themeColor="text1"/>
          <w:lang w:val="fr-CA"/>
        </w:rPr>
        <w:t>Islanders</w:t>
      </w:r>
      <w:proofErr w:type="spellEnd"/>
      <w:r w:rsidR="0082186C" w:rsidRPr="00965D49">
        <w:rPr>
          <w:rFonts w:cs="Times New Roman"/>
          <w:color w:val="000000" w:themeColor="text1"/>
          <w:lang w:val="fr-CA"/>
        </w:rPr>
        <w:t xml:space="preserve"> (</w:t>
      </w:r>
      <w:r w:rsidRPr="00965D49">
        <w:rPr>
          <w:rFonts w:cs="Times New Roman"/>
          <w:color w:val="000000" w:themeColor="text1"/>
          <w:lang w:val="fr-CA"/>
        </w:rPr>
        <w:t>n 1</w:t>
      </w:r>
      <w:r w:rsidR="0082186C" w:rsidRPr="00965D49">
        <w:rPr>
          <w:rFonts w:cs="Times New Roman"/>
          <w:color w:val="000000" w:themeColor="text1"/>
          <w:lang w:val="fr-CA"/>
        </w:rPr>
        <w:t>)</w:t>
      </w:r>
      <w:r w:rsidRPr="00965D49">
        <w:rPr>
          <w:rFonts w:cs="Times New Roman"/>
          <w:color w:val="000000" w:themeColor="text1"/>
          <w:lang w:val="fr-CA"/>
        </w:rPr>
        <w:t xml:space="preserve"> para 8.11.</w:t>
      </w:r>
    </w:p>
  </w:footnote>
  <w:footnote w:id="32">
    <w:p w14:paraId="24553E24" w14:textId="4B214BAE" w:rsidR="000811AE" w:rsidRDefault="000811AE" w:rsidP="00BA5307">
      <w:pPr>
        <w:pStyle w:val="FootnoteText"/>
        <w:jc w:val="both"/>
      </w:pPr>
      <w:r>
        <w:rPr>
          <w:rStyle w:val="FootnoteReference"/>
        </w:rPr>
        <w:footnoteRef/>
      </w:r>
      <w:r>
        <w:t xml:space="preserve"> </w:t>
      </w:r>
      <w:r w:rsidR="0082186C">
        <w:rPr>
          <w:rFonts w:cs="Times New Roman"/>
          <w:color w:val="000000" w:themeColor="text1"/>
        </w:rPr>
        <w:t>i</w:t>
      </w:r>
      <w:r w:rsidRPr="00AE1A80">
        <w:rPr>
          <w:rFonts w:cs="Times New Roman"/>
          <w:color w:val="000000" w:themeColor="text1"/>
        </w:rPr>
        <w:t>bid</w:t>
      </w:r>
      <w:r>
        <w:rPr>
          <w:rFonts w:cs="Times New Roman"/>
          <w:color w:val="000000" w:themeColor="text1"/>
        </w:rPr>
        <w:t xml:space="preserve"> para 8.6.</w:t>
      </w:r>
    </w:p>
  </w:footnote>
  <w:footnote w:id="33">
    <w:p w14:paraId="0EC066B1" w14:textId="1DC188D7"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sidR="0082186C">
        <w:rPr>
          <w:rFonts w:cs="Times New Roman"/>
          <w:color w:val="000000" w:themeColor="text1"/>
        </w:rPr>
        <w:t>i</w:t>
      </w:r>
      <w:r w:rsidRPr="00AE1A80">
        <w:rPr>
          <w:rFonts w:cs="Times New Roman"/>
          <w:color w:val="000000" w:themeColor="text1"/>
        </w:rPr>
        <w:t>bid</w:t>
      </w:r>
      <w:r>
        <w:rPr>
          <w:rFonts w:cs="Times New Roman"/>
          <w:color w:val="000000" w:themeColor="text1"/>
        </w:rPr>
        <w:t xml:space="preserve"> para 8.11</w:t>
      </w:r>
      <w:r w:rsidRPr="00AE1A80">
        <w:rPr>
          <w:rFonts w:cs="Times New Roman"/>
          <w:color w:val="000000" w:themeColor="text1"/>
        </w:rPr>
        <w:t>.</w:t>
      </w:r>
    </w:p>
  </w:footnote>
  <w:footnote w:id="34">
    <w:p w14:paraId="24E56970" w14:textId="22CF4893"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sidR="0082186C">
        <w:rPr>
          <w:rFonts w:cs="Times New Roman"/>
          <w:color w:val="000000" w:themeColor="text1"/>
        </w:rPr>
        <w:t>i</w:t>
      </w:r>
      <w:r w:rsidRPr="00AE1A80">
        <w:rPr>
          <w:rFonts w:cs="Times New Roman"/>
          <w:color w:val="000000" w:themeColor="text1"/>
        </w:rPr>
        <w:t>bid para 7.8.</w:t>
      </w:r>
    </w:p>
  </w:footnote>
  <w:footnote w:id="35">
    <w:p w14:paraId="1FFB4213" w14:textId="37C7AFF0"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w:t>
      </w:r>
      <w:r w:rsidR="00DE0E67">
        <w:rPr>
          <w:rFonts w:cs="Times New Roman"/>
          <w:color w:val="000000" w:themeColor="text1"/>
        </w:rPr>
        <w:t>i</w:t>
      </w:r>
      <w:r w:rsidRPr="00AE1A80">
        <w:rPr>
          <w:rFonts w:cs="Times New Roman"/>
          <w:color w:val="000000" w:themeColor="text1"/>
        </w:rPr>
        <w:t>bid.</w:t>
      </w:r>
    </w:p>
  </w:footnote>
  <w:footnote w:id="36">
    <w:p w14:paraId="1418504E" w14:textId="5653E440" w:rsidR="000811AE" w:rsidRPr="00AE1A80" w:rsidRDefault="000811AE" w:rsidP="00BA5307">
      <w:pPr>
        <w:pStyle w:val="FootnoteText"/>
        <w:jc w:val="both"/>
        <w:rPr>
          <w:rFonts w:cs="Times New Roman"/>
        </w:rPr>
      </w:pPr>
      <w:r w:rsidRPr="00AE1A80">
        <w:rPr>
          <w:rStyle w:val="FootnoteReference"/>
          <w:rFonts w:cs="Times New Roman"/>
        </w:rPr>
        <w:footnoteRef/>
      </w:r>
      <w:r w:rsidRPr="00AE1A80">
        <w:rPr>
          <w:rFonts w:cs="Times New Roman"/>
        </w:rPr>
        <w:t xml:space="preserve"> </w:t>
      </w:r>
      <w:r w:rsidR="00DE0E67">
        <w:rPr>
          <w:rFonts w:cs="Times New Roman"/>
        </w:rPr>
        <w:t>For example</w:t>
      </w:r>
      <w:r w:rsidRPr="00AE1A80">
        <w:rPr>
          <w:rFonts w:cs="Times New Roman"/>
        </w:rPr>
        <w:t xml:space="preserve">, </w:t>
      </w:r>
      <w:r w:rsidRPr="00AE1A80">
        <w:rPr>
          <w:rStyle w:val="Emphasis"/>
          <w:rFonts w:cs="Times New Roman"/>
          <w:color w:val="000000"/>
          <w:shd w:val="clear" w:color="auto" w:fill="FFFFFF"/>
        </w:rPr>
        <w:t>The Environment and Human Rights (State Obligations in Relation to the Environment in the Context of the Protection and Guarantee of the Rights to Life and to Personal Integrity: Interpretation and Scope of Articles 4(1) and 5(2) in Relation to Articles 1(1) and 2 of the American Convention on Human Rights</w:t>
      </w:r>
      <w:r w:rsidRPr="00AE1A80">
        <w:rPr>
          <w:rFonts w:cs="Times New Roman"/>
          <w:color w:val="000000"/>
          <w:shd w:val="clear" w:color="auto" w:fill="FFFFFF"/>
        </w:rPr>
        <w:t>), Advisory Opinion </w:t>
      </w:r>
      <w:r w:rsidR="002E367E">
        <w:rPr>
          <w:rFonts w:cs="Times New Roman"/>
          <w:color w:val="000000"/>
          <w:shd w:val="clear" w:color="auto" w:fill="FFFFFF"/>
        </w:rPr>
        <w:t>OC-</w:t>
      </w:r>
      <w:r w:rsidRPr="00AE1A80">
        <w:rPr>
          <w:rFonts w:cs="Times New Roman"/>
          <w:color w:val="000000"/>
          <w:shd w:val="clear" w:color="auto" w:fill="FFFFFF"/>
        </w:rPr>
        <w:t xml:space="preserve">23/17, Inter-American Court of Human Rights </w:t>
      </w:r>
      <w:r w:rsidR="00863F1E">
        <w:rPr>
          <w:rFonts w:cs="Times New Roman"/>
          <w:color w:val="000000"/>
          <w:shd w:val="clear" w:color="auto" w:fill="FFFFFF"/>
        </w:rPr>
        <w:t xml:space="preserve">Series A No 23 </w:t>
      </w:r>
      <w:r w:rsidRPr="00AE1A80">
        <w:rPr>
          <w:rFonts w:cs="Times New Roman"/>
          <w:color w:val="000000"/>
          <w:shd w:val="clear" w:color="auto" w:fill="FFFFFF"/>
        </w:rPr>
        <w:t>(15 November 2017), in particular para 101, in which the Inter-American Court of Human Rights adopts a cause-and-effect approach regarding the exercise of extraterritorial jurisdiction in case of transboundary environmental damage.</w:t>
      </w:r>
    </w:p>
  </w:footnote>
  <w:footnote w:id="37">
    <w:p w14:paraId="6FF67006" w14:textId="4736CFDD" w:rsidR="000811AE" w:rsidRPr="00AE1A8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Maria Antonia Tigre, </w:t>
      </w:r>
      <w:r w:rsidR="002E367E">
        <w:rPr>
          <w:rFonts w:cs="Times New Roman"/>
          <w:color w:val="000000" w:themeColor="text1"/>
        </w:rPr>
        <w:t>‘</w:t>
      </w:r>
      <w:r w:rsidRPr="00AE1A80">
        <w:rPr>
          <w:rFonts w:cs="Times New Roman"/>
          <w:color w:val="000000" w:themeColor="text1"/>
        </w:rPr>
        <w:t>United Nations Human Rights Committee Finds that Australia is Violating Human Rights Obligations Towards Torres Strait Islanders for Climate Inaction</w:t>
      </w:r>
      <w:r w:rsidR="002E367E">
        <w:rPr>
          <w:rFonts w:cs="Times New Roman"/>
          <w:color w:val="000000" w:themeColor="text1"/>
        </w:rPr>
        <w:t>’</w:t>
      </w:r>
      <w:r w:rsidRPr="00AE1A80">
        <w:rPr>
          <w:rFonts w:cs="Times New Roman"/>
          <w:color w:val="000000" w:themeColor="text1"/>
        </w:rPr>
        <w:t xml:space="preserve"> </w:t>
      </w:r>
      <w:r w:rsidR="002E367E">
        <w:rPr>
          <w:rFonts w:cs="Times New Roman"/>
          <w:color w:val="000000" w:themeColor="text1"/>
        </w:rPr>
        <w:t>(</w:t>
      </w:r>
      <w:r w:rsidRPr="00AE1A80">
        <w:rPr>
          <w:rFonts w:cs="Times New Roman"/>
          <w:i/>
          <w:iCs/>
          <w:color w:val="000000" w:themeColor="text1"/>
        </w:rPr>
        <w:t>Climate Law Blog</w:t>
      </w:r>
      <w:r w:rsidRPr="00AE1A80">
        <w:rPr>
          <w:rFonts w:cs="Times New Roman"/>
          <w:color w:val="000000" w:themeColor="text1"/>
        </w:rPr>
        <w:t>, 27 September 2022</w:t>
      </w:r>
      <w:r w:rsidR="002E367E">
        <w:rPr>
          <w:rFonts w:cs="Times New Roman"/>
          <w:color w:val="000000" w:themeColor="text1"/>
        </w:rPr>
        <w:t xml:space="preserve">) </w:t>
      </w:r>
      <w:r w:rsidRPr="00AE1A80">
        <w:rPr>
          <w:rFonts w:cs="Times New Roman"/>
          <w:color w:val="000000" w:themeColor="text1"/>
        </w:rPr>
        <w:t>&lt;</w:t>
      </w:r>
      <w:r w:rsidR="002E367E" w:rsidRPr="00965D49">
        <w:rPr>
          <w:color w:val="000000" w:themeColor="text1"/>
        </w:rPr>
        <w:t>https://blogs.law.columbia.edu/climatechange/2022/09/27/u-n-human-rights-committee-finds-that-australia-is-violating-human-rights-obligations-towards-torres-strait-islanders-for-climate-inaction/</w:t>
      </w:r>
      <w:r w:rsidRPr="00AE1A80">
        <w:rPr>
          <w:rFonts w:cs="Times New Roman"/>
          <w:color w:val="000000" w:themeColor="text1"/>
        </w:rPr>
        <w:t>&gt;</w:t>
      </w:r>
      <w:r w:rsidR="002E367E">
        <w:rPr>
          <w:rFonts w:cs="Times New Roman"/>
          <w:color w:val="000000" w:themeColor="text1"/>
        </w:rPr>
        <w:t xml:space="preserve"> accessed 1</w:t>
      </w:r>
      <w:r w:rsidR="00693BF1">
        <w:rPr>
          <w:rFonts w:cs="Times New Roman"/>
          <w:color w:val="000000" w:themeColor="text1"/>
        </w:rPr>
        <w:t>0</w:t>
      </w:r>
      <w:r w:rsidR="002E367E">
        <w:rPr>
          <w:rFonts w:cs="Times New Roman"/>
          <w:color w:val="000000" w:themeColor="text1"/>
        </w:rPr>
        <w:t xml:space="preserve"> December 2022</w:t>
      </w:r>
      <w:r w:rsidRPr="00AE1A80">
        <w:rPr>
          <w:rFonts w:cs="Times New Roman"/>
          <w:color w:val="000000" w:themeColor="text1"/>
        </w:rPr>
        <w:t xml:space="preserve">. </w:t>
      </w:r>
    </w:p>
  </w:footnote>
  <w:footnote w:id="38">
    <w:p w14:paraId="5C349A47" w14:textId="4EC3023B" w:rsidR="000811AE" w:rsidRPr="00893310" w:rsidRDefault="000811AE" w:rsidP="00BA5307">
      <w:pPr>
        <w:pStyle w:val="FootnoteText"/>
        <w:jc w:val="both"/>
        <w:rPr>
          <w:rFonts w:cs="Times New Roman"/>
          <w:color w:val="000000" w:themeColor="text1"/>
        </w:rPr>
      </w:pPr>
      <w:r w:rsidRPr="00AE1A80">
        <w:rPr>
          <w:rStyle w:val="FootnoteReference"/>
          <w:rFonts w:cs="Times New Roman"/>
          <w:color w:val="000000" w:themeColor="text1"/>
        </w:rPr>
        <w:footnoteRef/>
      </w:r>
      <w:r w:rsidRPr="00AE1A80">
        <w:rPr>
          <w:rFonts w:cs="Times New Roman"/>
          <w:color w:val="000000" w:themeColor="text1"/>
        </w:rPr>
        <w:t xml:space="preserve"> Monica Feria-</w:t>
      </w:r>
      <w:proofErr w:type="spellStart"/>
      <w:r w:rsidRPr="00AE1A80">
        <w:rPr>
          <w:rFonts w:cs="Times New Roman"/>
          <w:color w:val="000000" w:themeColor="text1"/>
        </w:rPr>
        <w:t>Tinta</w:t>
      </w:r>
      <w:proofErr w:type="spellEnd"/>
      <w:r w:rsidRPr="00AE1A80">
        <w:rPr>
          <w:rFonts w:cs="Times New Roman"/>
          <w:color w:val="000000" w:themeColor="text1"/>
        </w:rPr>
        <w:t xml:space="preserve">, </w:t>
      </w:r>
      <w:r w:rsidR="000F4989">
        <w:rPr>
          <w:rFonts w:cs="Times New Roman"/>
          <w:color w:val="000000" w:themeColor="text1"/>
        </w:rPr>
        <w:t>n 2</w:t>
      </w:r>
      <w:r w:rsidRPr="00AE1A80">
        <w:rPr>
          <w:rFonts w:cs="Times New Roman"/>
          <w:color w:val="000000" w:themeColor="text1"/>
        </w:rPr>
        <w:t>.</w:t>
      </w:r>
      <w:r w:rsidRPr="00893310">
        <w:rPr>
          <w:rFonts w:cs="Times New Roman"/>
          <w:color w:val="000000" w:themeColor="text1"/>
        </w:rPr>
        <w:t> </w:t>
      </w:r>
    </w:p>
    <w:p w14:paraId="690F789F" w14:textId="77777777" w:rsidR="000811AE" w:rsidRPr="00AE1A80" w:rsidRDefault="000811AE" w:rsidP="00BA5307">
      <w:pPr>
        <w:pStyle w:val="FootnoteText"/>
        <w:jc w:val="both"/>
        <w:rPr>
          <w:rFonts w:cs="Times New Roman"/>
          <w:color w:val="000000" w:themeColor="text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2B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8E1EE5"/>
    <w:multiLevelType w:val="hybridMultilevel"/>
    <w:tmpl w:val="D20E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101648">
    <w:abstractNumId w:val="1"/>
  </w:num>
  <w:num w:numId="2" w16cid:durableId="1777023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8F"/>
    <w:rsid w:val="000024AA"/>
    <w:rsid w:val="0000663F"/>
    <w:rsid w:val="0001063F"/>
    <w:rsid w:val="0001187E"/>
    <w:rsid w:val="000146A7"/>
    <w:rsid w:val="00017F55"/>
    <w:rsid w:val="00021FD0"/>
    <w:rsid w:val="000224BC"/>
    <w:rsid w:val="000246A9"/>
    <w:rsid w:val="00027A66"/>
    <w:rsid w:val="0003362E"/>
    <w:rsid w:val="000411FD"/>
    <w:rsid w:val="000423E0"/>
    <w:rsid w:val="00042C9D"/>
    <w:rsid w:val="000439A7"/>
    <w:rsid w:val="00044A2B"/>
    <w:rsid w:val="000544FA"/>
    <w:rsid w:val="000605C6"/>
    <w:rsid w:val="00060EC0"/>
    <w:rsid w:val="00061FED"/>
    <w:rsid w:val="00062437"/>
    <w:rsid w:val="00062A76"/>
    <w:rsid w:val="00071BD1"/>
    <w:rsid w:val="00072CFA"/>
    <w:rsid w:val="00076D56"/>
    <w:rsid w:val="000811AE"/>
    <w:rsid w:val="00092359"/>
    <w:rsid w:val="00093C08"/>
    <w:rsid w:val="00096C3D"/>
    <w:rsid w:val="0009707A"/>
    <w:rsid w:val="00097762"/>
    <w:rsid w:val="000A0066"/>
    <w:rsid w:val="000A1F6C"/>
    <w:rsid w:val="000A3623"/>
    <w:rsid w:val="000A3790"/>
    <w:rsid w:val="000A5716"/>
    <w:rsid w:val="000B7AFD"/>
    <w:rsid w:val="000C1C3E"/>
    <w:rsid w:val="000C2A17"/>
    <w:rsid w:val="000C3695"/>
    <w:rsid w:val="000C4C7B"/>
    <w:rsid w:val="000C4CED"/>
    <w:rsid w:val="000C50FB"/>
    <w:rsid w:val="000C7231"/>
    <w:rsid w:val="000D46ED"/>
    <w:rsid w:val="000D65D5"/>
    <w:rsid w:val="000E00A6"/>
    <w:rsid w:val="000E2A1A"/>
    <w:rsid w:val="000E4EC9"/>
    <w:rsid w:val="000E53B0"/>
    <w:rsid w:val="000E753D"/>
    <w:rsid w:val="000F2C54"/>
    <w:rsid w:val="000F2E48"/>
    <w:rsid w:val="000F4989"/>
    <w:rsid w:val="000F68B5"/>
    <w:rsid w:val="000F6C32"/>
    <w:rsid w:val="001010C9"/>
    <w:rsid w:val="001036DE"/>
    <w:rsid w:val="00106314"/>
    <w:rsid w:val="00112428"/>
    <w:rsid w:val="00112BA8"/>
    <w:rsid w:val="00112FAA"/>
    <w:rsid w:val="00114AF5"/>
    <w:rsid w:val="001159C9"/>
    <w:rsid w:val="00122104"/>
    <w:rsid w:val="00125661"/>
    <w:rsid w:val="00136104"/>
    <w:rsid w:val="001371AA"/>
    <w:rsid w:val="001413C3"/>
    <w:rsid w:val="0014258C"/>
    <w:rsid w:val="00160A76"/>
    <w:rsid w:val="0016319E"/>
    <w:rsid w:val="00164FCC"/>
    <w:rsid w:val="0016669E"/>
    <w:rsid w:val="001805D3"/>
    <w:rsid w:val="00181B81"/>
    <w:rsid w:val="00182844"/>
    <w:rsid w:val="00182D40"/>
    <w:rsid w:val="00183F9B"/>
    <w:rsid w:val="00185DFF"/>
    <w:rsid w:val="00190716"/>
    <w:rsid w:val="001949F7"/>
    <w:rsid w:val="001A18A6"/>
    <w:rsid w:val="001A1D64"/>
    <w:rsid w:val="001A3E98"/>
    <w:rsid w:val="001A424F"/>
    <w:rsid w:val="001A5DDB"/>
    <w:rsid w:val="001A5E1D"/>
    <w:rsid w:val="001B072B"/>
    <w:rsid w:val="001B28C8"/>
    <w:rsid w:val="001B45BF"/>
    <w:rsid w:val="001B6BA4"/>
    <w:rsid w:val="001C44DB"/>
    <w:rsid w:val="001D2653"/>
    <w:rsid w:val="001D3851"/>
    <w:rsid w:val="001E0173"/>
    <w:rsid w:val="001E1FB4"/>
    <w:rsid w:val="001E3671"/>
    <w:rsid w:val="001E4178"/>
    <w:rsid w:val="001F07D3"/>
    <w:rsid w:val="001F2D59"/>
    <w:rsid w:val="0020563D"/>
    <w:rsid w:val="002073D5"/>
    <w:rsid w:val="00210BA5"/>
    <w:rsid w:val="002172C6"/>
    <w:rsid w:val="002179BB"/>
    <w:rsid w:val="00217DD5"/>
    <w:rsid w:val="00221C68"/>
    <w:rsid w:val="002227CD"/>
    <w:rsid w:val="0022299B"/>
    <w:rsid w:val="002252C1"/>
    <w:rsid w:val="0022588F"/>
    <w:rsid w:val="00225F93"/>
    <w:rsid w:val="00233193"/>
    <w:rsid w:val="00242674"/>
    <w:rsid w:val="00242F8F"/>
    <w:rsid w:val="0024475D"/>
    <w:rsid w:val="00245EDE"/>
    <w:rsid w:val="002465A9"/>
    <w:rsid w:val="00246E31"/>
    <w:rsid w:val="002504E6"/>
    <w:rsid w:val="00251554"/>
    <w:rsid w:val="00252418"/>
    <w:rsid w:val="0025319E"/>
    <w:rsid w:val="00253686"/>
    <w:rsid w:val="00253F41"/>
    <w:rsid w:val="00256B4E"/>
    <w:rsid w:val="002573D0"/>
    <w:rsid w:val="0025782E"/>
    <w:rsid w:val="00262464"/>
    <w:rsid w:val="00265916"/>
    <w:rsid w:val="00267D6F"/>
    <w:rsid w:val="00270210"/>
    <w:rsid w:val="0027168E"/>
    <w:rsid w:val="00274E39"/>
    <w:rsid w:val="00280DD8"/>
    <w:rsid w:val="0028658B"/>
    <w:rsid w:val="00291EE0"/>
    <w:rsid w:val="0029276F"/>
    <w:rsid w:val="00292858"/>
    <w:rsid w:val="00293F95"/>
    <w:rsid w:val="0029592D"/>
    <w:rsid w:val="002976B7"/>
    <w:rsid w:val="0029776C"/>
    <w:rsid w:val="002A21B8"/>
    <w:rsid w:val="002A4A6A"/>
    <w:rsid w:val="002A60DE"/>
    <w:rsid w:val="002B087A"/>
    <w:rsid w:val="002B1623"/>
    <w:rsid w:val="002B5D71"/>
    <w:rsid w:val="002C31C2"/>
    <w:rsid w:val="002C46C3"/>
    <w:rsid w:val="002C4B48"/>
    <w:rsid w:val="002D3182"/>
    <w:rsid w:val="002D42E6"/>
    <w:rsid w:val="002D5E54"/>
    <w:rsid w:val="002E1283"/>
    <w:rsid w:val="002E1C8A"/>
    <w:rsid w:val="002E2B53"/>
    <w:rsid w:val="002E367E"/>
    <w:rsid w:val="002F2B6B"/>
    <w:rsid w:val="002F5E87"/>
    <w:rsid w:val="002F78EC"/>
    <w:rsid w:val="00302911"/>
    <w:rsid w:val="00302D9A"/>
    <w:rsid w:val="0030493E"/>
    <w:rsid w:val="00305540"/>
    <w:rsid w:val="00306580"/>
    <w:rsid w:val="003070AF"/>
    <w:rsid w:val="00310B5F"/>
    <w:rsid w:val="003121C1"/>
    <w:rsid w:val="00315950"/>
    <w:rsid w:val="0031721F"/>
    <w:rsid w:val="00317416"/>
    <w:rsid w:val="0032026E"/>
    <w:rsid w:val="00320F9F"/>
    <w:rsid w:val="00321CA5"/>
    <w:rsid w:val="00323792"/>
    <w:rsid w:val="0033096E"/>
    <w:rsid w:val="00332168"/>
    <w:rsid w:val="0033559B"/>
    <w:rsid w:val="00335EBF"/>
    <w:rsid w:val="00337488"/>
    <w:rsid w:val="00340980"/>
    <w:rsid w:val="00340F6F"/>
    <w:rsid w:val="003432A7"/>
    <w:rsid w:val="00343A32"/>
    <w:rsid w:val="0034526E"/>
    <w:rsid w:val="00346A64"/>
    <w:rsid w:val="00347670"/>
    <w:rsid w:val="003479AE"/>
    <w:rsid w:val="00347F29"/>
    <w:rsid w:val="00351071"/>
    <w:rsid w:val="00357215"/>
    <w:rsid w:val="00357FF9"/>
    <w:rsid w:val="00361308"/>
    <w:rsid w:val="00361513"/>
    <w:rsid w:val="0036219E"/>
    <w:rsid w:val="00364C8C"/>
    <w:rsid w:val="00373FE0"/>
    <w:rsid w:val="00374E97"/>
    <w:rsid w:val="00375634"/>
    <w:rsid w:val="0038629C"/>
    <w:rsid w:val="00390CC7"/>
    <w:rsid w:val="003913AA"/>
    <w:rsid w:val="003923AB"/>
    <w:rsid w:val="00392B7C"/>
    <w:rsid w:val="00394597"/>
    <w:rsid w:val="0039519C"/>
    <w:rsid w:val="00396D2D"/>
    <w:rsid w:val="003A095F"/>
    <w:rsid w:val="003A1D80"/>
    <w:rsid w:val="003A20BF"/>
    <w:rsid w:val="003A29AD"/>
    <w:rsid w:val="003A7283"/>
    <w:rsid w:val="003B4BD7"/>
    <w:rsid w:val="003B679C"/>
    <w:rsid w:val="003C1A57"/>
    <w:rsid w:val="003C330A"/>
    <w:rsid w:val="003C3C00"/>
    <w:rsid w:val="003C4441"/>
    <w:rsid w:val="003C4B07"/>
    <w:rsid w:val="003C5A9B"/>
    <w:rsid w:val="003D085F"/>
    <w:rsid w:val="003D1BEC"/>
    <w:rsid w:val="003D3595"/>
    <w:rsid w:val="003D47EC"/>
    <w:rsid w:val="003D4845"/>
    <w:rsid w:val="003D5BA4"/>
    <w:rsid w:val="003E0BEC"/>
    <w:rsid w:val="003E1986"/>
    <w:rsid w:val="003E6E00"/>
    <w:rsid w:val="003F0A8E"/>
    <w:rsid w:val="00400448"/>
    <w:rsid w:val="00402F05"/>
    <w:rsid w:val="0040327D"/>
    <w:rsid w:val="0040423F"/>
    <w:rsid w:val="00404477"/>
    <w:rsid w:val="00405B19"/>
    <w:rsid w:val="004110FE"/>
    <w:rsid w:val="004118D2"/>
    <w:rsid w:val="0041261A"/>
    <w:rsid w:val="00415CF3"/>
    <w:rsid w:val="00425510"/>
    <w:rsid w:val="004255A6"/>
    <w:rsid w:val="004305F5"/>
    <w:rsid w:val="00432B7B"/>
    <w:rsid w:val="00432E87"/>
    <w:rsid w:val="004340C6"/>
    <w:rsid w:val="00435CEB"/>
    <w:rsid w:val="00436D59"/>
    <w:rsid w:val="00436FD9"/>
    <w:rsid w:val="004417E5"/>
    <w:rsid w:val="004427EA"/>
    <w:rsid w:val="0044351B"/>
    <w:rsid w:val="0044630C"/>
    <w:rsid w:val="004523D3"/>
    <w:rsid w:val="004536C4"/>
    <w:rsid w:val="00454923"/>
    <w:rsid w:val="004601DB"/>
    <w:rsid w:val="00460AC7"/>
    <w:rsid w:val="00461FA0"/>
    <w:rsid w:val="00463370"/>
    <w:rsid w:val="0046350F"/>
    <w:rsid w:val="004635C0"/>
    <w:rsid w:val="00463C70"/>
    <w:rsid w:val="00464D08"/>
    <w:rsid w:val="004653C9"/>
    <w:rsid w:val="0046647F"/>
    <w:rsid w:val="0046759B"/>
    <w:rsid w:val="004677FE"/>
    <w:rsid w:val="0047335E"/>
    <w:rsid w:val="004739DF"/>
    <w:rsid w:val="004805D8"/>
    <w:rsid w:val="00484C6E"/>
    <w:rsid w:val="00485F22"/>
    <w:rsid w:val="004865E2"/>
    <w:rsid w:val="0048792E"/>
    <w:rsid w:val="004909E1"/>
    <w:rsid w:val="00493BA4"/>
    <w:rsid w:val="00495A57"/>
    <w:rsid w:val="004976B9"/>
    <w:rsid w:val="004A1C5A"/>
    <w:rsid w:val="004A3781"/>
    <w:rsid w:val="004B0E55"/>
    <w:rsid w:val="004B0F63"/>
    <w:rsid w:val="004B55EA"/>
    <w:rsid w:val="004C0FDD"/>
    <w:rsid w:val="004C17D1"/>
    <w:rsid w:val="004C2514"/>
    <w:rsid w:val="004C4D20"/>
    <w:rsid w:val="004C781A"/>
    <w:rsid w:val="004D00C5"/>
    <w:rsid w:val="004D6302"/>
    <w:rsid w:val="004E020D"/>
    <w:rsid w:val="004E04FE"/>
    <w:rsid w:val="004E6086"/>
    <w:rsid w:val="004E7BB2"/>
    <w:rsid w:val="004F2BEE"/>
    <w:rsid w:val="004F31E7"/>
    <w:rsid w:val="004F4715"/>
    <w:rsid w:val="004F5700"/>
    <w:rsid w:val="00507A7E"/>
    <w:rsid w:val="005111D9"/>
    <w:rsid w:val="00511320"/>
    <w:rsid w:val="005121DA"/>
    <w:rsid w:val="00525BCA"/>
    <w:rsid w:val="005267DF"/>
    <w:rsid w:val="00526814"/>
    <w:rsid w:val="00526C38"/>
    <w:rsid w:val="005311DC"/>
    <w:rsid w:val="00532AA8"/>
    <w:rsid w:val="00533C89"/>
    <w:rsid w:val="00537718"/>
    <w:rsid w:val="0054253C"/>
    <w:rsid w:val="005427FA"/>
    <w:rsid w:val="005440F9"/>
    <w:rsid w:val="00544E57"/>
    <w:rsid w:val="00545F91"/>
    <w:rsid w:val="00546687"/>
    <w:rsid w:val="00550B3B"/>
    <w:rsid w:val="00551684"/>
    <w:rsid w:val="00552139"/>
    <w:rsid w:val="00553A2E"/>
    <w:rsid w:val="00553ECE"/>
    <w:rsid w:val="00554A49"/>
    <w:rsid w:val="00555956"/>
    <w:rsid w:val="00557563"/>
    <w:rsid w:val="005613D8"/>
    <w:rsid w:val="005631E1"/>
    <w:rsid w:val="00564ADB"/>
    <w:rsid w:val="005656B7"/>
    <w:rsid w:val="00572B50"/>
    <w:rsid w:val="00575752"/>
    <w:rsid w:val="0057659C"/>
    <w:rsid w:val="005774DE"/>
    <w:rsid w:val="0058017E"/>
    <w:rsid w:val="005834F6"/>
    <w:rsid w:val="00586879"/>
    <w:rsid w:val="0059308A"/>
    <w:rsid w:val="005A0552"/>
    <w:rsid w:val="005A05AD"/>
    <w:rsid w:val="005A18CF"/>
    <w:rsid w:val="005A2E77"/>
    <w:rsid w:val="005A3A88"/>
    <w:rsid w:val="005A3B1A"/>
    <w:rsid w:val="005A44E3"/>
    <w:rsid w:val="005A669E"/>
    <w:rsid w:val="005A70C0"/>
    <w:rsid w:val="005B494D"/>
    <w:rsid w:val="005C0480"/>
    <w:rsid w:val="005C065B"/>
    <w:rsid w:val="005C1D5F"/>
    <w:rsid w:val="005C23FC"/>
    <w:rsid w:val="005C2C87"/>
    <w:rsid w:val="005C2E40"/>
    <w:rsid w:val="005C4D62"/>
    <w:rsid w:val="005C4F6F"/>
    <w:rsid w:val="005C744C"/>
    <w:rsid w:val="005E03B5"/>
    <w:rsid w:val="005E0DEC"/>
    <w:rsid w:val="005E538C"/>
    <w:rsid w:val="005F7C1C"/>
    <w:rsid w:val="00602D30"/>
    <w:rsid w:val="00602E84"/>
    <w:rsid w:val="00604023"/>
    <w:rsid w:val="00604B41"/>
    <w:rsid w:val="00611059"/>
    <w:rsid w:val="0062126E"/>
    <w:rsid w:val="00621637"/>
    <w:rsid w:val="006222A0"/>
    <w:rsid w:val="00626DF5"/>
    <w:rsid w:val="00627718"/>
    <w:rsid w:val="00631DB8"/>
    <w:rsid w:val="00634611"/>
    <w:rsid w:val="00635B14"/>
    <w:rsid w:val="00640283"/>
    <w:rsid w:val="00642375"/>
    <w:rsid w:val="00643395"/>
    <w:rsid w:val="00646EFB"/>
    <w:rsid w:val="00651106"/>
    <w:rsid w:val="00651444"/>
    <w:rsid w:val="00654F16"/>
    <w:rsid w:val="0066191C"/>
    <w:rsid w:val="00663C2C"/>
    <w:rsid w:val="006655F8"/>
    <w:rsid w:val="0066703A"/>
    <w:rsid w:val="00671DC7"/>
    <w:rsid w:val="00673F0E"/>
    <w:rsid w:val="00682A65"/>
    <w:rsid w:val="00684869"/>
    <w:rsid w:val="00685D53"/>
    <w:rsid w:val="006904DC"/>
    <w:rsid w:val="00693ABB"/>
    <w:rsid w:val="00693BF1"/>
    <w:rsid w:val="00695384"/>
    <w:rsid w:val="006A4691"/>
    <w:rsid w:val="006A5C2A"/>
    <w:rsid w:val="006A6B8A"/>
    <w:rsid w:val="006B111D"/>
    <w:rsid w:val="006B13EB"/>
    <w:rsid w:val="006B6AAA"/>
    <w:rsid w:val="006B6FC2"/>
    <w:rsid w:val="006B78FE"/>
    <w:rsid w:val="006C0F95"/>
    <w:rsid w:val="006C400A"/>
    <w:rsid w:val="006C4033"/>
    <w:rsid w:val="006C6D9C"/>
    <w:rsid w:val="006D1234"/>
    <w:rsid w:val="006D19CF"/>
    <w:rsid w:val="006D4E4D"/>
    <w:rsid w:val="006D74F5"/>
    <w:rsid w:val="006E01E4"/>
    <w:rsid w:val="006E0FBA"/>
    <w:rsid w:val="006E1088"/>
    <w:rsid w:val="006E2C51"/>
    <w:rsid w:val="006E3BF5"/>
    <w:rsid w:val="006E47CD"/>
    <w:rsid w:val="006E797D"/>
    <w:rsid w:val="006F40A9"/>
    <w:rsid w:val="006F466B"/>
    <w:rsid w:val="006F47A2"/>
    <w:rsid w:val="006F6738"/>
    <w:rsid w:val="007012A6"/>
    <w:rsid w:val="007031B2"/>
    <w:rsid w:val="007044F2"/>
    <w:rsid w:val="00706145"/>
    <w:rsid w:val="007061D1"/>
    <w:rsid w:val="0071268A"/>
    <w:rsid w:val="007131F3"/>
    <w:rsid w:val="00715F7C"/>
    <w:rsid w:val="00722698"/>
    <w:rsid w:val="00727452"/>
    <w:rsid w:val="0072786D"/>
    <w:rsid w:val="007352FC"/>
    <w:rsid w:val="0073571F"/>
    <w:rsid w:val="00737221"/>
    <w:rsid w:val="00743939"/>
    <w:rsid w:val="00744556"/>
    <w:rsid w:val="0074587C"/>
    <w:rsid w:val="00745DA9"/>
    <w:rsid w:val="0074767E"/>
    <w:rsid w:val="00751FC2"/>
    <w:rsid w:val="007538E7"/>
    <w:rsid w:val="007554D7"/>
    <w:rsid w:val="00764EC3"/>
    <w:rsid w:val="00766D38"/>
    <w:rsid w:val="00771BE3"/>
    <w:rsid w:val="00777A4F"/>
    <w:rsid w:val="00777D3C"/>
    <w:rsid w:val="00781B6B"/>
    <w:rsid w:val="00784E8D"/>
    <w:rsid w:val="00786218"/>
    <w:rsid w:val="00790657"/>
    <w:rsid w:val="00790A75"/>
    <w:rsid w:val="00792B21"/>
    <w:rsid w:val="00794969"/>
    <w:rsid w:val="007B2550"/>
    <w:rsid w:val="007B2F5B"/>
    <w:rsid w:val="007B3E3F"/>
    <w:rsid w:val="007B697D"/>
    <w:rsid w:val="007C0799"/>
    <w:rsid w:val="007C3633"/>
    <w:rsid w:val="007C6780"/>
    <w:rsid w:val="007C7E21"/>
    <w:rsid w:val="007D3840"/>
    <w:rsid w:val="007D42D2"/>
    <w:rsid w:val="007D44AC"/>
    <w:rsid w:val="007D4BFD"/>
    <w:rsid w:val="007D56EA"/>
    <w:rsid w:val="007E36A6"/>
    <w:rsid w:val="007E4157"/>
    <w:rsid w:val="007E59C9"/>
    <w:rsid w:val="007E605D"/>
    <w:rsid w:val="007E74BB"/>
    <w:rsid w:val="007F0B60"/>
    <w:rsid w:val="007F3B1F"/>
    <w:rsid w:val="007F4E6D"/>
    <w:rsid w:val="00801142"/>
    <w:rsid w:val="008047AD"/>
    <w:rsid w:val="00815900"/>
    <w:rsid w:val="0082186C"/>
    <w:rsid w:val="0082342A"/>
    <w:rsid w:val="00823C08"/>
    <w:rsid w:val="00830FAB"/>
    <w:rsid w:val="0083469D"/>
    <w:rsid w:val="00835F95"/>
    <w:rsid w:val="0084181C"/>
    <w:rsid w:val="00842E4D"/>
    <w:rsid w:val="00844FEB"/>
    <w:rsid w:val="008478CC"/>
    <w:rsid w:val="00852DBA"/>
    <w:rsid w:val="00856C66"/>
    <w:rsid w:val="00857360"/>
    <w:rsid w:val="0086076F"/>
    <w:rsid w:val="008621D7"/>
    <w:rsid w:val="0086284A"/>
    <w:rsid w:val="00862F1B"/>
    <w:rsid w:val="00863C0B"/>
    <w:rsid w:val="00863F1E"/>
    <w:rsid w:val="00865D76"/>
    <w:rsid w:val="00871199"/>
    <w:rsid w:val="00873075"/>
    <w:rsid w:val="008751B9"/>
    <w:rsid w:val="00876AC6"/>
    <w:rsid w:val="00880472"/>
    <w:rsid w:val="0088219B"/>
    <w:rsid w:val="00882954"/>
    <w:rsid w:val="0088302F"/>
    <w:rsid w:val="00890561"/>
    <w:rsid w:val="00892098"/>
    <w:rsid w:val="00892A9F"/>
    <w:rsid w:val="00892DFF"/>
    <w:rsid w:val="00893310"/>
    <w:rsid w:val="0089688E"/>
    <w:rsid w:val="008A5EAB"/>
    <w:rsid w:val="008B1C88"/>
    <w:rsid w:val="008B53E0"/>
    <w:rsid w:val="008C1CCA"/>
    <w:rsid w:val="008C2649"/>
    <w:rsid w:val="008C2FF8"/>
    <w:rsid w:val="008C3259"/>
    <w:rsid w:val="008C664D"/>
    <w:rsid w:val="008C7C68"/>
    <w:rsid w:val="008D1775"/>
    <w:rsid w:val="008D2C2F"/>
    <w:rsid w:val="008D7142"/>
    <w:rsid w:val="008E0234"/>
    <w:rsid w:val="008E05CB"/>
    <w:rsid w:val="008E5AE5"/>
    <w:rsid w:val="008E5E93"/>
    <w:rsid w:val="008E7C85"/>
    <w:rsid w:val="008F38B7"/>
    <w:rsid w:val="008F3983"/>
    <w:rsid w:val="008F39DD"/>
    <w:rsid w:val="008F5E90"/>
    <w:rsid w:val="00901272"/>
    <w:rsid w:val="00901DF3"/>
    <w:rsid w:val="00902E03"/>
    <w:rsid w:val="00902F6B"/>
    <w:rsid w:val="009045CD"/>
    <w:rsid w:val="00904F9A"/>
    <w:rsid w:val="00906DF5"/>
    <w:rsid w:val="00907C9D"/>
    <w:rsid w:val="00910A88"/>
    <w:rsid w:val="0091235E"/>
    <w:rsid w:val="00917760"/>
    <w:rsid w:val="00917FAB"/>
    <w:rsid w:val="00925687"/>
    <w:rsid w:val="009325E3"/>
    <w:rsid w:val="009337EC"/>
    <w:rsid w:val="00933BEF"/>
    <w:rsid w:val="00941A69"/>
    <w:rsid w:val="00943864"/>
    <w:rsid w:val="00944B54"/>
    <w:rsid w:val="009456C0"/>
    <w:rsid w:val="0095056E"/>
    <w:rsid w:val="00951EDE"/>
    <w:rsid w:val="00952298"/>
    <w:rsid w:val="009543DC"/>
    <w:rsid w:val="009576A3"/>
    <w:rsid w:val="00964056"/>
    <w:rsid w:val="00965D49"/>
    <w:rsid w:val="00970F74"/>
    <w:rsid w:val="009717B1"/>
    <w:rsid w:val="009717D6"/>
    <w:rsid w:val="00971B36"/>
    <w:rsid w:val="00973732"/>
    <w:rsid w:val="00974636"/>
    <w:rsid w:val="00974D99"/>
    <w:rsid w:val="00977551"/>
    <w:rsid w:val="009808D3"/>
    <w:rsid w:val="0098307B"/>
    <w:rsid w:val="0098593A"/>
    <w:rsid w:val="00985E71"/>
    <w:rsid w:val="009905A6"/>
    <w:rsid w:val="00996BD6"/>
    <w:rsid w:val="009A0DCE"/>
    <w:rsid w:val="009A4A3B"/>
    <w:rsid w:val="009A6C85"/>
    <w:rsid w:val="009A6EDD"/>
    <w:rsid w:val="009B24B7"/>
    <w:rsid w:val="009B7104"/>
    <w:rsid w:val="009C13B4"/>
    <w:rsid w:val="009C689E"/>
    <w:rsid w:val="009D4C02"/>
    <w:rsid w:val="009D6264"/>
    <w:rsid w:val="009E10CC"/>
    <w:rsid w:val="009E1B35"/>
    <w:rsid w:val="009E2122"/>
    <w:rsid w:val="009E370C"/>
    <w:rsid w:val="009E3DC7"/>
    <w:rsid w:val="009E6837"/>
    <w:rsid w:val="009E7422"/>
    <w:rsid w:val="009F0546"/>
    <w:rsid w:val="009F0771"/>
    <w:rsid w:val="009F6429"/>
    <w:rsid w:val="009F7E4C"/>
    <w:rsid w:val="00A00357"/>
    <w:rsid w:val="00A01B86"/>
    <w:rsid w:val="00A0235A"/>
    <w:rsid w:val="00A0322F"/>
    <w:rsid w:val="00A050AB"/>
    <w:rsid w:val="00A064FF"/>
    <w:rsid w:val="00A105BB"/>
    <w:rsid w:val="00A11443"/>
    <w:rsid w:val="00A12AAE"/>
    <w:rsid w:val="00A13F26"/>
    <w:rsid w:val="00A1620F"/>
    <w:rsid w:val="00A22D7E"/>
    <w:rsid w:val="00A2354E"/>
    <w:rsid w:val="00A31132"/>
    <w:rsid w:val="00A34E63"/>
    <w:rsid w:val="00A37AB2"/>
    <w:rsid w:val="00A44CA6"/>
    <w:rsid w:val="00A45D1D"/>
    <w:rsid w:val="00A46187"/>
    <w:rsid w:val="00A47E6A"/>
    <w:rsid w:val="00A5234A"/>
    <w:rsid w:val="00A549CD"/>
    <w:rsid w:val="00A57B95"/>
    <w:rsid w:val="00A60A7F"/>
    <w:rsid w:val="00A60C11"/>
    <w:rsid w:val="00A60D4F"/>
    <w:rsid w:val="00A64CF0"/>
    <w:rsid w:val="00A66428"/>
    <w:rsid w:val="00A66A3E"/>
    <w:rsid w:val="00A71062"/>
    <w:rsid w:val="00A73163"/>
    <w:rsid w:val="00A73BFF"/>
    <w:rsid w:val="00A74280"/>
    <w:rsid w:val="00A75D4B"/>
    <w:rsid w:val="00A77792"/>
    <w:rsid w:val="00A81CE3"/>
    <w:rsid w:val="00A90603"/>
    <w:rsid w:val="00A9205B"/>
    <w:rsid w:val="00A92EC1"/>
    <w:rsid w:val="00A9496A"/>
    <w:rsid w:val="00A96826"/>
    <w:rsid w:val="00A96F53"/>
    <w:rsid w:val="00AA1D7A"/>
    <w:rsid w:val="00AA5433"/>
    <w:rsid w:val="00AA7121"/>
    <w:rsid w:val="00AB0786"/>
    <w:rsid w:val="00AB15EA"/>
    <w:rsid w:val="00AB31CE"/>
    <w:rsid w:val="00AB42F5"/>
    <w:rsid w:val="00AB5E30"/>
    <w:rsid w:val="00AB6923"/>
    <w:rsid w:val="00AC54EF"/>
    <w:rsid w:val="00AC5A72"/>
    <w:rsid w:val="00AD1805"/>
    <w:rsid w:val="00AD711B"/>
    <w:rsid w:val="00AE1A80"/>
    <w:rsid w:val="00AE45CB"/>
    <w:rsid w:val="00AE5027"/>
    <w:rsid w:val="00AF1285"/>
    <w:rsid w:val="00AF2E40"/>
    <w:rsid w:val="00AF73FB"/>
    <w:rsid w:val="00B000C2"/>
    <w:rsid w:val="00B008A5"/>
    <w:rsid w:val="00B00CBD"/>
    <w:rsid w:val="00B01045"/>
    <w:rsid w:val="00B011D8"/>
    <w:rsid w:val="00B06F29"/>
    <w:rsid w:val="00B0726B"/>
    <w:rsid w:val="00B073F7"/>
    <w:rsid w:val="00B1057C"/>
    <w:rsid w:val="00B13E80"/>
    <w:rsid w:val="00B217FB"/>
    <w:rsid w:val="00B240BF"/>
    <w:rsid w:val="00B247A7"/>
    <w:rsid w:val="00B262B6"/>
    <w:rsid w:val="00B27FCF"/>
    <w:rsid w:val="00B32016"/>
    <w:rsid w:val="00B32C6B"/>
    <w:rsid w:val="00B35DFF"/>
    <w:rsid w:val="00B4151B"/>
    <w:rsid w:val="00B55C67"/>
    <w:rsid w:val="00B6237F"/>
    <w:rsid w:val="00B6342A"/>
    <w:rsid w:val="00B65842"/>
    <w:rsid w:val="00B67148"/>
    <w:rsid w:val="00B67235"/>
    <w:rsid w:val="00B67C1E"/>
    <w:rsid w:val="00B80034"/>
    <w:rsid w:val="00B80094"/>
    <w:rsid w:val="00B808A5"/>
    <w:rsid w:val="00B8330F"/>
    <w:rsid w:val="00B8394A"/>
    <w:rsid w:val="00BA060A"/>
    <w:rsid w:val="00BA4307"/>
    <w:rsid w:val="00BA4A16"/>
    <w:rsid w:val="00BA4F8F"/>
    <w:rsid w:val="00BA5307"/>
    <w:rsid w:val="00BA64FA"/>
    <w:rsid w:val="00BA7335"/>
    <w:rsid w:val="00BA75E8"/>
    <w:rsid w:val="00BB09E3"/>
    <w:rsid w:val="00BB288F"/>
    <w:rsid w:val="00BB56C9"/>
    <w:rsid w:val="00BC08D5"/>
    <w:rsid w:val="00BC282F"/>
    <w:rsid w:val="00BC2F70"/>
    <w:rsid w:val="00BC30EF"/>
    <w:rsid w:val="00BC500A"/>
    <w:rsid w:val="00BC7569"/>
    <w:rsid w:val="00BC7ED8"/>
    <w:rsid w:val="00BD2E99"/>
    <w:rsid w:val="00BD321D"/>
    <w:rsid w:val="00BD463A"/>
    <w:rsid w:val="00BD7FD7"/>
    <w:rsid w:val="00BE178B"/>
    <w:rsid w:val="00BE625B"/>
    <w:rsid w:val="00BE69C5"/>
    <w:rsid w:val="00BE7998"/>
    <w:rsid w:val="00BF05AF"/>
    <w:rsid w:val="00BF577F"/>
    <w:rsid w:val="00BF78B8"/>
    <w:rsid w:val="00BF7B1B"/>
    <w:rsid w:val="00C01C4B"/>
    <w:rsid w:val="00C01E90"/>
    <w:rsid w:val="00C0419A"/>
    <w:rsid w:val="00C07147"/>
    <w:rsid w:val="00C074ED"/>
    <w:rsid w:val="00C13A2F"/>
    <w:rsid w:val="00C14F53"/>
    <w:rsid w:val="00C210AF"/>
    <w:rsid w:val="00C22BD0"/>
    <w:rsid w:val="00C233F8"/>
    <w:rsid w:val="00C2433C"/>
    <w:rsid w:val="00C24787"/>
    <w:rsid w:val="00C257CE"/>
    <w:rsid w:val="00C301F1"/>
    <w:rsid w:val="00C31330"/>
    <w:rsid w:val="00C3327F"/>
    <w:rsid w:val="00C35D34"/>
    <w:rsid w:val="00C37930"/>
    <w:rsid w:val="00C408BE"/>
    <w:rsid w:val="00C40A06"/>
    <w:rsid w:val="00C40EFF"/>
    <w:rsid w:val="00C46C5C"/>
    <w:rsid w:val="00C507F8"/>
    <w:rsid w:val="00C50D61"/>
    <w:rsid w:val="00C52E19"/>
    <w:rsid w:val="00C5524B"/>
    <w:rsid w:val="00C55568"/>
    <w:rsid w:val="00C56DE0"/>
    <w:rsid w:val="00C5727A"/>
    <w:rsid w:val="00C603D5"/>
    <w:rsid w:val="00C64943"/>
    <w:rsid w:val="00C64D4A"/>
    <w:rsid w:val="00C670E8"/>
    <w:rsid w:val="00C70CB7"/>
    <w:rsid w:val="00C746DA"/>
    <w:rsid w:val="00C7566A"/>
    <w:rsid w:val="00C75705"/>
    <w:rsid w:val="00C7634A"/>
    <w:rsid w:val="00C77584"/>
    <w:rsid w:val="00C77989"/>
    <w:rsid w:val="00C8576F"/>
    <w:rsid w:val="00CA1121"/>
    <w:rsid w:val="00CA13D5"/>
    <w:rsid w:val="00CB1A12"/>
    <w:rsid w:val="00CB56A1"/>
    <w:rsid w:val="00CC16F9"/>
    <w:rsid w:val="00CC5169"/>
    <w:rsid w:val="00CC5477"/>
    <w:rsid w:val="00CD2CDF"/>
    <w:rsid w:val="00CD6184"/>
    <w:rsid w:val="00CD7F0C"/>
    <w:rsid w:val="00CE36A5"/>
    <w:rsid w:val="00CE4F98"/>
    <w:rsid w:val="00CE7615"/>
    <w:rsid w:val="00CF57EB"/>
    <w:rsid w:val="00CF5CA0"/>
    <w:rsid w:val="00CF7FAC"/>
    <w:rsid w:val="00D11092"/>
    <w:rsid w:val="00D11BB8"/>
    <w:rsid w:val="00D13A93"/>
    <w:rsid w:val="00D144EB"/>
    <w:rsid w:val="00D17E16"/>
    <w:rsid w:val="00D22358"/>
    <w:rsid w:val="00D24ECA"/>
    <w:rsid w:val="00D24F27"/>
    <w:rsid w:val="00D3096C"/>
    <w:rsid w:val="00D30B6A"/>
    <w:rsid w:val="00D323B8"/>
    <w:rsid w:val="00D33635"/>
    <w:rsid w:val="00D338DC"/>
    <w:rsid w:val="00D34063"/>
    <w:rsid w:val="00D3548D"/>
    <w:rsid w:val="00D365F9"/>
    <w:rsid w:val="00D3739C"/>
    <w:rsid w:val="00D3773F"/>
    <w:rsid w:val="00D37AD9"/>
    <w:rsid w:val="00D4116B"/>
    <w:rsid w:val="00D4163B"/>
    <w:rsid w:val="00D4338C"/>
    <w:rsid w:val="00D45197"/>
    <w:rsid w:val="00D463AF"/>
    <w:rsid w:val="00D531EA"/>
    <w:rsid w:val="00D5443F"/>
    <w:rsid w:val="00D609E4"/>
    <w:rsid w:val="00D63553"/>
    <w:rsid w:val="00D649AB"/>
    <w:rsid w:val="00D64F71"/>
    <w:rsid w:val="00D652A1"/>
    <w:rsid w:val="00D65CA8"/>
    <w:rsid w:val="00D66855"/>
    <w:rsid w:val="00D67330"/>
    <w:rsid w:val="00D7173B"/>
    <w:rsid w:val="00D71F23"/>
    <w:rsid w:val="00D72EFB"/>
    <w:rsid w:val="00D73E71"/>
    <w:rsid w:val="00D73E7A"/>
    <w:rsid w:val="00D75836"/>
    <w:rsid w:val="00D77B9B"/>
    <w:rsid w:val="00D87632"/>
    <w:rsid w:val="00D91672"/>
    <w:rsid w:val="00D91D3D"/>
    <w:rsid w:val="00D95167"/>
    <w:rsid w:val="00D95229"/>
    <w:rsid w:val="00D96151"/>
    <w:rsid w:val="00D971F2"/>
    <w:rsid w:val="00D974E0"/>
    <w:rsid w:val="00D97881"/>
    <w:rsid w:val="00DA4B00"/>
    <w:rsid w:val="00DA709D"/>
    <w:rsid w:val="00DA738A"/>
    <w:rsid w:val="00DB1D67"/>
    <w:rsid w:val="00DB216E"/>
    <w:rsid w:val="00DB5EC7"/>
    <w:rsid w:val="00DB7173"/>
    <w:rsid w:val="00DC0725"/>
    <w:rsid w:val="00DC236B"/>
    <w:rsid w:val="00DC4F97"/>
    <w:rsid w:val="00DD1F0B"/>
    <w:rsid w:val="00DD33B9"/>
    <w:rsid w:val="00DE0BE5"/>
    <w:rsid w:val="00DE0E67"/>
    <w:rsid w:val="00DE3F75"/>
    <w:rsid w:val="00DE4192"/>
    <w:rsid w:val="00DE53A7"/>
    <w:rsid w:val="00DE5A40"/>
    <w:rsid w:val="00DF2D44"/>
    <w:rsid w:val="00DF7D63"/>
    <w:rsid w:val="00E000E5"/>
    <w:rsid w:val="00E00244"/>
    <w:rsid w:val="00E004D8"/>
    <w:rsid w:val="00E01D75"/>
    <w:rsid w:val="00E01F87"/>
    <w:rsid w:val="00E0245C"/>
    <w:rsid w:val="00E02F98"/>
    <w:rsid w:val="00E12051"/>
    <w:rsid w:val="00E14B08"/>
    <w:rsid w:val="00E14D30"/>
    <w:rsid w:val="00E150CD"/>
    <w:rsid w:val="00E167A7"/>
    <w:rsid w:val="00E17A94"/>
    <w:rsid w:val="00E21883"/>
    <w:rsid w:val="00E23E4D"/>
    <w:rsid w:val="00E24501"/>
    <w:rsid w:val="00E27009"/>
    <w:rsid w:val="00E33048"/>
    <w:rsid w:val="00E34357"/>
    <w:rsid w:val="00E36233"/>
    <w:rsid w:val="00E40370"/>
    <w:rsid w:val="00E4712D"/>
    <w:rsid w:val="00E47986"/>
    <w:rsid w:val="00E5057E"/>
    <w:rsid w:val="00E52382"/>
    <w:rsid w:val="00E57A05"/>
    <w:rsid w:val="00E63FD2"/>
    <w:rsid w:val="00E67D76"/>
    <w:rsid w:val="00E7105D"/>
    <w:rsid w:val="00E7259E"/>
    <w:rsid w:val="00E73EFF"/>
    <w:rsid w:val="00E75124"/>
    <w:rsid w:val="00E756A5"/>
    <w:rsid w:val="00E81E7E"/>
    <w:rsid w:val="00E919AD"/>
    <w:rsid w:val="00E928FF"/>
    <w:rsid w:val="00E937D4"/>
    <w:rsid w:val="00E973E2"/>
    <w:rsid w:val="00EA0959"/>
    <w:rsid w:val="00EA286F"/>
    <w:rsid w:val="00EA770A"/>
    <w:rsid w:val="00EA7BA7"/>
    <w:rsid w:val="00EA7F7D"/>
    <w:rsid w:val="00EB0F1D"/>
    <w:rsid w:val="00EB100E"/>
    <w:rsid w:val="00EB1841"/>
    <w:rsid w:val="00EB45BD"/>
    <w:rsid w:val="00EB63BC"/>
    <w:rsid w:val="00EB756A"/>
    <w:rsid w:val="00EC2BDD"/>
    <w:rsid w:val="00EC2D87"/>
    <w:rsid w:val="00EC423F"/>
    <w:rsid w:val="00EC5867"/>
    <w:rsid w:val="00ED2A7F"/>
    <w:rsid w:val="00ED5B76"/>
    <w:rsid w:val="00ED6C69"/>
    <w:rsid w:val="00EF0848"/>
    <w:rsid w:val="00EF1E54"/>
    <w:rsid w:val="00EF41AC"/>
    <w:rsid w:val="00F040ED"/>
    <w:rsid w:val="00F10437"/>
    <w:rsid w:val="00F10C32"/>
    <w:rsid w:val="00F10FBA"/>
    <w:rsid w:val="00F149BA"/>
    <w:rsid w:val="00F15F40"/>
    <w:rsid w:val="00F16355"/>
    <w:rsid w:val="00F20450"/>
    <w:rsid w:val="00F207E8"/>
    <w:rsid w:val="00F24D17"/>
    <w:rsid w:val="00F24D7F"/>
    <w:rsid w:val="00F24F2C"/>
    <w:rsid w:val="00F259D3"/>
    <w:rsid w:val="00F26E2B"/>
    <w:rsid w:val="00F272F6"/>
    <w:rsid w:val="00F30983"/>
    <w:rsid w:val="00F34EB9"/>
    <w:rsid w:val="00F36E5D"/>
    <w:rsid w:val="00F3718B"/>
    <w:rsid w:val="00F37E5F"/>
    <w:rsid w:val="00F4188C"/>
    <w:rsid w:val="00F45BA9"/>
    <w:rsid w:val="00F4642A"/>
    <w:rsid w:val="00F478F1"/>
    <w:rsid w:val="00F47A72"/>
    <w:rsid w:val="00F51232"/>
    <w:rsid w:val="00F553B4"/>
    <w:rsid w:val="00F55FCD"/>
    <w:rsid w:val="00F57522"/>
    <w:rsid w:val="00F61DFD"/>
    <w:rsid w:val="00F71772"/>
    <w:rsid w:val="00F742A1"/>
    <w:rsid w:val="00F76C68"/>
    <w:rsid w:val="00F779BC"/>
    <w:rsid w:val="00F77DFB"/>
    <w:rsid w:val="00F81DB8"/>
    <w:rsid w:val="00F8395A"/>
    <w:rsid w:val="00F84DF3"/>
    <w:rsid w:val="00F869B8"/>
    <w:rsid w:val="00F87379"/>
    <w:rsid w:val="00F93395"/>
    <w:rsid w:val="00F94BF7"/>
    <w:rsid w:val="00F96708"/>
    <w:rsid w:val="00FA1DBC"/>
    <w:rsid w:val="00FA2E6A"/>
    <w:rsid w:val="00FA59BD"/>
    <w:rsid w:val="00FC6359"/>
    <w:rsid w:val="00FC6980"/>
    <w:rsid w:val="00FC738E"/>
    <w:rsid w:val="00FD0264"/>
    <w:rsid w:val="00FD36D3"/>
    <w:rsid w:val="00FD4A67"/>
    <w:rsid w:val="00FD67E2"/>
    <w:rsid w:val="00FD7C5D"/>
    <w:rsid w:val="00FE2437"/>
    <w:rsid w:val="00FE2CFF"/>
    <w:rsid w:val="00FE2EC6"/>
    <w:rsid w:val="00FE367C"/>
    <w:rsid w:val="00FE3F33"/>
    <w:rsid w:val="00FE4E96"/>
    <w:rsid w:val="00FE6024"/>
    <w:rsid w:val="00FE7745"/>
    <w:rsid w:val="00FF2E51"/>
    <w:rsid w:val="00FF329F"/>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EED0"/>
  <w14:defaultImageDpi w14:val="32767"/>
  <w15:chartTrackingRefBased/>
  <w15:docId w15:val="{130E22B7-F1B3-4845-9CC6-4D948147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3310"/>
    <w:pPr>
      <w:spacing w:before="100" w:beforeAutospacing="1" w:after="100" w:afterAutospacing="1"/>
      <w:outlineLvl w:val="0"/>
    </w:pPr>
    <w:rPr>
      <w:rFonts w:eastAsia="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B55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B6B"/>
    <w:pPr>
      <w:ind w:left="720"/>
      <w:contextualSpacing/>
    </w:pPr>
  </w:style>
  <w:style w:type="paragraph" w:styleId="FootnoteText">
    <w:name w:val="footnote text"/>
    <w:basedOn w:val="Normal"/>
    <w:link w:val="FootnoteTextChar"/>
    <w:uiPriority w:val="99"/>
    <w:unhideWhenUsed/>
    <w:rsid w:val="00D33635"/>
    <w:rPr>
      <w:sz w:val="20"/>
      <w:szCs w:val="20"/>
    </w:rPr>
  </w:style>
  <w:style w:type="character" w:customStyle="1" w:styleId="FootnoteTextChar">
    <w:name w:val="Footnote Text Char"/>
    <w:basedOn w:val="DefaultParagraphFont"/>
    <w:link w:val="FootnoteText"/>
    <w:uiPriority w:val="99"/>
    <w:rsid w:val="00D33635"/>
    <w:rPr>
      <w:sz w:val="20"/>
      <w:szCs w:val="20"/>
    </w:rPr>
  </w:style>
  <w:style w:type="character" w:styleId="FootnoteReference">
    <w:name w:val="footnote reference"/>
    <w:basedOn w:val="DefaultParagraphFont"/>
    <w:uiPriority w:val="99"/>
    <w:semiHidden/>
    <w:unhideWhenUsed/>
    <w:rsid w:val="00D33635"/>
    <w:rPr>
      <w:vertAlign w:val="superscript"/>
    </w:rPr>
  </w:style>
  <w:style w:type="paragraph" w:customStyle="1" w:styleId="SingleTxtG">
    <w:name w:val="_ Single Txt_G"/>
    <w:basedOn w:val="Normal"/>
    <w:link w:val="SingleTxtGChar"/>
    <w:qFormat/>
    <w:rsid w:val="00D72EFB"/>
    <w:pPr>
      <w:suppressAutoHyphens/>
      <w:spacing w:after="120" w:line="240" w:lineRule="atLeast"/>
      <w:ind w:left="1134" w:right="1134"/>
      <w:jc w:val="both"/>
    </w:pPr>
    <w:rPr>
      <w:rFonts w:eastAsia="SimSun" w:cs="Times New Roman"/>
      <w:sz w:val="20"/>
      <w:szCs w:val="20"/>
      <w:lang w:eastAsia="zh-CN"/>
    </w:rPr>
  </w:style>
  <w:style w:type="character" w:customStyle="1" w:styleId="SingleTxtGChar">
    <w:name w:val="_ Single Txt_G Char"/>
    <w:link w:val="SingleTxtG"/>
    <w:locked/>
    <w:rsid w:val="00D72EFB"/>
    <w:rPr>
      <w:rFonts w:eastAsia="SimSun" w:cs="Times New Roman"/>
      <w:sz w:val="20"/>
      <w:szCs w:val="20"/>
      <w:lang w:eastAsia="zh-CN"/>
    </w:rPr>
  </w:style>
  <w:style w:type="paragraph" w:styleId="Footer">
    <w:name w:val="footer"/>
    <w:basedOn w:val="Normal"/>
    <w:link w:val="FooterChar"/>
    <w:uiPriority w:val="99"/>
    <w:unhideWhenUsed/>
    <w:rsid w:val="00743939"/>
    <w:pPr>
      <w:tabs>
        <w:tab w:val="center" w:pos="4680"/>
        <w:tab w:val="right" w:pos="9360"/>
      </w:tabs>
    </w:pPr>
  </w:style>
  <w:style w:type="character" w:customStyle="1" w:styleId="FooterChar">
    <w:name w:val="Footer Char"/>
    <w:basedOn w:val="DefaultParagraphFont"/>
    <w:link w:val="Footer"/>
    <w:uiPriority w:val="99"/>
    <w:rsid w:val="00743939"/>
  </w:style>
  <w:style w:type="character" w:styleId="PageNumber">
    <w:name w:val="page number"/>
    <w:basedOn w:val="DefaultParagraphFont"/>
    <w:uiPriority w:val="99"/>
    <w:semiHidden/>
    <w:unhideWhenUsed/>
    <w:rsid w:val="00743939"/>
  </w:style>
  <w:style w:type="character" w:styleId="Strong">
    <w:name w:val="Strong"/>
    <w:basedOn w:val="DefaultParagraphFont"/>
    <w:uiPriority w:val="22"/>
    <w:qFormat/>
    <w:rsid w:val="00373FE0"/>
    <w:rPr>
      <w:b/>
      <w:bCs/>
    </w:rPr>
  </w:style>
  <w:style w:type="character" w:styleId="Hyperlink">
    <w:name w:val="Hyperlink"/>
    <w:basedOn w:val="DefaultParagraphFont"/>
    <w:uiPriority w:val="99"/>
    <w:unhideWhenUsed/>
    <w:rsid w:val="00AD1805"/>
    <w:rPr>
      <w:color w:val="0563C1" w:themeColor="hyperlink"/>
      <w:u w:val="single"/>
    </w:rPr>
  </w:style>
  <w:style w:type="character" w:styleId="UnresolvedMention">
    <w:name w:val="Unresolved Mention"/>
    <w:basedOn w:val="DefaultParagraphFont"/>
    <w:uiPriority w:val="99"/>
    <w:rsid w:val="00AD1805"/>
    <w:rPr>
      <w:color w:val="605E5C"/>
      <w:shd w:val="clear" w:color="auto" w:fill="E1DFDD"/>
    </w:rPr>
  </w:style>
  <w:style w:type="character" w:customStyle="1" w:styleId="Heading1Char">
    <w:name w:val="Heading 1 Char"/>
    <w:basedOn w:val="DefaultParagraphFont"/>
    <w:link w:val="Heading1"/>
    <w:uiPriority w:val="9"/>
    <w:rsid w:val="00893310"/>
    <w:rPr>
      <w:rFonts w:eastAsia="Times New Roman" w:cs="Times New Roman"/>
      <w:b/>
      <w:bCs/>
      <w:kern w:val="36"/>
      <w:sz w:val="48"/>
      <w:szCs w:val="48"/>
      <w:lang w:eastAsia="en-GB"/>
    </w:rPr>
  </w:style>
  <w:style w:type="character" w:styleId="Emphasis">
    <w:name w:val="Emphasis"/>
    <w:basedOn w:val="DefaultParagraphFont"/>
    <w:uiPriority w:val="20"/>
    <w:qFormat/>
    <w:rsid w:val="00291EE0"/>
    <w:rPr>
      <w:i/>
      <w:iCs/>
    </w:rPr>
  </w:style>
  <w:style w:type="character" w:customStyle="1" w:styleId="first-name">
    <w:name w:val="first-name"/>
    <w:basedOn w:val="DefaultParagraphFont"/>
    <w:rsid w:val="000423E0"/>
  </w:style>
  <w:style w:type="character" w:customStyle="1" w:styleId="last-name">
    <w:name w:val="last-name"/>
    <w:basedOn w:val="DefaultParagraphFont"/>
    <w:rsid w:val="000423E0"/>
  </w:style>
  <w:style w:type="character" w:customStyle="1" w:styleId="Heading2Char">
    <w:name w:val="Heading 2 Char"/>
    <w:basedOn w:val="DefaultParagraphFont"/>
    <w:link w:val="Heading2"/>
    <w:uiPriority w:val="9"/>
    <w:semiHidden/>
    <w:rsid w:val="004B55EA"/>
    <w:rPr>
      <w:rFonts w:asciiTheme="majorHAnsi" w:eastAsiaTheme="majorEastAsia" w:hAnsiTheme="majorHAnsi" w:cstheme="majorBidi"/>
      <w:color w:val="2F5496" w:themeColor="accent1" w:themeShade="BF"/>
      <w:sz w:val="26"/>
      <w:szCs w:val="26"/>
    </w:rPr>
  </w:style>
  <w:style w:type="character" w:customStyle="1" w:styleId="cite-blog">
    <w:name w:val="cite-blog"/>
    <w:basedOn w:val="DefaultParagraphFont"/>
    <w:rsid w:val="00F478F1"/>
  </w:style>
  <w:style w:type="character" w:customStyle="1" w:styleId="authors">
    <w:name w:val="authors"/>
    <w:basedOn w:val="DefaultParagraphFont"/>
    <w:rsid w:val="00863C0B"/>
  </w:style>
  <w:style w:type="character" w:customStyle="1" w:styleId="Date1">
    <w:name w:val="Date1"/>
    <w:basedOn w:val="DefaultParagraphFont"/>
    <w:rsid w:val="00863C0B"/>
  </w:style>
  <w:style w:type="character" w:customStyle="1" w:styleId="arttitle">
    <w:name w:val="art_title"/>
    <w:basedOn w:val="DefaultParagraphFont"/>
    <w:rsid w:val="00863C0B"/>
  </w:style>
  <w:style w:type="character" w:customStyle="1" w:styleId="serialtitle">
    <w:name w:val="serial_title"/>
    <w:basedOn w:val="DefaultParagraphFont"/>
    <w:rsid w:val="00863C0B"/>
  </w:style>
  <w:style w:type="character" w:customStyle="1" w:styleId="volumeissue">
    <w:name w:val="volume_issue"/>
    <w:basedOn w:val="DefaultParagraphFont"/>
    <w:rsid w:val="00863C0B"/>
  </w:style>
  <w:style w:type="character" w:customStyle="1" w:styleId="pagerange">
    <w:name w:val="page_range"/>
    <w:basedOn w:val="DefaultParagraphFont"/>
    <w:rsid w:val="00863C0B"/>
  </w:style>
  <w:style w:type="character" w:styleId="CommentReference">
    <w:name w:val="annotation reference"/>
    <w:basedOn w:val="DefaultParagraphFont"/>
    <w:uiPriority w:val="99"/>
    <w:semiHidden/>
    <w:unhideWhenUsed/>
    <w:rsid w:val="00302D9A"/>
    <w:rPr>
      <w:sz w:val="16"/>
      <w:szCs w:val="16"/>
    </w:rPr>
  </w:style>
  <w:style w:type="paragraph" w:styleId="CommentText">
    <w:name w:val="annotation text"/>
    <w:basedOn w:val="Normal"/>
    <w:link w:val="CommentTextChar"/>
    <w:uiPriority w:val="99"/>
    <w:semiHidden/>
    <w:unhideWhenUsed/>
    <w:rsid w:val="00302D9A"/>
    <w:rPr>
      <w:sz w:val="20"/>
      <w:szCs w:val="20"/>
    </w:rPr>
  </w:style>
  <w:style w:type="character" w:customStyle="1" w:styleId="CommentTextChar">
    <w:name w:val="Comment Text Char"/>
    <w:basedOn w:val="DefaultParagraphFont"/>
    <w:link w:val="CommentText"/>
    <w:uiPriority w:val="99"/>
    <w:semiHidden/>
    <w:rsid w:val="00302D9A"/>
    <w:rPr>
      <w:sz w:val="20"/>
      <w:szCs w:val="20"/>
    </w:rPr>
  </w:style>
  <w:style w:type="paragraph" w:styleId="CommentSubject">
    <w:name w:val="annotation subject"/>
    <w:basedOn w:val="CommentText"/>
    <w:next w:val="CommentText"/>
    <w:link w:val="CommentSubjectChar"/>
    <w:uiPriority w:val="99"/>
    <w:semiHidden/>
    <w:unhideWhenUsed/>
    <w:rsid w:val="00302D9A"/>
    <w:rPr>
      <w:b/>
      <w:bCs/>
    </w:rPr>
  </w:style>
  <w:style w:type="character" w:customStyle="1" w:styleId="CommentSubjectChar">
    <w:name w:val="Comment Subject Char"/>
    <w:basedOn w:val="CommentTextChar"/>
    <w:link w:val="CommentSubject"/>
    <w:uiPriority w:val="99"/>
    <w:semiHidden/>
    <w:rsid w:val="00302D9A"/>
    <w:rPr>
      <w:b/>
      <w:bCs/>
      <w:sz w:val="20"/>
      <w:szCs w:val="20"/>
    </w:rPr>
  </w:style>
  <w:style w:type="paragraph" w:styleId="BalloonText">
    <w:name w:val="Balloon Text"/>
    <w:basedOn w:val="Normal"/>
    <w:link w:val="BalloonTextChar"/>
    <w:uiPriority w:val="99"/>
    <w:semiHidden/>
    <w:unhideWhenUsed/>
    <w:rsid w:val="00302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D9A"/>
    <w:rPr>
      <w:rFonts w:ascii="Segoe UI" w:hAnsi="Segoe UI" w:cs="Segoe UI"/>
      <w:sz w:val="18"/>
      <w:szCs w:val="18"/>
    </w:rPr>
  </w:style>
  <w:style w:type="paragraph" w:styleId="Revision">
    <w:name w:val="Revision"/>
    <w:hidden/>
    <w:uiPriority w:val="99"/>
    <w:semiHidden/>
    <w:rsid w:val="001F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8670">
      <w:bodyDiv w:val="1"/>
      <w:marLeft w:val="0"/>
      <w:marRight w:val="0"/>
      <w:marTop w:val="0"/>
      <w:marBottom w:val="0"/>
      <w:divBdr>
        <w:top w:val="none" w:sz="0" w:space="0" w:color="auto"/>
        <w:left w:val="none" w:sz="0" w:space="0" w:color="auto"/>
        <w:bottom w:val="none" w:sz="0" w:space="0" w:color="auto"/>
        <w:right w:val="none" w:sz="0" w:space="0" w:color="auto"/>
      </w:divBdr>
    </w:div>
    <w:div w:id="556088390">
      <w:bodyDiv w:val="1"/>
      <w:marLeft w:val="0"/>
      <w:marRight w:val="0"/>
      <w:marTop w:val="0"/>
      <w:marBottom w:val="0"/>
      <w:divBdr>
        <w:top w:val="none" w:sz="0" w:space="0" w:color="auto"/>
        <w:left w:val="none" w:sz="0" w:space="0" w:color="auto"/>
        <w:bottom w:val="none" w:sz="0" w:space="0" w:color="auto"/>
        <w:right w:val="none" w:sz="0" w:space="0" w:color="auto"/>
      </w:divBdr>
    </w:div>
    <w:div w:id="587156656">
      <w:bodyDiv w:val="1"/>
      <w:marLeft w:val="0"/>
      <w:marRight w:val="0"/>
      <w:marTop w:val="0"/>
      <w:marBottom w:val="0"/>
      <w:divBdr>
        <w:top w:val="none" w:sz="0" w:space="0" w:color="auto"/>
        <w:left w:val="none" w:sz="0" w:space="0" w:color="auto"/>
        <w:bottom w:val="none" w:sz="0" w:space="0" w:color="auto"/>
        <w:right w:val="none" w:sz="0" w:space="0" w:color="auto"/>
      </w:divBdr>
    </w:div>
    <w:div w:id="983003161">
      <w:bodyDiv w:val="1"/>
      <w:marLeft w:val="0"/>
      <w:marRight w:val="0"/>
      <w:marTop w:val="0"/>
      <w:marBottom w:val="0"/>
      <w:divBdr>
        <w:top w:val="none" w:sz="0" w:space="0" w:color="auto"/>
        <w:left w:val="none" w:sz="0" w:space="0" w:color="auto"/>
        <w:bottom w:val="none" w:sz="0" w:space="0" w:color="auto"/>
        <w:right w:val="none" w:sz="0" w:space="0" w:color="auto"/>
      </w:divBdr>
    </w:div>
    <w:div w:id="1688478160">
      <w:bodyDiv w:val="1"/>
      <w:marLeft w:val="0"/>
      <w:marRight w:val="0"/>
      <w:marTop w:val="0"/>
      <w:marBottom w:val="0"/>
      <w:divBdr>
        <w:top w:val="none" w:sz="0" w:space="0" w:color="auto"/>
        <w:left w:val="none" w:sz="0" w:space="0" w:color="auto"/>
        <w:bottom w:val="none" w:sz="0" w:space="0" w:color="auto"/>
        <w:right w:val="none" w:sz="0" w:space="0" w:color="auto"/>
      </w:divBdr>
    </w:div>
    <w:div w:id="181528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4000</Words>
  <Characters>22805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Tzevelekos, Vassilis</dc:creator>
  <cp:keywords/>
  <dc:description/>
  <cp:lastModifiedBy>Tzevelekos, Vassilis</cp:lastModifiedBy>
  <cp:revision>17</cp:revision>
  <dcterms:created xsi:type="dcterms:W3CDTF">2022-12-13T12:30:00Z</dcterms:created>
  <dcterms:modified xsi:type="dcterms:W3CDTF">2022-12-14T06:18:00Z</dcterms:modified>
</cp:coreProperties>
</file>