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2952" w:rsidRDefault="00302952" w:rsidP="00302952">
      <w:bookmarkStart w:id="0" w:name="_GoBack"/>
      <w:bookmarkEnd w:id="0"/>
      <w:r w:rsidRPr="00492486">
        <w:rPr>
          <w:i/>
        </w:rPr>
        <w:t xml:space="preserve">This article was published by </w:t>
      </w:r>
      <w:hyperlink r:id="rId8" w:history="1">
        <w:r w:rsidRPr="00492486">
          <w:rPr>
            <w:rStyle w:val="Hyperlink"/>
            <w:i/>
          </w:rPr>
          <w:t>Project SEPAD</w:t>
        </w:r>
      </w:hyperlink>
      <w:r w:rsidRPr="00492486">
        <w:rPr>
          <w:i/>
        </w:rPr>
        <w:t xml:space="preserve"> as part of a report on “Critical Approaches to State and Sovereignty” on 28 November 2023. It is available at: </w:t>
      </w:r>
      <w:hyperlink r:id="rId9" w:history="1">
        <w:r w:rsidRPr="0053365B">
          <w:rPr>
            <w:rStyle w:val="Hyperlink"/>
          </w:rPr>
          <w:t>https://www.sepad.org.uk/announcement/critical-approaches-to-state-and-sovereignty-part-1</w:t>
        </w:r>
      </w:hyperlink>
      <w:r>
        <w:t xml:space="preserve"> </w:t>
      </w:r>
    </w:p>
    <w:p w:rsidR="00302952" w:rsidRDefault="00302952" w:rsidP="00FD21E8">
      <w:pPr>
        <w:spacing w:line="360" w:lineRule="auto"/>
        <w:rPr>
          <w:b/>
        </w:rPr>
      </w:pPr>
    </w:p>
    <w:p w:rsidR="00D07FB0" w:rsidRPr="005578A9" w:rsidRDefault="00F1534F" w:rsidP="00FD21E8">
      <w:pPr>
        <w:spacing w:line="360" w:lineRule="auto"/>
        <w:rPr>
          <w:b/>
        </w:rPr>
      </w:pPr>
      <w:r w:rsidRPr="005578A9">
        <w:rPr>
          <w:b/>
        </w:rPr>
        <w:t>Sovereignty and international political economy: The Middle East’s role in the uneven geography of money</w:t>
      </w:r>
    </w:p>
    <w:p w:rsidR="00F1534F" w:rsidRPr="005578A9" w:rsidRDefault="00F1534F" w:rsidP="00FD21E8">
      <w:pPr>
        <w:spacing w:line="360" w:lineRule="auto"/>
        <w:rPr>
          <w:i/>
        </w:rPr>
      </w:pPr>
      <w:r w:rsidRPr="005578A9">
        <w:rPr>
          <w:i/>
        </w:rPr>
        <w:t>Hannes Baumann</w:t>
      </w:r>
    </w:p>
    <w:p w:rsidR="00DA1A64" w:rsidRDefault="00F7426E" w:rsidP="00FD21E8">
      <w:pPr>
        <w:spacing w:line="360" w:lineRule="auto"/>
      </w:pPr>
      <w:r>
        <w:t xml:space="preserve">Sovereignty concerns not just security but also economy. </w:t>
      </w:r>
      <w:r w:rsidR="00741EB0">
        <w:t xml:space="preserve">One of the essential sovereign functions of a state is to mint its </w:t>
      </w:r>
      <w:r w:rsidR="00374E66">
        <w:t>“</w:t>
      </w:r>
      <w:r w:rsidR="00741EB0">
        <w:t>national</w:t>
      </w:r>
      <w:r w:rsidR="00374E66">
        <w:t>”</w:t>
      </w:r>
      <w:r w:rsidR="00741EB0">
        <w:t xml:space="preserve"> currency. As Benjamin Cohen</w:t>
      </w:r>
      <w:r w:rsidR="003E129E">
        <w:t xml:space="preserve"> </w:t>
      </w:r>
      <w:sdt>
        <w:sdtPr>
          <w:id w:val="-704485187"/>
          <w:citation/>
        </w:sdtPr>
        <w:sdtEndPr/>
        <w:sdtContent>
          <w:r w:rsidR="005D27E3">
            <w:fldChar w:fldCharType="begin"/>
          </w:r>
          <w:r w:rsidR="005D27E3">
            <w:instrText xml:space="preserve"> CITATION Ben98 \l 2057 </w:instrText>
          </w:r>
          <w:r w:rsidR="005D27E3">
            <w:fldChar w:fldCharType="separate"/>
          </w:r>
          <w:r w:rsidR="00915C38" w:rsidRPr="00915C38">
            <w:rPr>
              <w:noProof/>
            </w:rPr>
            <w:t>(Cohen, 1998)</w:t>
          </w:r>
          <w:r w:rsidR="005D27E3">
            <w:fldChar w:fldCharType="end"/>
          </w:r>
        </w:sdtContent>
      </w:sdt>
      <w:r w:rsidR="00741EB0">
        <w:t xml:space="preserve"> has noted, the supposed equality of currencies in the international arena is a myth: </w:t>
      </w:r>
      <w:r w:rsidR="005D27E3">
        <w:t xml:space="preserve">While the US dollar is widely accepted for payment across the world, there are other states where even their own citizens no longer trust their </w:t>
      </w:r>
      <w:r>
        <w:t>domestic</w:t>
      </w:r>
      <w:r w:rsidR="005D27E3">
        <w:t xml:space="preserve"> currency enough to use it for day-to-day transactions.</w:t>
      </w:r>
      <w:r w:rsidR="00DA1A64">
        <w:t xml:space="preserve"> Meanwhile, most states’ currencies will be placed somewhere </w:t>
      </w:r>
      <w:r w:rsidR="00863ED9">
        <w:t>along</w:t>
      </w:r>
      <w:r w:rsidR="00AD1DEF">
        <w:t xml:space="preserve"> this </w:t>
      </w:r>
      <w:r w:rsidR="00C26E48">
        <w:t>continuum</w:t>
      </w:r>
      <w:r w:rsidR="00DA1A64">
        <w:t>.</w:t>
      </w:r>
      <w:r w:rsidR="005D27E3">
        <w:t xml:space="preserve"> </w:t>
      </w:r>
    </w:p>
    <w:p w:rsidR="00DA1A64" w:rsidRDefault="005D27E3" w:rsidP="00FD21E8">
      <w:pPr>
        <w:spacing w:line="360" w:lineRule="auto"/>
      </w:pPr>
      <w:r>
        <w:t xml:space="preserve">The states of the Middle East </w:t>
      </w:r>
      <w:r w:rsidR="00F7426E">
        <w:t xml:space="preserve">are deeply implicated in </w:t>
      </w:r>
      <w:r w:rsidR="00DA1A64">
        <w:t>this</w:t>
      </w:r>
      <w:r w:rsidR="00F7426E">
        <w:t xml:space="preserve"> </w:t>
      </w:r>
      <w:r w:rsidR="00863ED9">
        <w:t>“</w:t>
      </w:r>
      <w:r w:rsidR="00F7426E">
        <w:t>u</w:t>
      </w:r>
      <w:r>
        <w:t>neven geography of money</w:t>
      </w:r>
      <w:r w:rsidR="00863ED9">
        <w:t>”</w:t>
      </w:r>
      <w:r w:rsidR="00F7426E">
        <w:t xml:space="preserve"> </w:t>
      </w:r>
      <w:sdt>
        <w:sdtPr>
          <w:id w:val="1531373899"/>
          <w:citation/>
        </w:sdtPr>
        <w:sdtEndPr/>
        <w:sdtContent>
          <w:r w:rsidR="00F7426E">
            <w:fldChar w:fldCharType="begin"/>
          </w:r>
          <w:r w:rsidR="00F7426E">
            <w:instrText xml:space="preserve"> CITATION Ben98 \l 2057 </w:instrText>
          </w:r>
          <w:r w:rsidR="00F7426E">
            <w:fldChar w:fldCharType="separate"/>
          </w:r>
          <w:r w:rsidR="00915C38" w:rsidRPr="00915C38">
            <w:rPr>
              <w:noProof/>
            </w:rPr>
            <w:t>(Cohen, 1998)</w:t>
          </w:r>
          <w:r w:rsidR="00F7426E">
            <w:fldChar w:fldCharType="end"/>
          </w:r>
        </w:sdtContent>
      </w:sdt>
      <w:r>
        <w:t xml:space="preserve">. </w:t>
      </w:r>
      <w:r w:rsidR="00F7426E">
        <w:t>Since the 1970s</w:t>
      </w:r>
      <w:r>
        <w:t xml:space="preserve">, </w:t>
      </w:r>
      <w:r w:rsidR="00F7426E">
        <w:t>Gulf oil states</w:t>
      </w:r>
      <w:r>
        <w:t xml:space="preserve"> have emerged as key players in the making of the global currency hierarchies. </w:t>
      </w:r>
      <w:r w:rsidR="00DB7D26">
        <w:t xml:space="preserve">The recycling of petrodollar surpluses played a crucial role in cementing </w:t>
      </w:r>
      <w:r>
        <w:t xml:space="preserve">US dollar hegemony after the abandonment of the gold standard in </w:t>
      </w:r>
      <w:r w:rsidR="00DB7D26">
        <w:t xml:space="preserve">the </w:t>
      </w:r>
      <w:r>
        <w:t>197</w:t>
      </w:r>
      <w:r w:rsidR="00DB7D26">
        <w:t>0s.</w:t>
      </w:r>
      <w:r w:rsidR="008E4323">
        <w:t xml:space="preserve"> The Middle East is also an arena for the exercise of coercive “monetary power” </w:t>
      </w:r>
      <w:sdt>
        <w:sdtPr>
          <w:id w:val="-1635245263"/>
          <w:citation/>
        </w:sdtPr>
        <w:sdtEndPr/>
        <w:sdtContent>
          <w:r w:rsidR="008E4323">
            <w:fldChar w:fldCharType="begin"/>
          </w:r>
          <w:r w:rsidR="008E4323">
            <w:instrText xml:space="preserve"> CITATION Jon95 \l 2057 </w:instrText>
          </w:r>
          <w:r w:rsidR="008E4323">
            <w:fldChar w:fldCharType="separate"/>
          </w:r>
          <w:r w:rsidR="00915C38" w:rsidRPr="00915C38">
            <w:rPr>
              <w:noProof/>
            </w:rPr>
            <w:t>(Kirshner, 1995)</w:t>
          </w:r>
          <w:r w:rsidR="008E4323">
            <w:fldChar w:fldCharType="end"/>
          </w:r>
        </w:sdtContent>
      </w:sdt>
      <w:r w:rsidR="008E4323">
        <w:t xml:space="preserve">: </w:t>
      </w:r>
      <w:r w:rsidR="00DA1A64">
        <w:t>US sanctions have curtailed Iranian</w:t>
      </w:r>
      <w:r w:rsidR="00C51FB6">
        <w:t xml:space="preserve"> access to </w:t>
      </w:r>
      <w:r w:rsidR="006E2623">
        <w:t>the global financial system, a feat made possible by the dominance of the US dollar</w:t>
      </w:r>
      <w:r w:rsidR="00C51FB6">
        <w:t>. Meanwhile, many regional countries are struggling to maintain the values of their currencies</w:t>
      </w:r>
      <w:r w:rsidR="00DA1A64">
        <w:t xml:space="preserve">. A </w:t>
      </w:r>
      <w:proofErr w:type="gramStart"/>
      <w:r w:rsidR="00DA1A64">
        <w:t>drop</w:t>
      </w:r>
      <w:r w:rsidR="004C4BE7">
        <w:t xml:space="preserve"> </w:t>
      </w:r>
      <w:r w:rsidR="00DA1A64">
        <w:t>in</w:t>
      </w:r>
      <w:proofErr w:type="gramEnd"/>
      <w:r w:rsidR="00DA1A64">
        <w:t xml:space="preserve"> value</w:t>
      </w:r>
      <w:r w:rsidR="00C51FB6">
        <w:t xml:space="preserve"> erodes citizens’ power to purchase</w:t>
      </w:r>
      <w:r w:rsidR="00DA1A64">
        <w:t xml:space="preserve"> the</w:t>
      </w:r>
      <w:r w:rsidR="00C51FB6">
        <w:t xml:space="preserve"> imported goods</w:t>
      </w:r>
      <w:r w:rsidR="00F7426E">
        <w:t xml:space="preserve"> the country depends on</w:t>
      </w:r>
      <w:r w:rsidR="00C51FB6">
        <w:t xml:space="preserve"> – and </w:t>
      </w:r>
      <w:r w:rsidR="00DA1A64">
        <w:t>is</w:t>
      </w:r>
      <w:r w:rsidR="00C51FB6">
        <w:t xml:space="preserve"> thus a threat to political stability. </w:t>
      </w:r>
      <w:r w:rsidR="005F6E0A">
        <w:t xml:space="preserve">Since the start of the Arab uprisings in 2011, </w:t>
      </w:r>
      <w:r w:rsidR="00285C94">
        <w:t>“monetary power”</w:t>
      </w:r>
      <w:r w:rsidR="00DA2CC3">
        <w:t xml:space="preserve"> has therefore become an important part of the toolbox of counter-revolutionary statecraft by Gulf Arab monarchies: In moments of economic and political peril, they</w:t>
      </w:r>
      <w:r w:rsidR="00C51FB6">
        <w:t xml:space="preserve"> bolster allies through timely injections of US dollars, propping up </w:t>
      </w:r>
      <w:r w:rsidR="00F7426E">
        <w:t xml:space="preserve">their clients’ </w:t>
      </w:r>
      <w:r w:rsidR="00C51FB6">
        <w:t xml:space="preserve">failing currencies. </w:t>
      </w:r>
    </w:p>
    <w:p w:rsidR="00E06B26" w:rsidRDefault="00E06B26" w:rsidP="00FD21E8">
      <w:pPr>
        <w:spacing w:line="360" w:lineRule="auto"/>
      </w:pPr>
    </w:p>
    <w:p w:rsidR="00E06B26" w:rsidRPr="00E06B26" w:rsidRDefault="00E06B26" w:rsidP="00FD21E8">
      <w:pPr>
        <w:spacing w:line="360" w:lineRule="auto"/>
        <w:rPr>
          <w:b/>
        </w:rPr>
      </w:pPr>
      <w:r w:rsidRPr="00E06B26">
        <w:rPr>
          <w:b/>
        </w:rPr>
        <w:t xml:space="preserve">Gulf </w:t>
      </w:r>
      <w:proofErr w:type="spellStart"/>
      <w:r w:rsidRPr="00E06B26">
        <w:rPr>
          <w:b/>
        </w:rPr>
        <w:t>petro</w:t>
      </w:r>
      <w:proofErr w:type="spellEnd"/>
      <w:r w:rsidRPr="00E06B26">
        <w:rPr>
          <w:b/>
        </w:rPr>
        <w:t>-dollar recycling and the making of US dollar hegemony</w:t>
      </w:r>
    </w:p>
    <w:p w:rsidR="00990CDD" w:rsidRDefault="00A22336" w:rsidP="00FD21E8">
      <w:pPr>
        <w:spacing w:line="360" w:lineRule="auto"/>
      </w:pPr>
      <w:r>
        <w:t xml:space="preserve">After World War II, the US dollar cemented its role as the world’s preferred reserve currency, having replaced </w:t>
      </w:r>
      <w:r w:rsidR="00A00945">
        <w:t>sterling</w:t>
      </w:r>
      <w:r>
        <w:t>. T</w:t>
      </w:r>
      <w:r w:rsidR="00A00945">
        <w:t xml:space="preserve">he dollar’s “exorbitant privilege” </w:t>
      </w:r>
      <w:sdt>
        <w:sdtPr>
          <w:id w:val="1471083970"/>
          <w:citation/>
        </w:sdtPr>
        <w:sdtEndPr/>
        <w:sdtContent>
          <w:r w:rsidR="00A00945">
            <w:fldChar w:fldCharType="begin"/>
          </w:r>
          <w:r w:rsidR="00A00945">
            <w:instrText xml:space="preserve"> CITATION Bar11 \l 2057 </w:instrText>
          </w:r>
          <w:r w:rsidR="00A00945">
            <w:fldChar w:fldCharType="separate"/>
          </w:r>
          <w:r w:rsidR="00915C38" w:rsidRPr="00915C38">
            <w:rPr>
              <w:noProof/>
            </w:rPr>
            <w:t>(Eichengreen, 2011)</w:t>
          </w:r>
          <w:r w:rsidR="00A00945">
            <w:fldChar w:fldCharType="end"/>
          </w:r>
        </w:sdtContent>
      </w:sdt>
      <w:r>
        <w:t xml:space="preserve"> seemed momentarily imperilled in the </w:t>
      </w:r>
      <w:r w:rsidR="00180D25">
        <w:t xml:space="preserve">early </w:t>
      </w:r>
      <w:r>
        <w:t xml:space="preserve">1970s, when Washington was forced to abandon the gold standard. The world entered </w:t>
      </w:r>
      <w:r w:rsidR="00180D25">
        <w:t>the</w:t>
      </w:r>
      <w:r>
        <w:t xml:space="preserve"> post-</w:t>
      </w:r>
      <w:r w:rsidR="00180D25">
        <w:t xml:space="preserve">gold era </w:t>
      </w:r>
      <w:r>
        <w:t xml:space="preserve">of floating currencies and Washington was keen to assert </w:t>
      </w:r>
      <w:r w:rsidR="00180D25">
        <w:t xml:space="preserve">the </w:t>
      </w:r>
      <w:r w:rsidR="00A00945">
        <w:t xml:space="preserve">dollar’s status as </w:t>
      </w:r>
      <w:r w:rsidR="00180D25">
        <w:t>the world’s favourite money.</w:t>
      </w:r>
    </w:p>
    <w:p w:rsidR="00294153" w:rsidRDefault="00D00B64" w:rsidP="00D67D0A">
      <w:pPr>
        <w:spacing w:line="360" w:lineRule="auto"/>
      </w:pPr>
      <w:r>
        <w:lastRenderedPageBreak/>
        <w:t xml:space="preserve">The transformation of the global monetary system coincided with a shift in the balance of power from great-power oil consumers to oil producers in the Global South – including </w:t>
      </w:r>
      <w:r w:rsidR="003C0E63">
        <w:t>Iran</w:t>
      </w:r>
      <w:r w:rsidR="00D13F77">
        <w:t xml:space="preserve"> and Saudi Arabia. The Organisation of Petroleum Exporting Countries (OPEC) became the institutional expression of this newfound power. David Spiro </w:t>
      </w:r>
      <w:sdt>
        <w:sdtPr>
          <w:id w:val="-454254641"/>
          <w:citation/>
        </w:sdtPr>
        <w:sdtEndPr/>
        <w:sdtContent>
          <w:r w:rsidR="00D13F77">
            <w:fldChar w:fldCharType="begin"/>
          </w:r>
          <w:r w:rsidR="00D13F77">
            <w:instrText xml:space="preserve"> CITATION Dav99 \l 2057 </w:instrText>
          </w:r>
          <w:r w:rsidR="00D13F77">
            <w:fldChar w:fldCharType="separate"/>
          </w:r>
          <w:r w:rsidR="00915C38" w:rsidRPr="00915C38">
            <w:rPr>
              <w:noProof/>
            </w:rPr>
            <w:t>(Spiro, 1999)</w:t>
          </w:r>
          <w:r w:rsidR="00D13F77">
            <w:fldChar w:fldCharType="end"/>
          </w:r>
        </w:sdtContent>
      </w:sdt>
      <w:r w:rsidR="00D13F77">
        <w:t xml:space="preserve"> traced how the way petrodollars were recycled supported the making of US dollar hegemony. Tacit agreements between the US and Saudi Arabia channelled the kingdom’s petrodollars into American treasury bonds. Saudi oil income thus helped </w:t>
      </w:r>
      <w:proofErr w:type="gramStart"/>
      <w:r w:rsidR="00D13F77">
        <w:t>finance</w:t>
      </w:r>
      <w:proofErr w:type="gramEnd"/>
      <w:r w:rsidR="00D13F77">
        <w:t xml:space="preserve"> American deficits. Furthermore, Saudi Arabia agreed to lobby OPEC to keep oil priced in US dollars. Spiro (1999, p. 121-122) describes the advantage of this for the US as a “double loan”. Firstly, the US “government could print dollars to pay for oil, and the American economy did not have to produce foods and services in exchange for the oil until OPEC used the dollars for goods and services” – a strategy which would not work if oil were priced in a currency other than the dollar. </w:t>
      </w:r>
      <w:r w:rsidR="00294153">
        <w:t xml:space="preserve">Secondly, all other countries “had to pay dollars for oil but could not print currency”, forcing them to trade their goods and services for dollar before being able to buy oil. </w:t>
      </w:r>
      <w:r w:rsidR="00FA5CDA">
        <w:t>Saudi Arabia thus influen</w:t>
      </w:r>
      <w:r w:rsidR="00D67D0A">
        <w:t>c</w:t>
      </w:r>
      <w:r w:rsidR="004C4BE7">
        <w:t>ed</w:t>
      </w:r>
      <w:r w:rsidR="00FA5CDA">
        <w:t xml:space="preserve"> quite fundamental functions of the American state, including </w:t>
      </w:r>
      <w:r w:rsidR="007C2E2A">
        <w:t>raising debt and maintaining the global predominance of its currency.</w:t>
      </w:r>
    </w:p>
    <w:p w:rsidR="00B1744E" w:rsidRDefault="007C2E2A" w:rsidP="00FD21E8">
      <w:pPr>
        <w:spacing w:line="360" w:lineRule="auto"/>
      </w:pPr>
      <w:r>
        <w:t>The oil boom of from 2001 until 2014 revived an interest in the role of Gulf oil monarchies’ surpluses propping up the US dollar.</w:t>
      </w:r>
      <w:r w:rsidR="00D67D0A">
        <w:t xml:space="preserve"> Momani </w:t>
      </w:r>
      <w:sdt>
        <w:sdtPr>
          <w:id w:val="1848359212"/>
          <w:citation/>
        </w:sdtPr>
        <w:sdtEndPr/>
        <w:sdtContent>
          <w:r w:rsidR="00D67D0A">
            <w:fldChar w:fldCharType="begin"/>
          </w:r>
          <w:r w:rsidR="00D67D0A">
            <w:instrText xml:space="preserve"> CITATION Bes08 \l 2057 </w:instrText>
          </w:r>
          <w:r w:rsidR="00D67D0A">
            <w:fldChar w:fldCharType="separate"/>
          </w:r>
          <w:r w:rsidR="00915C38" w:rsidRPr="00915C38">
            <w:rPr>
              <w:noProof/>
            </w:rPr>
            <w:t>(Momani, 2008)</w:t>
          </w:r>
          <w:r w:rsidR="00D67D0A">
            <w:fldChar w:fldCharType="end"/>
          </w:r>
        </w:sdtContent>
      </w:sdt>
      <w:r w:rsidR="00D67D0A">
        <w:t xml:space="preserve"> argues Gulf influence has dissipated somewhat, as g</w:t>
      </w:r>
      <w:r>
        <w:t xml:space="preserve">lobal oil markets are unlikely to simply switch their pricing into currencies other than the US dollar and Gulf investment has diversified </w:t>
      </w:r>
      <w:r w:rsidR="00D67D0A">
        <w:t>away from</w:t>
      </w:r>
      <w:r>
        <w:t xml:space="preserve"> “conservative” investments such as US treasury bonds</w:t>
      </w:r>
      <w:r w:rsidR="00DA2CC3">
        <w:t xml:space="preserve">. </w:t>
      </w:r>
      <w:r w:rsidR="00B963F2">
        <w:t xml:space="preserve">Interviewing </w:t>
      </w:r>
      <w:r w:rsidR="00B1744E">
        <w:t>financial elites in the Gulf Cooperation Council (GCC) states, Otero-Iglesias and Steinberg found that they remained inclined</w:t>
      </w:r>
      <w:r w:rsidR="00414F60">
        <w:t xml:space="preserve"> to keep their foreign currency reserves in US dollars, </w:t>
      </w:r>
      <w:r w:rsidR="00B963F2">
        <w:t>not least due to continued</w:t>
      </w:r>
      <w:r w:rsidR="00DA2CC3">
        <w:t xml:space="preserve"> American</w:t>
      </w:r>
      <w:r w:rsidR="00B963F2">
        <w:t xml:space="preserve"> security guarantees</w:t>
      </w:r>
      <w:r w:rsidR="00DA2CC3">
        <w:t xml:space="preserve"> for the Gulf monarchies</w:t>
      </w:r>
      <w:r w:rsidR="00B1744E">
        <w:t xml:space="preserve"> </w:t>
      </w:r>
      <w:sdt>
        <w:sdtPr>
          <w:id w:val="831027286"/>
          <w:citation/>
        </w:sdtPr>
        <w:sdtEndPr/>
        <w:sdtContent>
          <w:r w:rsidR="00B1744E">
            <w:fldChar w:fldCharType="begin"/>
          </w:r>
          <w:r w:rsidR="00B1744E">
            <w:instrText xml:space="preserve"> CITATION Ote13 \l 2057 </w:instrText>
          </w:r>
          <w:r w:rsidR="00B1744E">
            <w:fldChar w:fldCharType="separate"/>
          </w:r>
          <w:r w:rsidR="00915C38" w:rsidRPr="00915C38">
            <w:rPr>
              <w:noProof/>
            </w:rPr>
            <w:t>(Otero-Iglesias &amp; Steinberg, 2013)</w:t>
          </w:r>
          <w:r w:rsidR="00B1744E">
            <w:fldChar w:fldCharType="end"/>
          </w:r>
        </w:sdtContent>
      </w:sdt>
      <w:r w:rsidR="00B1744E">
        <w:t>.</w:t>
      </w:r>
      <w:r w:rsidR="001D486E">
        <w:t xml:space="preserve"> </w:t>
      </w:r>
    </w:p>
    <w:p w:rsidR="00E06B26" w:rsidRDefault="00DA2CC3" w:rsidP="00FD21E8">
      <w:pPr>
        <w:spacing w:line="360" w:lineRule="auto"/>
      </w:pPr>
      <w:r>
        <w:t xml:space="preserve">And yet US policy makers and pundits experience recurring bouts of anxiety about “America’s superpower” to print </w:t>
      </w:r>
      <w:r w:rsidR="00D67D0A">
        <w:t xml:space="preserve">a </w:t>
      </w:r>
      <w:r>
        <w:t xml:space="preserve">currency the rest of the world economy is happy to soak up </w:t>
      </w:r>
      <w:sdt>
        <w:sdtPr>
          <w:id w:val="1903941822"/>
          <w:citation/>
        </w:sdtPr>
        <w:sdtEndPr/>
        <w:sdtContent>
          <w:r>
            <w:fldChar w:fldCharType="begin"/>
          </w:r>
          <w:r>
            <w:instrText xml:space="preserve"> CITATION Zak23 \l 2057 </w:instrText>
          </w:r>
          <w:r>
            <w:fldChar w:fldCharType="separate"/>
          </w:r>
          <w:r w:rsidR="00915C38" w:rsidRPr="00915C38">
            <w:rPr>
              <w:noProof/>
            </w:rPr>
            <w:t>(Zakaria, 2023)</w:t>
          </w:r>
          <w:r>
            <w:fldChar w:fldCharType="end"/>
          </w:r>
        </w:sdtContent>
      </w:sdt>
      <w:r>
        <w:t xml:space="preserve">. </w:t>
      </w:r>
      <w:r w:rsidR="000677B9">
        <w:t>Others find these</w:t>
      </w:r>
      <w:r w:rsidR="0005073E">
        <w:t xml:space="preserve"> t</w:t>
      </w:r>
      <w:r w:rsidR="0037157F">
        <w:t xml:space="preserve">hreats to </w:t>
      </w:r>
      <w:r w:rsidR="000677B9">
        <w:t xml:space="preserve">the </w:t>
      </w:r>
      <w:r w:rsidR="0037157F">
        <w:t>dollar</w:t>
      </w:r>
      <w:r w:rsidR="000677B9">
        <w:t>’s</w:t>
      </w:r>
      <w:r w:rsidR="0037157F">
        <w:t xml:space="preserve"> role</w:t>
      </w:r>
      <w:r w:rsidR="0005073E">
        <w:t xml:space="preserve"> </w:t>
      </w:r>
      <w:r w:rsidR="0037157F">
        <w:t>overblown</w:t>
      </w:r>
      <w:r w:rsidR="000677B9">
        <w:t xml:space="preserve">, not least because China’s yuan remains a less attractive alternative while capital controls are in place and Chinese capital markets remain under-developed </w:t>
      </w:r>
      <w:sdt>
        <w:sdtPr>
          <w:id w:val="-930502834"/>
          <w:citation/>
        </w:sdtPr>
        <w:sdtEndPr/>
        <w:sdtContent>
          <w:r w:rsidR="000677B9">
            <w:fldChar w:fldCharType="begin"/>
          </w:r>
          <w:r w:rsidR="000677B9">
            <w:instrText xml:space="preserve"> CITATION FTe23 \l 2057 </w:instrText>
          </w:r>
          <w:r w:rsidR="000677B9">
            <w:fldChar w:fldCharType="separate"/>
          </w:r>
          <w:r w:rsidR="00915C38" w:rsidRPr="00915C38">
            <w:rPr>
              <w:noProof/>
            </w:rPr>
            <w:t>(FT editorial board, 2023)</w:t>
          </w:r>
          <w:r w:rsidR="000677B9">
            <w:fldChar w:fldCharType="end"/>
          </w:r>
        </w:sdtContent>
      </w:sdt>
      <w:r w:rsidR="000677B9">
        <w:t xml:space="preserve">. Again, the Gulf states feature heavily in this discussion about the future of dollar hegemony. Saudi Arabia under Crown Prince Mohammed bin Salman has been </w:t>
      </w:r>
      <w:r w:rsidR="009A4D87">
        <w:t xml:space="preserve">displaying </w:t>
      </w:r>
      <w:r w:rsidR="000677B9">
        <w:t xml:space="preserve">greater </w:t>
      </w:r>
      <w:r w:rsidR="009A4D87">
        <w:t xml:space="preserve">independence from </w:t>
      </w:r>
      <w:r w:rsidR="000677B9">
        <w:t>United States foreign policy than has traditionally be the case. The kingdom not only defied American wishes on issues such as the Ukraine war and oil policy, but also flirted</w:t>
      </w:r>
      <w:r w:rsidR="009A4D87">
        <w:t xml:space="preserve"> with</w:t>
      </w:r>
      <w:r w:rsidR="000677B9">
        <w:t xml:space="preserve"> increasing</w:t>
      </w:r>
      <w:r w:rsidR="00D67D0A">
        <w:t xml:space="preserve"> the</w:t>
      </w:r>
      <w:r w:rsidR="000677B9">
        <w:t xml:space="preserve"> use of</w:t>
      </w:r>
      <w:r w:rsidR="009A4D87">
        <w:t xml:space="preserve"> “</w:t>
      </w:r>
      <w:proofErr w:type="spellStart"/>
      <w:r w:rsidR="009A4D87">
        <w:t>petroyuan</w:t>
      </w:r>
      <w:proofErr w:type="spellEnd"/>
      <w:r w:rsidR="009A4D87">
        <w:t xml:space="preserve">” </w:t>
      </w:r>
      <w:r w:rsidR="000677B9">
        <w:t xml:space="preserve">– settling oil bills in Chinese currency </w:t>
      </w:r>
      <w:sdt>
        <w:sdtPr>
          <w:id w:val="1802958179"/>
          <w:citation/>
        </w:sdtPr>
        <w:sdtEndPr/>
        <w:sdtContent>
          <w:r w:rsidR="000677B9">
            <w:fldChar w:fldCharType="begin"/>
          </w:r>
          <w:r w:rsidR="000677B9">
            <w:instrText xml:space="preserve"> CITATION Sai22 \l 2057 </w:instrText>
          </w:r>
          <w:r w:rsidR="000677B9">
            <w:fldChar w:fldCharType="separate"/>
          </w:r>
          <w:r w:rsidR="00915C38" w:rsidRPr="00915C38">
            <w:rPr>
              <w:noProof/>
            </w:rPr>
            <w:t>(Said &amp; Kalin, 2022)</w:t>
          </w:r>
          <w:r w:rsidR="000677B9">
            <w:fldChar w:fldCharType="end"/>
          </w:r>
        </w:sdtContent>
      </w:sdt>
      <w:r w:rsidR="000677B9">
        <w:t>.</w:t>
      </w:r>
      <w:r w:rsidR="009A4D87">
        <w:t xml:space="preserve"> </w:t>
      </w:r>
    </w:p>
    <w:p w:rsidR="00E06B26" w:rsidRPr="00E06B26" w:rsidRDefault="0061225C" w:rsidP="00FD21E8">
      <w:pPr>
        <w:spacing w:line="360" w:lineRule="auto"/>
        <w:rPr>
          <w:b/>
        </w:rPr>
      </w:pPr>
      <w:r>
        <w:rPr>
          <w:b/>
        </w:rPr>
        <w:lastRenderedPageBreak/>
        <w:t>Iran sanctions as c</w:t>
      </w:r>
      <w:r w:rsidR="00E06B26" w:rsidRPr="00E06B26">
        <w:rPr>
          <w:b/>
        </w:rPr>
        <w:t xml:space="preserve">oercive monetary power </w:t>
      </w:r>
    </w:p>
    <w:p w:rsidR="00E06B26" w:rsidRDefault="008E798D" w:rsidP="00FD21E8">
      <w:pPr>
        <w:spacing w:line="360" w:lineRule="auto"/>
      </w:pPr>
      <w:r>
        <w:t xml:space="preserve">The Middle East has become </w:t>
      </w:r>
      <w:r w:rsidR="00D67D0A">
        <w:t xml:space="preserve">a site for the exercise of American </w:t>
      </w:r>
      <w:r w:rsidR="00DC17BF">
        <w:t>“</w:t>
      </w:r>
      <w:r>
        <w:t>monetary power</w:t>
      </w:r>
      <w:r w:rsidR="00DC17BF">
        <w:t xml:space="preserve">”, the use of </w:t>
      </w:r>
      <w:r w:rsidR="00DC17BF" w:rsidRPr="00DC17BF">
        <w:t>international monetary relations as an instrument of coercive power</w:t>
      </w:r>
      <w:r w:rsidR="00DC17BF">
        <w:t xml:space="preserve"> </w:t>
      </w:r>
      <w:sdt>
        <w:sdtPr>
          <w:id w:val="-447780664"/>
          <w:citation/>
        </w:sdtPr>
        <w:sdtEndPr/>
        <w:sdtContent>
          <w:r w:rsidR="00440EF2">
            <w:fldChar w:fldCharType="begin"/>
          </w:r>
          <w:r w:rsidR="00440EF2">
            <w:instrText xml:space="preserve">CITATION Jon951 \l 2057 </w:instrText>
          </w:r>
          <w:r w:rsidR="00440EF2">
            <w:fldChar w:fldCharType="separate"/>
          </w:r>
          <w:r w:rsidR="00915C38" w:rsidRPr="00915C38">
            <w:rPr>
              <w:noProof/>
            </w:rPr>
            <w:t>(Kirshner, 1995)</w:t>
          </w:r>
          <w:r w:rsidR="00440EF2">
            <w:fldChar w:fldCharType="end"/>
          </w:r>
        </w:sdtContent>
      </w:sdt>
      <w:r w:rsidR="00DC17BF" w:rsidRPr="00DC17BF">
        <w:t xml:space="preserve">. </w:t>
      </w:r>
      <w:r w:rsidR="00440EF2">
        <w:t xml:space="preserve">A classic example of the use of monetary power </w:t>
      </w:r>
      <w:r w:rsidR="002B27B9">
        <w:t>was</w:t>
      </w:r>
      <w:r w:rsidR="00440EF2">
        <w:t xml:space="preserve"> the Suez </w:t>
      </w:r>
      <w:r w:rsidR="000677B9">
        <w:t>war</w:t>
      </w:r>
      <w:r w:rsidR="002B27B9">
        <w:t xml:space="preserve"> of 1956</w:t>
      </w:r>
      <w:r w:rsidR="00440EF2">
        <w:t>. The British collusion with France and Israel did not fail because of military defeat but because the United States refused to prop up the value of the pound, which had come under</w:t>
      </w:r>
      <w:r w:rsidR="00E04247">
        <w:t xml:space="preserve"> sustained</w:t>
      </w:r>
      <w:r w:rsidR="00440EF2">
        <w:t xml:space="preserve"> pressure. </w:t>
      </w:r>
      <w:r w:rsidR="002B27B9">
        <w:t xml:space="preserve">America’s ability to coerce states through monetary relations </w:t>
      </w:r>
      <w:r w:rsidR="00E04247">
        <w:t>includes its</w:t>
      </w:r>
      <w:r w:rsidR="002B27B9">
        <w:t xml:space="preserve"> ability</w:t>
      </w:r>
      <w:r w:rsidR="00440EF2">
        <w:t xml:space="preserve"> to curtail </w:t>
      </w:r>
      <w:r w:rsidR="002B27B9">
        <w:t>a foe’s</w:t>
      </w:r>
      <w:r w:rsidR="00440EF2">
        <w:t xml:space="preserve"> access to </w:t>
      </w:r>
      <w:r w:rsidR="002B27B9">
        <w:t>the dollar, the</w:t>
      </w:r>
      <w:r w:rsidR="00440EF2">
        <w:t xml:space="preserve"> lifeblood of global economic transactions. </w:t>
      </w:r>
      <w:r w:rsidR="000677B9">
        <w:t>More recently, the efficacy of American-led sanctions to punish Russia’s invasion of Ukraine relied in no small part on the ability to deny Moscow access to US dollars</w:t>
      </w:r>
      <w:r w:rsidR="00901660">
        <w:t xml:space="preserve"> </w:t>
      </w:r>
      <w:sdt>
        <w:sdtPr>
          <w:id w:val="250012143"/>
          <w:citation/>
        </w:sdtPr>
        <w:sdtEndPr/>
        <w:sdtContent>
          <w:r w:rsidR="00901660">
            <w:fldChar w:fldCharType="begin"/>
          </w:r>
          <w:r w:rsidR="00901660">
            <w:instrText xml:space="preserve"> CITATION Wol22 \l 2057 </w:instrText>
          </w:r>
          <w:r w:rsidR="00901660">
            <w:fldChar w:fldCharType="separate"/>
          </w:r>
          <w:r w:rsidR="00915C38" w:rsidRPr="00915C38">
            <w:rPr>
              <w:noProof/>
            </w:rPr>
            <w:t>(Wolf, 2022)</w:t>
          </w:r>
          <w:r w:rsidR="00901660">
            <w:fldChar w:fldCharType="end"/>
          </w:r>
        </w:sdtContent>
      </w:sdt>
      <w:r w:rsidR="000677B9">
        <w:t xml:space="preserve">. </w:t>
      </w:r>
    </w:p>
    <w:p w:rsidR="00AD0FC6" w:rsidRDefault="00AD0FC6" w:rsidP="00FD21E8">
      <w:pPr>
        <w:spacing w:line="360" w:lineRule="auto"/>
      </w:pPr>
      <w:r>
        <w:t xml:space="preserve">This extreme form of financial sanctions had previously </w:t>
      </w:r>
      <w:r w:rsidR="00096914">
        <w:t>been trialled i</w:t>
      </w:r>
      <w:r>
        <w:t xml:space="preserve">n the Middle East. </w:t>
      </w:r>
      <w:r w:rsidR="00A325AA">
        <w:t xml:space="preserve">The United States put Iran under sanctions soon after the 1979 revolution. The administration of George W. Bush then stepped up sanctions with a campaign aimed at isolating Iran from the global financial system </w:t>
      </w:r>
      <w:sdt>
        <w:sdtPr>
          <w:id w:val="-1794203228"/>
          <w:citation/>
        </w:sdtPr>
        <w:sdtEndPr/>
        <w:sdtContent>
          <w:r w:rsidR="00A325AA">
            <w:fldChar w:fldCharType="begin"/>
          </w:r>
          <w:r w:rsidR="00A325AA">
            <w:instrText xml:space="preserve"> CITATION Aar16 \l 2057 </w:instrText>
          </w:r>
          <w:r w:rsidR="00A325AA">
            <w:fldChar w:fldCharType="separate"/>
          </w:r>
          <w:r w:rsidR="00915C38" w:rsidRPr="00915C38">
            <w:rPr>
              <w:noProof/>
            </w:rPr>
            <w:t>(Arnold, 2016)</w:t>
          </w:r>
          <w:r w:rsidR="00A325AA">
            <w:fldChar w:fldCharType="end"/>
          </w:r>
        </w:sdtContent>
      </w:sdt>
      <w:r w:rsidR="00A325AA">
        <w:t>. In 2006 the Treasury lobbied private banks, making it clear that dealing with Iranian financial entities would represent a reputational risk. They also started blacklisting Iranian banks. In 2008</w:t>
      </w:r>
      <w:r>
        <w:t>, it closed</w:t>
      </w:r>
      <w:r w:rsidR="00A325AA">
        <w:t xml:space="preserve"> a loophole that allowed US banks to act as intermediaries to facilitate transactions between foreign banks acting on behalf of Iranian clients. </w:t>
      </w:r>
    </w:p>
    <w:p w:rsidR="00A325AA" w:rsidRDefault="00A325AA" w:rsidP="00FD21E8">
      <w:pPr>
        <w:spacing w:line="360" w:lineRule="auto"/>
        <w:rPr>
          <w:color w:val="FF0000"/>
        </w:rPr>
      </w:pPr>
      <w:r>
        <w:t xml:space="preserve">The Obama administration further tightened the screws. This was the </w:t>
      </w:r>
      <w:r w:rsidR="00274159">
        <w:t>stick to entice Iran to accept the carrot of a nuclear agreement, which was eventually concluded between the P5+1 and Iran in 2015. In 2010</w:t>
      </w:r>
      <w:r w:rsidR="00AD0FC6">
        <w:t>,</w:t>
      </w:r>
      <w:r w:rsidR="00274159">
        <w:t xml:space="preserve"> Congress passed the Comprehensive Iran Sanctions, Accountability, and Divestment Act (CISADA), which would freeze foreign banks out of the US financial system if found to be falling foul of financial sanctions against Iran. European Union sanctions were also tightened. In 2012 Iran was excluded from the SWIFT payment system, which cut the country out of the standard secure messaging system used in global financial transactions.</w:t>
      </w:r>
      <w:r w:rsidR="00AD0FC6">
        <w:t xml:space="preserve"> </w:t>
      </w:r>
      <w:r w:rsidR="00274159">
        <w:t xml:space="preserve">These efforts to freeze Iran out of the global financial system worked. Iran lost access to many frozen overseas accounts, </w:t>
      </w:r>
      <w:r w:rsidR="00D2654F">
        <w:t xml:space="preserve">foreign currency reserves dwindled, the value of the </w:t>
      </w:r>
      <w:proofErr w:type="spellStart"/>
      <w:r w:rsidR="00D2654F">
        <w:t>rial</w:t>
      </w:r>
      <w:proofErr w:type="spellEnd"/>
      <w:r w:rsidR="00D2654F">
        <w:t xml:space="preserve"> dropped </w:t>
      </w:r>
      <w:sdt>
        <w:sdtPr>
          <w:id w:val="-1905362969"/>
          <w:citation/>
        </w:sdtPr>
        <w:sdtEndPr/>
        <w:sdtContent>
          <w:r w:rsidR="00D2654F">
            <w:fldChar w:fldCharType="begin"/>
          </w:r>
          <w:r w:rsidR="00D2654F">
            <w:instrText xml:space="preserve">CITATION Aar16 \p 87 \l 2057 </w:instrText>
          </w:r>
          <w:r w:rsidR="00D2654F">
            <w:fldChar w:fldCharType="separate"/>
          </w:r>
          <w:r w:rsidR="00915C38" w:rsidRPr="00915C38">
            <w:rPr>
              <w:noProof/>
            </w:rPr>
            <w:t>(Arnold, 2016, p. 87)</w:t>
          </w:r>
          <w:r w:rsidR="00D2654F">
            <w:fldChar w:fldCharType="end"/>
          </w:r>
        </w:sdtContent>
      </w:sdt>
      <w:r w:rsidR="00D2654F">
        <w:t>.</w:t>
      </w:r>
      <w:r w:rsidR="00A47E5E">
        <w:t xml:space="preserve"> </w:t>
      </w:r>
    </w:p>
    <w:p w:rsidR="0061225C" w:rsidRDefault="00B24653" w:rsidP="00FD21E8">
      <w:pPr>
        <w:spacing w:line="360" w:lineRule="auto"/>
      </w:pPr>
      <w:r>
        <w:t xml:space="preserve">These financial sanctions could only succeed because of the role of the dollar in global trade and as a reserve currency. Not only American banks were facing the threat of falling foul of their own government’s rules, but European and other global banks were also fearful of incurring Washington’s wrath. The risk of dealing with Iran was simply too great. </w:t>
      </w:r>
    </w:p>
    <w:p w:rsidR="00906515" w:rsidRDefault="00A47E5E" w:rsidP="00FD21E8">
      <w:pPr>
        <w:spacing w:line="360" w:lineRule="auto"/>
      </w:pPr>
      <w:r>
        <w:t>The US lifted many of its sanctions on Iran after the signing of the nuclear accord in 2015. Donald Trump then reinstated sanctions when he withdrew from the agreement in 2018. These</w:t>
      </w:r>
      <w:r w:rsidR="00381694">
        <w:t xml:space="preserve"> sanctions </w:t>
      </w:r>
      <w:r>
        <w:lastRenderedPageBreak/>
        <w:t xml:space="preserve">have had an </w:t>
      </w:r>
      <w:r w:rsidR="00381694">
        <w:t xml:space="preserve">effect </w:t>
      </w:r>
      <w:r>
        <w:t>beyond Iran’s borders, also affecting neighbouring countries</w:t>
      </w:r>
      <w:r w:rsidR="00381694">
        <w:t>.</w:t>
      </w:r>
      <w:r>
        <w:t xml:space="preserve"> Dubai ‘s traders and banks feared that they would fall foul of American restrictions, given that the city had become an important commercial window to the world for Iran </w:t>
      </w:r>
      <w:sdt>
        <w:sdtPr>
          <w:id w:val="-2044431089"/>
          <w:citation/>
        </w:sdtPr>
        <w:sdtEndPr/>
        <w:sdtContent>
          <w:r>
            <w:fldChar w:fldCharType="begin"/>
          </w:r>
          <w:r>
            <w:instrText xml:space="preserve"> CITATION Kha18 \l 2057 </w:instrText>
          </w:r>
          <w:r>
            <w:fldChar w:fldCharType="separate"/>
          </w:r>
          <w:r w:rsidR="00915C38" w:rsidRPr="00915C38">
            <w:rPr>
              <w:noProof/>
            </w:rPr>
            <w:t>(Khalid &amp; Torchia, 2018)</w:t>
          </w:r>
          <w:r>
            <w:fldChar w:fldCharType="end"/>
          </w:r>
        </w:sdtContent>
      </w:sdt>
      <w:r>
        <w:t>.</w:t>
      </w:r>
      <w:r w:rsidR="00B44C77">
        <w:t xml:space="preserve"> Lebanon’s banks became nervous because Hizballah’s close links to Tehran were exposing th</w:t>
      </w:r>
      <w:r w:rsidR="00F813CD">
        <w:t xml:space="preserve">is crucial economic sector to America’s wrath </w:t>
      </w:r>
      <w:sdt>
        <w:sdtPr>
          <w:id w:val="-1785338125"/>
          <w:citation/>
        </w:sdtPr>
        <w:sdtEndPr/>
        <w:sdtContent>
          <w:r w:rsidR="00F813CD">
            <w:fldChar w:fldCharType="begin"/>
          </w:r>
          <w:r w:rsidR="00F813CD">
            <w:instrText xml:space="preserve"> CITATION Bar19 \l 2057 </w:instrText>
          </w:r>
          <w:r w:rsidR="00F813CD">
            <w:fldChar w:fldCharType="separate"/>
          </w:r>
          <w:r w:rsidR="00915C38" w:rsidRPr="00915C38">
            <w:rPr>
              <w:noProof/>
            </w:rPr>
            <w:t>(Barrington &amp; Francis, 2019)</w:t>
          </w:r>
          <w:r w:rsidR="00F813CD">
            <w:fldChar w:fldCharType="end"/>
          </w:r>
        </w:sdtContent>
      </w:sdt>
      <w:r w:rsidR="00F813CD">
        <w:t xml:space="preserve">. </w:t>
      </w:r>
      <w:r w:rsidR="002867A8">
        <w:t>In Iraq, access to US dollars has been regulated by the US Federal Reserve, which</w:t>
      </w:r>
      <w:r w:rsidR="00B2423A">
        <w:t xml:space="preserve"> supplies Baghdad’s central banks with US currency for daily </w:t>
      </w:r>
      <w:r w:rsidR="002867A8">
        <w:t>“dollar auctions”</w:t>
      </w:r>
      <w:r w:rsidR="00B2423A">
        <w:t xml:space="preserve"> </w:t>
      </w:r>
      <w:sdt>
        <w:sdtPr>
          <w:id w:val="106157858"/>
          <w:citation/>
        </w:sdtPr>
        <w:sdtEndPr/>
        <w:sdtContent>
          <w:r w:rsidR="006155A6">
            <w:fldChar w:fldCharType="begin"/>
          </w:r>
          <w:r w:rsidR="006155A6">
            <w:instrText xml:space="preserve"> CITATION Jal23 \l 2057 </w:instrText>
          </w:r>
          <w:r w:rsidR="006155A6">
            <w:fldChar w:fldCharType="separate"/>
          </w:r>
          <w:r w:rsidR="00915C38" w:rsidRPr="00915C38">
            <w:rPr>
              <w:noProof/>
            </w:rPr>
            <w:t>(Jalabi, 2023)</w:t>
          </w:r>
          <w:r w:rsidR="006155A6">
            <w:fldChar w:fldCharType="end"/>
          </w:r>
        </w:sdtContent>
      </w:sdt>
      <w:r w:rsidR="00B2423A">
        <w:t xml:space="preserve">. The arrangement is a </w:t>
      </w:r>
      <w:r w:rsidR="001A118C">
        <w:t>remnant of the American-led invasion in 2003</w:t>
      </w:r>
      <w:r w:rsidR="002867A8">
        <w:t xml:space="preserve">. After suspicion that </w:t>
      </w:r>
      <w:r w:rsidR="001A118C">
        <w:t>some of this dollar flow was</w:t>
      </w:r>
      <w:r w:rsidR="002867A8">
        <w:t xml:space="preserve"> seeping into the hands of Iran and its local proxies, the US closed the spigot. Iraq is now suffering from a severe shortage of US dollars</w:t>
      </w:r>
      <w:r w:rsidR="0053069E">
        <w:t>, hampering trade and commerce in a country that has come to rely on the greenback for a wide range of transactions.</w:t>
      </w:r>
      <w:r w:rsidR="00906515">
        <w:t xml:space="preserve"> </w:t>
      </w:r>
    </w:p>
    <w:p w:rsidR="00E06B26" w:rsidRDefault="005B64B0" w:rsidP="00FD21E8">
      <w:pPr>
        <w:spacing w:line="360" w:lineRule="auto"/>
      </w:pPr>
      <w:r>
        <w:t xml:space="preserve"> </w:t>
      </w:r>
    </w:p>
    <w:p w:rsidR="00E06B26" w:rsidRPr="00E06B26" w:rsidRDefault="00E06B26" w:rsidP="00FD21E8">
      <w:pPr>
        <w:spacing w:line="360" w:lineRule="auto"/>
        <w:rPr>
          <w:b/>
        </w:rPr>
      </w:pPr>
      <w:r w:rsidRPr="00E06B26">
        <w:rPr>
          <w:b/>
        </w:rPr>
        <w:t xml:space="preserve">Protective </w:t>
      </w:r>
      <w:r w:rsidR="008E798D">
        <w:rPr>
          <w:b/>
        </w:rPr>
        <w:t>currency manipulation</w:t>
      </w:r>
      <w:r w:rsidRPr="00E06B26">
        <w:rPr>
          <w:b/>
        </w:rPr>
        <w:t>: Gulf deposits to bolster</w:t>
      </w:r>
      <w:r w:rsidR="008E798D">
        <w:rPr>
          <w:b/>
        </w:rPr>
        <w:t xml:space="preserve"> allies’</w:t>
      </w:r>
      <w:r w:rsidRPr="00E06B26">
        <w:rPr>
          <w:b/>
        </w:rPr>
        <w:t xml:space="preserve"> currencies</w:t>
      </w:r>
    </w:p>
    <w:p w:rsidR="00A4212F" w:rsidRDefault="00F90A4C" w:rsidP="00FD21E8">
      <w:pPr>
        <w:spacing w:line="360" w:lineRule="auto"/>
      </w:pPr>
      <w:r>
        <w:t>Financial globalisation gathered pace in the 1980s and was largely completed in the 1990s as states dismantled capital controls.</w:t>
      </w:r>
      <w:r w:rsidR="00A4212F">
        <w:t xml:space="preserve"> The end of the “embedded liberalism”</w:t>
      </w:r>
      <w:r w:rsidR="00D079B6">
        <w:t xml:space="preserve"> </w:t>
      </w:r>
      <w:sdt>
        <w:sdtPr>
          <w:id w:val="71786007"/>
          <w:citation/>
        </w:sdtPr>
        <w:sdtEndPr/>
        <w:sdtContent>
          <w:r w:rsidR="00D079B6">
            <w:fldChar w:fldCharType="begin"/>
          </w:r>
          <w:r w:rsidR="00D079B6">
            <w:instrText xml:space="preserve"> CITATION Rug82 \l 2057 </w:instrText>
          </w:r>
          <w:r w:rsidR="00D079B6">
            <w:fldChar w:fldCharType="separate"/>
          </w:r>
          <w:r w:rsidR="00915C38" w:rsidRPr="00915C38">
            <w:rPr>
              <w:noProof/>
            </w:rPr>
            <w:t>(Ruggie, 1982)</w:t>
          </w:r>
          <w:r w:rsidR="00D079B6">
            <w:fldChar w:fldCharType="end"/>
          </w:r>
        </w:sdtContent>
      </w:sdt>
      <w:r w:rsidR="00A4212F">
        <w:t xml:space="preserve"> </w:t>
      </w:r>
      <w:r w:rsidR="001C6C0B">
        <w:t>of</w:t>
      </w:r>
      <w:r w:rsidR="00A4212F">
        <w:t xml:space="preserve"> the Bretton Woods era</w:t>
      </w:r>
      <w:r w:rsidR="005F4434">
        <w:t xml:space="preserve"> meant states found it</w:t>
      </w:r>
      <w:r w:rsidR="00A4212F">
        <w:t xml:space="preserve"> </w:t>
      </w:r>
      <w:r w:rsidR="005F4434">
        <w:t>increasingly</w:t>
      </w:r>
      <w:r w:rsidR="00A4212F">
        <w:t xml:space="preserve"> difficult to manage exchange rates. If </w:t>
      </w:r>
      <w:r w:rsidR="005F4434">
        <w:t>“hot money”</w:t>
      </w:r>
      <w:r w:rsidR="00A4212F">
        <w:t xml:space="preserve"> was free to </w:t>
      </w:r>
      <w:r w:rsidR="005F4434">
        <w:t>flow</w:t>
      </w:r>
      <w:r w:rsidR="00A4212F">
        <w:t xml:space="preserve"> in and out of the country unimpeded, then sudden outflows would see the value of a country’s currency plummet. The economic managers of states – particularly in the Global South – became extremely</w:t>
      </w:r>
      <w:r w:rsidR="008E798D">
        <w:t xml:space="preserve"> concerned with displaying macro-economic propriety in line with </w:t>
      </w:r>
      <w:r w:rsidR="005F4434">
        <w:t>the “</w:t>
      </w:r>
      <w:r w:rsidR="008E798D">
        <w:t>Washington Consensus</w:t>
      </w:r>
      <w:r w:rsidR="005F4434">
        <w:t>”</w:t>
      </w:r>
      <w:r w:rsidR="00DA1A64">
        <w:t>:</w:t>
      </w:r>
      <w:r w:rsidR="008E798D">
        <w:t xml:space="preserve"> fiscal prudence, trade and investment openness, and much-reduced state</w:t>
      </w:r>
      <w:r w:rsidR="005F4434">
        <w:t xml:space="preserve"> expenditure</w:t>
      </w:r>
      <w:r w:rsidR="008E798D">
        <w:t>. One signal of such propriety, and a symbol of good macro-economic management, was currency stability</w:t>
      </w:r>
      <w:r w:rsidR="005F4434">
        <w:t xml:space="preserve"> itself</w:t>
      </w:r>
      <w:r w:rsidR="008E798D">
        <w:t xml:space="preserve">. </w:t>
      </w:r>
      <w:r w:rsidR="005F4434">
        <w:t>C</w:t>
      </w:r>
      <w:r w:rsidR="008E798D">
        <w:t>urrency stability also ha</w:t>
      </w:r>
      <w:r w:rsidR="00DA1A64">
        <w:t>s</w:t>
      </w:r>
      <w:r w:rsidR="008E798D">
        <w:t xml:space="preserve"> a</w:t>
      </w:r>
      <w:r w:rsidR="00DA1A64">
        <w:t xml:space="preserve"> </w:t>
      </w:r>
      <w:r w:rsidR="008E798D">
        <w:t>domestic political function. Many Middle Eastern countries remained dependent on imports of essential goods including food</w:t>
      </w:r>
      <w:r w:rsidR="00DA1A64">
        <w:t>,</w:t>
      </w:r>
      <w:r w:rsidR="008E798D">
        <w:t xml:space="preserve"> and often also oil. A drop in the value of the domestic currency would immediately erode the purchasing power of populations already under </w:t>
      </w:r>
      <w:r w:rsidR="00DA1A64">
        <w:t xml:space="preserve">economic </w:t>
      </w:r>
      <w:r w:rsidR="008E798D">
        <w:t>stress</w:t>
      </w:r>
      <w:r w:rsidR="00DA1A64">
        <w:t xml:space="preserve"> from repeated bouts of neoliberal austerity policies.</w:t>
      </w:r>
      <w:r w:rsidR="003D7D3D">
        <w:t xml:space="preserve"> </w:t>
      </w:r>
    </w:p>
    <w:p w:rsidR="00892229" w:rsidRPr="00892229" w:rsidRDefault="005F4434" w:rsidP="00FD21E8">
      <w:pPr>
        <w:spacing w:line="360" w:lineRule="auto"/>
      </w:pPr>
      <w:r>
        <w:t>Currency volatility and especially the plummeting value of a currency thus carry great political risk. The risk is relatively slight for the oil-rich Gulf Arab monarchies who manage to keep their currencies pegged to the US dollar.</w:t>
      </w:r>
      <w:r>
        <w:rPr>
          <w:rStyle w:val="FootnoteReference"/>
        </w:rPr>
        <w:footnoteReference w:id="1"/>
      </w:r>
      <w:r>
        <w:t xml:space="preserve"> Resource-poor Arab states, meanwhile, fret over the possibility of sudden devaluations. The ability to prop up the currencies of their poorer Arab brethren has thus become a frequent instrument of Gulf states’ </w:t>
      </w:r>
      <w:r w:rsidR="00892229">
        <w:t xml:space="preserve">“economic statecraft” </w:t>
      </w:r>
      <w:sdt>
        <w:sdtPr>
          <w:id w:val="-944072126"/>
          <w:citation/>
        </w:sdtPr>
        <w:sdtEndPr/>
        <w:sdtContent>
          <w:r w:rsidR="00347E2A">
            <w:fldChar w:fldCharType="begin"/>
          </w:r>
          <w:r w:rsidR="00347E2A">
            <w:instrText xml:space="preserve"> CITATION You23 \l 2057 </w:instrText>
          </w:r>
          <w:r w:rsidR="00347E2A">
            <w:fldChar w:fldCharType="separate"/>
          </w:r>
          <w:r w:rsidR="00915C38" w:rsidRPr="00915C38">
            <w:rPr>
              <w:noProof/>
            </w:rPr>
            <w:t>(Young, 2023)</w:t>
          </w:r>
          <w:r w:rsidR="00347E2A">
            <w:fldChar w:fldCharType="end"/>
          </w:r>
        </w:sdtContent>
      </w:sdt>
      <w:r w:rsidR="00E613D2">
        <w:t xml:space="preserve"> in the region</w:t>
      </w:r>
      <w:r>
        <w:t xml:space="preserve">. </w:t>
      </w:r>
    </w:p>
    <w:p w:rsidR="00423139" w:rsidRDefault="00E613D2" w:rsidP="00FD21E8">
      <w:pPr>
        <w:spacing w:line="360" w:lineRule="auto"/>
      </w:pPr>
      <w:r>
        <w:t xml:space="preserve">One of the most prominent instances of Gulf states’ “monetary power” was Lebanon’s currency peg. Between 1997 and 2019 the dollar and the Lebanese lira were used interchangeably in everyday </w:t>
      </w:r>
      <w:r>
        <w:lastRenderedPageBreak/>
        <w:t xml:space="preserve">transactions at a fixed rate. </w:t>
      </w:r>
      <w:r w:rsidR="0073137D">
        <w:t>Lebanon maintained the peg against the odds and in the face of persistent current account and budget deficits, leading to one of the highest debt-to-GDP ratios in the world</w:t>
      </w:r>
      <w:r w:rsidR="008264A7">
        <w:t xml:space="preserve"> </w:t>
      </w:r>
      <w:sdt>
        <w:sdtPr>
          <w:id w:val="1906871317"/>
          <w:citation/>
        </w:sdtPr>
        <w:sdtEndPr/>
        <w:sdtContent>
          <w:r w:rsidR="008264A7">
            <w:fldChar w:fldCharType="begin"/>
          </w:r>
          <w:r w:rsidR="00B3271A">
            <w:instrText xml:space="preserve">CITATION Dum21 \l 2057 </w:instrText>
          </w:r>
          <w:r w:rsidR="008264A7">
            <w:fldChar w:fldCharType="separate"/>
          </w:r>
          <w:r w:rsidR="00915C38" w:rsidRPr="00915C38">
            <w:rPr>
              <w:noProof/>
            </w:rPr>
            <w:t>(Baumann, 2021)</w:t>
          </w:r>
          <w:r w:rsidR="008264A7">
            <w:fldChar w:fldCharType="end"/>
          </w:r>
        </w:sdtContent>
      </w:sdt>
      <w:r w:rsidR="0073137D">
        <w:t>. Gulf “monetary power” was a crucial factor that allowed the Lebanese central bank to defy economic gravity for so long. The wealthy Lebanese diaspora and also other wealthy Arabs would deposit their wealth in Lebanese banks, earning high interest rates and thus financing the country’s current account deficit. The banks were lending to the government, which in turn paid eye-watering interest rates.</w:t>
      </w:r>
      <w:r w:rsidR="00423139">
        <w:t xml:space="preserve"> Any profits made in Lebanese currency were convertible into US dollars at a fixed rate.</w:t>
      </w:r>
      <w:r w:rsidR="0073137D">
        <w:t xml:space="preserve"> How was confidence maintained in the face of ballooning debt? An International Monetary Fund (IMF) working paper from 2008 tried to solve the mystery by asking investors in Lebanese debt </w:t>
      </w:r>
      <w:sdt>
        <w:sdtPr>
          <w:id w:val="-1536267968"/>
          <w:citation/>
        </w:sdtPr>
        <w:sdtEndPr/>
        <w:sdtContent>
          <w:r w:rsidR="0073137D">
            <w:fldChar w:fldCharType="begin"/>
          </w:r>
          <w:r w:rsidR="0073137D">
            <w:instrText xml:space="preserve"> CITATION Sch08 \l 2057 </w:instrText>
          </w:r>
          <w:r w:rsidR="0073137D">
            <w:fldChar w:fldCharType="separate"/>
          </w:r>
          <w:r w:rsidR="00915C38" w:rsidRPr="00915C38">
            <w:rPr>
              <w:noProof/>
            </w:rPr>
            <w:t>(Schimmelpfennig &amp; Gardner, 2008)</w:t>
          </w:r>
          <w:r w:rsidR="0073137D">
            <w:fldChar w:fldCharType="end"/>
          </w:r>
        </w:sdtContent>
      </w:sdt>
      <w:r w:rsidR="0073137D">
        <w:t xml:space="preserve">. </w:t>
      </w:r>
      <w:r w:rsidR="00423139">
        <w:t xml:space="preserve">Firstly, Lebanon had never defaulted. Secondly, </w:t>
      </w:r>
      <w:r w:rsidR="00C90431">
        <w:t>t</w:t>
      </w:r>
      <w:r w:rsidR="00423139">
        <w:t xml:space="preserve">he government was borrowing from local banks rather than having to rely on international lenders, who might go cold on them. The banks, meanwhile, relied on Lebanon’s wealthy diaspora as a “dedicated” investor base. </w:t>
      </w:r>
    </w:p>
    <w:p w:rsidR="0073137D" w:rsidRDefault="00C90431" w:rsidP="00FD21E8">
      <w:pPr>
        <w:spacing w:line="360" w:lineRule="auto"/>
      </w:pPr>
      <w:r>
        <w:t>The crucial point with regard to monetary power is the third reason</w:t>
      </w:r>
      <w:r w:rsidR="002117B0">
        <w:t xml:space="preserve"> for investor confidence</w:t>
      </w:r>
      <w:r>
        <w:t>: I</w:t>
      </w:r>
      <w:r w:rsidR="00423139">
        <w:t xml:space="preserve">nvestors were relying on an “implicit guarantee” from “donors”. Who these donors </w:t>
      </w:r>
      <w:r>
        <w:t>were</w:t>
      </w:r>
      <w:r w:rsidR="00423139">
        <w:t xml:space="preserve"> becomes clear if we look at the moments when Lebanon’s </w:t>
      </w:r>
      <w:r w:rsidR="00DE68B8">
        <w:t xml:space="preserve">financial </w:t>
      </w:r>
      <w:r w:rsidR="00423139">
        <w:t xml:space="preserve">position seemed most perilous. In 2006 Israel engaged in a month-long war with Lebanon after Hizballah had seized two Israeli soldiers. In order to reassure investors, Kuwait and Saudi Arabia deposited a combined $1.5 million in Lebanon’s central bank. The deposits were a very public display of support meant to reassure investors that Lebanon’s Gulf partners would dip into their deep pockets to support the country’s financial position. In the event, withdrawals stayed at a manageable level and the peg was maintained. </w:t>
      </w:r>
      <w:r w:rsidR="00DA3157">
        <w:t>This was not the only instance of Gulf deposits propping up the Lebanese currency: Saudi Arabia, Kuwait, and the United Arab Emirates had put a combined $800 million into Beirut’s central bank in 1998, followed by another $100 million from Kuwait in 2001.</w:t>
      </w:r>
      <w:r w:rsidR="00DA3157">
        <w:rPr>
          <w:rStyle w:val="FootnoteReference"/>
        </w:rPr>
        <w:footnoteReference w:id="2"/>
      </w:r>
    </w:p>
    <w:p w:rsidR="006E2623" w:rsidRDefault="005D2FF5" w:rsidP="00FD21E8">
      <w:pPr>
        <w:spacing w:line="360" w:lineRule="auto"/>
      </w:pPr>
      <w:r>
        <w:t xml:space="preserve">The conspicuous depositing of US dollars in other Arab states’ central banks </w:t>
      </w:r>
      <w:r w:rsidR="00DA3157">
        <w:t xml:space="preserve">is part of </w:t>
      </w:r>
      <w:r>
        <w:t xml:space="preserve">the Gulf states “economic statecraft” </w:t>
      </w:r>
      <w:sdt>
        <w:sdtPr>
          <w:id w:val="192267471"/>
          <w:citation/>
        </w:sdtPr>
        <w:sdtEndPr/>
        <w:sdtContent>
          <w:r>
            <w:fldChar w:fldCharType="begin"/>
          </w:r>
          <w:r>
            <w:instrText xml:space="preserve"> CITATION You23 \l 2057 </w:instrText>
          </w:r>
          <w:r>
            <w:fldChar w:fldCharType="separate"/>
          </w:r>
          <w:r w:rsidR="00915C38" w:rsidRPr="00915C38">
            <w:rPr>
              <w:noProof/>
            </w:rPr>
            <w:t>(Young, 2023)</w:t>
          </w:r>
          <w:r>
            <w:fldChar w:fldCharType="end"/>
          </w:r>
        </w:sdtContent>
      </w:sdt>
      <w:r>
        <w:t xml:space="preserve">. </w:t>
      </w:r>
      <w:r w:rsidR="00DA3157">
        <w:t xml:space="preserve">While Lebanon had been an early testing ground for this use of “monetary power”, this way of propping up weak currencies of political allies exploded </w:t>
      </w:r>
      <w:r w:rsidR="00C122FD">
        <w:t xml:space="preserve">after the onset of the Arab uprisings in 2011. Gulf monarchies were expanding their aid, investment, but also dollar deposits into central banks in order to influence the politics of countries in uproar. The biggest recipient of deposits was Egypt, which became a battle ground of rival Gulf visions for the future of the region. </w:t>
      </w:r>
      <w:r w:rsidR="00286CD3">
        <w:t xml:space="preserve">Between 2012 and 2022, </w:t>
      </w:r>
      <w:r w:rsidR="0029677F">
        <w:t xml:space="preserve">Kuwait, Qatar, UAE, and Saudi Arabia deposited a combined </w:t>
      </w:r>
      <w:r w:rsidR="0029677F">
        <w:lastRenderedPageBreak/>
        <w:t>$27 billion into Cairo’s central bank.</w:t>
      </w:r>
      <w:r w:rsidR="0029677F">
        <w:rPr>
          <w:rStyle w:val="FootnoteReference"/>
        </w:rPr>
        <w:footnoteReference w:id="3"/>
      </w:r>
      <w:r w:rsidR="0029677F">
        <w:t xml:space="preserve"> An initial Qatari deposit </w:t>
      </w:r>
      <w:r w:rsidR="00C90431">
        <w:t xml:space="preserve">was </w:t>
      </w:r>
      <w:r w:rsidR="0029677F">
        <w:t xml:space="preserve">paid </w:t>
      </w:r>
      <w:r w:rsidR="00C90431">
        <w:t>in</w:t>
      </w:r>
      <w:r w:rsidR="0029677F">
        <w:t xml:space="preserve"> under </w:t>
      </w:r>
      <w:r w:rsidR="00C90431">
        <w:t xml:space="preserve">the </w:t>
      </w:r>
      <w:r w:rsidR="0029677F">
        <w:t xml:space="preserve">Muslim Brotherhood Muhammad </w:t>
      </w:r>
      <w:proofErr w:type="spellStart"/>
      <w:r w:rsidR="0029677F">
        <w:t>Mursi’s</w:t>
      </w:r>
      <w:proofErr w:type="spellEnd"/>
      <w:r w:rsidR="0029677F">
        <w:t xml:space="preserve"> </w:t>
      </w:r>
      <w:r w:rsidR="00C90431">
        <w:t>presidency</w:t>
      </w:r>
      <w:r w:rsidR="0029677F">
        <w:t xml:space="preserve"> </w:t>
      </w:r>
      <w:r w:rsidR="00C90431">
        <w:t xml:space="preserve">but </w:t>
      </w:r>
      <w:r w:rsidR="0029677F">
        <w:t xml:space="preserve">was repaid after the 2013 coup against the Brotherhood, replaced by </w:t>
      </w:r>
      <w:r w:rsidR="00C90431">
        <w:t xml:space="preserve">competing </w:t>
      </w:r>
      <w:r w:rsidR="0029677F">
        <w:t xml:space="preserve">inflows from Saudi Arabia and the UAE </w:t>
      </w:r>
      <w:sdt>
        <w:sdtPr>
          <w:id w:val="843206787"/>
          <w:citation/>
        </w:sdtPr>
        <w:sdtEndPr/>
        <w:sdtContent>
          <w:r w:rsidR="0029677F">
            <w:fldChar w:fldCharType="begin"/>
          </w:r>
          <w:r w:rsidR="0029677F">
            <w:instrText xml:space="preserve"> CITATION Sal13 \l 2057 </w:instrText>
          </w:r>
          <w:r w:rsidR="0029677F">
            <w:fldChar w:fldCharType="separate"/>
          </w:r>
          <w:r w:rsidR="00915C38" w:rsidRPr="00915C38">
            <w:rPr>
              <w:noProof/>
            </w:rPr>
            <w:t>(Saleh, 2013)</w:t>
          </w:r>
          <w:r w:rsidR="0029677F">
            <w:fldChar w:fldCharType="end"/>
          </w:r>
        </w:sdtContent>
      </w:sdt>
      <w:r w:rsidR="0029677F">
        <w:t xml:space="preserve">. While Doha had seen the Muslim Brotherhood as a welcome partner in its bid for regional influence, Riyadh and Abu Dhabi regarded the movement a threat to its regional control. Monetary power in the shape of deposits to central banks became a weapon in this tussle over the future of Arab politics. </w:t>
      </w:r>
    </w:p>
    <w:p w:rsidR="00E06B26" w:rsidRDefault="0029677F" w:rsidP="00FD21E8">
      <w:pPr>
        <w:spacing w:line="360" w:lineRule="auto"/>
      </w:pPr>
      <w:r>
        <w:t>Egypt was the largest recipient of central bank deposits from the Gulf but it was not alone. Other countries which received such support in the wake of the uprisings were Jordan, Sudan, Tunisia, and Yemen.</w:t>
      </w:r>
      <w:r>
        <w:rPr>
          <w:rStyle w:val="FootnoteReference"/>
        </w:rPr>
        <w:footnoteReference w:id="4"/>
      </w:r>
      <w:r>
        <w:t xml:space="preserve"> </w:t>
      </w:r>
      <w:r w:rsidR="00615654">
        <w:t>The aim was to prop up friendly autocratic regimes such as Jordan or war-torn Yemen, or to curry favour with incoming governments in Sudan or Tunisia.</w:t>
      </w:r>
      <w:r w:rsidR="00CD5265">
        <w:t xml:space="preserve"> Beyond the Arab world, Turkey has benefited from currency swaps with Qatar which helped it manage the weakening lira</w:t>
      </w:r>
      <w:r w:rsidR="00C90431">
        <w:t xml:space="preserve"> </w:t>
      </w:r>
      <w:sdt>
        <w:sdtPr>
          <w:id w:val="-175502542"/>
          <w:citation/>
        </w:sdtPr>
        <w:sdtEndPr/>
        <w:sdtContent>
          <w:r w:rsidR="00C90431">
            <w:fldChar w:fldCharType="begin"/>
          </w:r>
          <w:r w:rsidR="00C90431">
            <w:instrText xml:space="preserve"> CITATION Kuc20 \l 2057 </w:instrText>
          </w:r>
          <w:r w:rsidR="00C90431">
            <w:fldChar w:fldCharType="separate"/>
          </w:r>
          <w:r w:rsidR="00915C38" w:rsidRPr="00915C38">
            <w:rPr>
              <w:noProof/>
            </w:rPr>
            <w:t>(Kucukgocmen &amp; Coskun, 2020)</w:t>
          </w:r>
          <w:r w:rsidR="00C90431">
            <w:fldChar w:fldCharType="end"/>
          </w:r>
        </w:sdtContent>
      </w:sdt>
      <w:r w:rsidR="00CD5265">
        <w:t>, while Pakistan has benefited from Saudi support</w:t>
      </w:r>
      <w:r w:rsidR="00F35B64">
        <w:t xml:space="preserve"> </w:t>
      </w:r>
      <w:sdt>
        <w:sdtPr>
          <w:id w:val="-1509205053"/>
          <w:citation/>
        </w:sdtPr>
        <w:sdtEndPr/>
        <w:sdtContent>
          <w:r w:rsidR="00F35B64">
            <w:fldChar w:fldCharType="begin"/>
          </w:r>
          <w:r w:rsidR="00F35B64">
            <w:instrText xml:space="preserve"> CITATION AlA22 \l 2057 </w:instrText>
          </w:r>
          <w:r w:rsidR="00F35B64">
            <w:fldChar w:fldCharType="separate"/>
          </w:r>
          <w:r w:rsidR="00915C38" w:rsidRPr="00915C38">
            <w:rPr>
              <w:noProof/>
            </w:rPr>
            <w:t>(Al-Atrush &amp; Bokhari, 2022)</w:t>
          </w:r>
          <w:r w:rsidR="00F35B64">
            <w:fldChar w:fldCharType="end"/>
          </w:r>
        </w:sdtContent>
      </w:sdt>
      <w:r w:rsidR="00CD5265">
        <w:t>. M</w:t>
      </w:r>
      <w:r w:rsidR="00615654">
        <w:t xml:space="preserve">onetary power </w:t>
      </w:r>
      <w:r w:rsidR="00CD5265">
        <w:t xml:space="preserve">has </w:t>
      </w:r>
      <w:r w:rsidR="00615654">
        <w:t>bec</w:t>
      </w:r>
      <w:r w:rsidR="00CD5265">
        <w:t>o</w:t>
      </w:r>
      <w:r w:rsidR="00615654">
        <w:t xml:space="preserve">me a </w:t>
      </w:r>
      <w:r w:rsidR="00CD5265">
        <w:t>commonly used</w:t>
      </w:r>
      <w:r w:rsidR="00615654">
        <w:t xml:space="preserve"> tool of post-Arab uprising Gulf statecraft.</w:t>
      </w:r>
      <w:r w:rsidR="00CD5265">
        <w:t xml:space="preserve"> </w:t>
      </w:r>
    </w:p>
    <w:p w:rsidR="00E06B26" w:rsidRPr="0029677F" w:rsidRDefault="0029677F" w:rsidP="00FD21E8">
      <w:pPr>
        <w:spacing w:line="360" w:lineRule="auto"/>
        <w:rPr>
          <w:b/>
        </w:rPr>
      </w:pPr>
      <w:r>
        <w:rPr>
          <w:b/>
        </w:rPr>
        <w:t xml:space="preserve">The </w:t>
      </w:r>
      <w:r w:rsidR="00E52639">
        <w:rPr>
          <w:b/>
        </w:rPr>
        <w:t>future</w:t>
      </w:r>
      <w:r>
        <w:rPr>
          <w:b/>
        </w:rPr>
        <w:t xml:space="preserve"> geography of money</w:t>
      </w:r>
    </w:p>
    <w:p w:rsidR="00C51FB6" w:rsidRDefault="0029677F" w:rsidP="00FD21E8">
      <w:pPr>
        <w:spacing w:line="360" w:lineRule="auto"/>
      </w:pPr>
      <w:r>
        <w:t>Sovereignty is always something of an illusion but it is particularly tenuous when it comes to currencies. The Middle East has been at th</w:t>
      </w:r>
      <w:r w:rsidR="00615654">
        <w:t>e forefront of several different dynamics</w:t>
      </w:r>
      <w:r w:rsidR="001D6C91">
        <w:t xml:space="preserve"> of uneven monetary geography –</w:t>
      </w:r>
      <w:r w:rsidR="00615654">
        <w:t xml:space="preserve"> global dollar hegemony, the local effects of US sanctions, or the regional exercise of Gulf “monetary power” through conspicuous deposits in central banks. </w:t>
      </w:r>
    </w:p>
    <w:p w:rsidR="001D6C91" w:rsidRDefault="001D6C91" w:rsidP="00FD21E8">
      <w:pPr>
        <w:spacing w:line="360" w:lineRule="auto"/>
      </w:pPr>
      <w:r>
        <w:t xml:space="preserve">The future dynamics of money are in flux. Gulf oil states’ commitment to dollar hegemony </w:t>
      </w:r>
      <w:r w:rsidR="00392544">
        <w:t>seems to be less assured</w:t>
      </w:r>
      <w:r>
        <w:t>.</w:t>
      </w:r>
      <w:r w:rsidR="00CD5265">
        <w:t xml:space="preserve"> The declining dominance of the greenback would also undermine the efficacy of financial sanctions Washington may level against opponents in the Middle East, as it did towards Iran.</w:t>
      </w:r>
      <w:r>
        <w:t xml:space="preserve"> The future influence of Gulf states on global currency dynamics is itself in doubt as the global economy is decarbonising and the monarchies need to adapt to a post-oil world. </w:t>
      </w:r>
      <w:r w:rsidR="00CD5265">
        <w:t xml:space="preserve">At a regional level, Gulf states’ use of monetary power through deposits to central banks is likely to remain a useful gauge of regional political dynamics. </w:t>
      </w:r>
    </w:p>
    <w:p w:rsidR="00504A20" w:rsidRDefault="00504A20" w:rsidP="00066E40">
      <w:pPr>
        <w:spacing w:line="360" w:lineRule="auto"/>
      </w:pPr>
      <w:r>
        <w:t xml:space="preserve">The study of Middle Eastern currencies can also address the absence of the region in scholarship on international political economy (IPE) </w:t>
      </w:r>
      <w:sdt>
        <w:sdtPr>
          <w:id w:val="-862508548"/>
          <w:citation/>
        </w:sdtPr>
        <w:sdtEndPr/>
        <w:sdtContent>
          <w:r>
            <w:fldChar w:fldCharType="begin"/>
          </w:r>
          <w:r>
            <w:instrText xml:space="preserve"> CITATION Eri171 \l 2057  \m Han211 \m Bau23</w:instrText>
          </w:r>
          <w:r>
            <w:fldChar w:fldCharType="separate"/>
          </w:r>
          <w:r w:rsidR="00915C38" w:rsidRPr="00915C38">
            <w:rPr>
              <w:noProof/>
            </w:rPr>
            <w:t>(Snider, 2017; Baumann, 2021; Baumann &amp; Roccu, 2023)</w:t>
          </w:r>
          <w:r>
            <w:fldChar w:fldCharType="end"/>
          </w:r>
        </w:sdtContent>
      </w:sdt>
      <w:r>
        <w:t>.</w:t>
      </w:r>
      <w:r w:rsidR="00066E40">
        <w:t xml:space="preserve"> The use of monetary power as an instrument of Gulf countries’ economic statecraft is not only “bringing </w:t>
      </w:r>
      <w:r w:rsidR="00066E40">
        <w:lastRenderedPageBreak/>
        <w:t>the Middle East” into IPE by expanding the universe of cases, but can also help theorise and refine the concept.</w:t>
      </w:r>
    </w:p>
    <w:p w:rsidR="00C51FB6" w:rsidRDefault="00C51FB6" w:rsidP="00FD21E8">
      <w:pPr>
        <w:spacing w:line="360" w:lineRule="auto"/>
      </w:pPr>
    </w:p>
    <w:p w:rsidR="005D27E3" w:rsidRDefault="005D27E3" w:rsidP="00FD21E8">
      <w:pPr>
        <w:spacing w:line="360" w:lineRule="auto"/>
      </w:pPr>
    </w:p>
    <w:sdt>
      <w:sdtPr>
        <w:rPr>
          <w:rFonts w:asciiTheme="minorHAnsi" w:eastAsiaTheme="minorHAnsi" w:hAnsiTheme="minorHAnsi" w:cstheme="minorBidi"/>
          <w:color w:val="auto"/>
          <w:sz w:val="22"/>
          <w:szCs w:val="22"/>
          <w:lang w:val="en-GB"/>
        </w:rPr>
        <w:id w:val="905801020"/>
        <w:docPartObj>
          <w:docPartGallery w:val="Bibliographies"/>
          <w:docPartUnique/>
        </w:docPartObj>
      </w:sdtPr>
      <w:sdtEndPr/>
      <w:sdtContent>
        <w:p w:rsidR="005D27E3" w:rsidRDefault="005D27E3" w:rsidP="00FD21E8">
          <w:pPr>
            <w:pStyle w:val="Heading1"/>
            <w:spacing w:line="360" w:lineRule="auto"/>
          </w:pPr>
          <w:r>
            <w:t>Bibliography</w:t>
          </w:r>
        </w:p>
        <w:sdt>
          <w:sdtPr>
            <w:id w:val="111145805"/>
            <w:bibliography/>
          </w:sdtPr>
          <w:sdtEndPr/>
          <w:sdtContent>
            <w:p w:rsidR="00915C38" w:rsidRDefault="005D27E3" w:rsidP="00915C38">
              <w:pPr>
                <w:pStyle w:val="Bibliography"/>
                <w:rPr>
                  <w:noProof/>
                  <w:sz w:val="24"/>
                  <w:szCs w:val="24"/>
                  <w:lang w:val="en-US"/>
                </w:rPr>
              </w:pPr>
              <w:r>
                <w:fldChar w:fldCharType="begin"/>
              </w:r>
              <w:r>
                <w:instrText xml:space="preserve"> BIBLIOGRAPHY </w:instrText>
              </w:r>
              <w:r>
                <w:fldChar w:fldCharType="separate"/>
              </w:r>
              <w:r w:rsidR="00915C38">
                <w:rPr>
                  <w:noProof/>
                  <w:lang w:val="en-US"/>
                </w:rPr>
                <w:t xml:space="preserve">Al-Atrush, S. &amp; Bokhari, F., 2022. Saudi Arabia renews $3bn deposit to Pakistan. </w:t>
              </w:r>
              <w:r w:rsidR="00915C38">
                <w:rPr>
                  <w:i/>
                  <w:iCs/>
                  <w:noProof/>
                  <w:lang w:val="en-US"/>
                </w:rPr>
                <w:t>Financial Times</w:t>
              </w:r>
              <w:r w:rsidR="00915C38">
                <w:rPr>
                  <w:noProof/>
                  <w:lang w:val="en-US"/>
                </w:rPr>
                <w:t xml:space="preserve">, 14 August. </w:t>
              </w:r>
            </w:p>
            <w:p w:rsidR="00915C38" w:rsidRDefault="00915C38" w:rsidP="00915C38">
              <w:pPr>
                <w:pStyle w:val="Bibliography"/>
                <w:rPr>
                  <w:noProof/>
                  <w:lang w:val="en-US"/>
                </w:rPr>
              </w:pPr>
              <w:r>
                <w:rPr>
                  <w:noProof/>
                  <w:lang w:val="en-US"/>
                </w:rPr>
                <w:t xml:space="preserve">Arnold, A., 2016. The true costs of financial sanctions. </w:t>
              </w:r>
              <w:r>
                <w:rPr>
                  <w:i/>
                  <w:iCs/>
                  <w:noProof/>
                  <w:lang w:val="en-US"/>
                </w:rPr>
                <w:t xml:space="preserve">Survival, </w:t>
              </w:r>
              <w:r>
                <w:rPr>
                  <w:noProof/>
                  <w:lang w:val="en-US"/>
                </w:rPr>
                <w:t>58(3), pp. 77-100.</w:t>
              </w:r>
            </w:p>
            <w:p w:rsidR="00915C38" w:rsidRDefault="00915C38" w:rsidP="00915C38">
              <w:pPr>
                <w:pStyle w:val="Bibliography"/>
                <w:rPr>
                  <w:noProof/>
                  <w:lang w:val="en-US"/>
                </w:rPr>
              </w:pPr>
              <w:r>
                <w:rPr>
                  <w:noProof/>
                  <w:lang w:val="en-US"/>
                </w:rPr>
                <w:t xml:space="preserve">Barrington, L. &amp; Francis, E., 2019. Sanctions-hit Lebanese bank denies Hezbollah ties. </w:t>
              </w:r>
              <w:r>
                <w:rPr>
                  <w:i/>
                  <w:iCs/>
                  <w:noProof/>
                  <w:lang w:val="en-US"/>
                </w:rPr>
                <w:t>Reuters</w:t>
              </w:r>
              <w:r>
                <w:rPr>
                  <w:noProof/>
                  <w:lang w:val="en-US"/>
                </w:rPr>
                <w:t xml:space="preserve">, 30 August. </w:t>
              </w:r>
            </w:p>
            <w:p w:rsidR="00915C38" w:rsidRDefault="00915C38" w:rsidP="00915C38">
              <w:pPr>
                <w:pStyle w:val="Bibliography"/>
                <w:rPr>
                  <w:noProof/>
                  <w:lang w:val="en-US"/>
                </w:rPr>
              </w:pPr>
              <w:r>
                <w:rPr>
                  <w:noProof/>
                  <w:lang w:val="en-US"/>
                </w:rPr>
                <w:t xml:space="preserve">Baumann, H., 2021. Avatars of Eurocentrism in international political economy textbooks: The case of the Middle East and North Africa. </w:t>
              </w:r>
              <w:r>
                <w:rPr>
                  <w:i/>
                  <w:iCs/>
                  <w:noProof/>
                  <w:lang w:val="en-US"/>
                </w:rPr>
                <w:t xml:space="preserve">Politics, </w:t>
              </w:r>
              <w:r>
                <w:rPr>
                  <w:noProof/>
                  <w:lang w:val="en-US"/>
                </w:rPr>
                <w:t>Volume online first.</w:t>
              </w:r>
            </w:p>
            <w:p w:rsidR="00915C38" w:rsidRDefault="00915C38" w:rsidP="00915C38">
              <w:pPr>
                <w:pStyle w:val="Bibliography"/>
                <w:rPr>
                  <w:noProof/>
                  <w:lang w:val="en-US"/>
                </w:rPr>
              </w:pPr>
              <w:r>
                <w:rPr>
                  <w:noProof/>
                  <w:lang w:val="en-US"/>
                </w:rPr>
                <w:t xml:space="preserve">Baumann, H., 2021. Dumping Humpty Dumpty: Blockages and Opportunities for Lebanon’s Economy after the October 2019 Protests. </w:t>
              </w:r>
              <w:r>
                <w:rPr>
                  <w:i/>
                  <w:iCs/>
                  <w:noProof/>
                  <w:lang w:val="en-US"/>
                </w:rPr>
                <w:t xml:space="preserve">South Atlantic Quarterly, </w:t>
              </w:r>
              <w:r>
                <w:rPr>
                  <w:noProof/>
                  <w:lang w:val="en-US"/>
                </w:rPr>
                <w:t>120(2), pp. 456-463.</w:t>
              </w:r>
            </w:p>
            <w:p w:rsidR="00915C38" w:rsidRDefault="00915C38" w:rsidP="00915C38">
              <w:pPr>
                <w:pStyle w:val="Bibliography"/>
                <w:rPr>
                  <w:noProof/>
                  <w:lang w:val="en-US"/>
                </w:rPr>
              </w:pPr>
              <w:r>
                <w:rPr>
                  <w:noProof/>
                  <w:lang w:val="en-US"/>
                </w:rPr>
                <w:t xml:space="preserve">Baumann, H. &amp; Roccu, R., 2023. International political economy and the state in the Middle East. </w:t>
              </w:r>
              <w:r>
                <w:rPr>
                  <w:i/>
                  <w:iCs/>
                  <w:noProof/>
                  <w:lang w:val="en-US"/>
                </w:rPr>
                <w:t xml:space="preserve">Globalizations, </w:t>
              </w:r>
              <w:r>
                <w:rPr>
                  <w:noProof/>
                  <w:lang w:val="en-US"/>
                </w:rPr>
                <w:t>Volume online first.</w:t>
              </w:r>
            </w:p>
            <w:p w:rsidR="00915C38" w:rsidRDefault="00915C38" w:rsidP="00915C38">
              <w:pPr>
                <w:pStyle w:val="Bibliography"/>
                <w:rPr>
                  <w:noProof/>
                  <w:lang w:val="en-US"/>
                </w:rPr>
              </w:pPr>
              <w:r>
                <w:rPr>
                  <w:noProof/>
                  <w:lang w:val="en-US"/>
                </w:rPr>
                <w:t xml:space="preserve">Cohen, B., 1998. </w:t>
              </w:r>
              <w:r>
                <w:rPr>
                  <w:i/>
                  <w:iCs/>
                  <w:noProof/>
                  <w:lang w:val="en-US"/>
                </w:rPr>
                <w:t xml:space="preserve">The geography of money. </w:t>
              </w:r>
              <w:r>
                <w:rPr>
                  <w:noProof/>
                  <w:lang w:val="en-US"/>
                </w:rPr>
                <w:t>Ithaca: Cornell University Press.</w:t>
              </w:r>
            </w:p>
            <w:p w:rsidR="00915C38" w:rsidRDefault="00915C38" w:rsidP="00915C38">
              <w:pPr>
                <w:pStyle w:val="Bibliography"/>
                <w:rPr>
                  <w:noProof/>
                  <w:lang w:val="en-US"/>
                </w:rPr>
              </w:pPr>
              <w:r>
                <w:rPr>
                  <w:noProof/>
                  <w:lang w:val="en-US"/>
                </w:rPr>
                <w:t xml:space="preserve">Eichengreen, B., 2011. </w:t>
              </w:r>
              <w:r>
                <w:rPr>
                  <w:i/>
                  <w:iCs/>
                  <w:noProof/>
                  <w:lang w:val="en-US"/>
                </w:rPr>
                <w:t xml:space="preserve">Exorbitant privilege: The rise and fall of the dollar and the futuer of the international monetary system. </w:t>
              </w:r>
              <w:r>
                <w:rPr>
                  <w:noProof/>
                  <w:lang w:val="en-US"/>
                </w:rPr>
                <w:t>Oxford: Oxford University Press.</w:t>
              </w:r>
            </w:p>
            <w:p w:rsidR="00915C38" w:rsidRDefault="00915C38" w:rsidP="00915C38">
              <w:pPr>
                <w:pStyle w:val="Bibliography"/>
                <w:rPr>
                  <w:noProof/>
                  <w:lang w:val="en-US"/>
                </w:rPr>
              </w:pPr>
              <w:r>
                <w:rPr>
                  <w:noProof/>
                  <w:lang w:val="en-US"/>
                </w:rPr>
                <w:t xml:space="preserve">FT editorial board, 2023. Threats to the dollar’s dominance are overblown. </w:t>
              </w:r>
              <w:r>
                <w:rPr>
                  <w:i/>
                  <w:iCs/>
                  <w:noProof/>
                  <w:lang w:val="en-US"/>
                </w:rPr>
                <w:t>Financial Times</w:t>
              </w:r>
              <w:r>
                <w:rPr>
                  <w:noProof/>
                  <w:lang w:val="en-US"/>
                </w:rPr>
                <w:t xml:space="preserve">, 19 April. </w:t>
              </w:r>
            </w:p>
            <w:p w:rsidR="00915C38" w:rsidRDefault="00915C38" w:rsidP="00915C38">
              <w:pPr>
                <w:pStyle w:val="Bibliography"/>
                <w:rPr>
                  <w:noProof/>
                  <w:lang w:val="en-US"/>
                </w:rPr>
              </w:pPr>
              <w:r>
                <w:rPr>
                  <w:noProof/>
                  <w:lang w:val="en-US"/>
                </w:rPr>
                <w:t xml:space="preserve">Jalabi, R., 2023. Crippling dollar shortage underscores vulnerability of Iraq’s oil-based economy. </w:t>
              </w:r>
              <w:r>
                <w:rPr>
                  <w:i/>
                  <w:iCs/>
                  <w:noProof/>
                  <w:lang w:val="en-US"/>
                </w:rPr>
                <w:t>Financial Times</w:t>
              </w:r>
              <w:r>
                <w:rPr>
                  <w:noProof/>
                  <w:lang w:val="en-US"/>
                </w:rPr>
                <w:t xml:space="preserve">, 27 March. </w:t>
              </w:r>
            </w:p>
            <w:p w:rsidR="00915C38" w:rsidRDefault="00915C38" w:rsidP="00915C38">
              <w:pPr>
                <w:pStyle w:val="Bibliography"/>
                <w:rPr>
                  <w:noProof/>
                  <w:lang w:val="en-US"/>
                </w:rPr>
              </w:pPr>
              <w:r>
                <w:rPr>
                  <w:noProof/>
                  <w:lang w:val="en-US"/>
                </w:rPr>
                <w:t xml:space="preserve">Khalid, T. &amp; Torchia, A., 2018. In Dubai, US sanctions pressure historic business ties with Iran. </w:t>
              </w:r>
              <w:r>
                <w:rPr>
                  <w:i/>
                  <w:iCs/>
                  <w:noProof/>
                  <w:lang w:val="en-US"/>
                </w:rPr>
                <w:t>Reuters</w:t>
              </w:r>
              <w:r>
                <w:rPr>
                  <w:noProof/>
                  <w:lang w:val="en-US"/>
                </w:rPr>
                <w:t xml:space="preserve">, 19 November. </w:t>
              </w:r>
            </w:p>
            <w:p w:rsidR="00915C38" w:rsidRDefault="00915C38" w:rsidP="00915C38">
              <w:pPr>
                <w:pStyle w:val="Bibliography"/>
                <w:rPr>
                  <w:noProof/>
                  <w:lang w:val="en-US"/>
                </w:rPr>
              </w:pPr>
              <w:r>
                <w:rPr>
                  <w:noProof/>
                  <w:lang w:val="en-US"/>
                </w:rPr>
                <w:t xml:space="preserve">Kirshner, J., 1995. </w:t>
              </w:r>
              <w:r>
                <w:rPr>
                  <w:i/>
                  <w:iCs/>
                  <w:noProof/>
                  <w:lang w:val="en-US"/>
                </w:rPr>
                <w:t xml:space="preserve">Currency and Coercion: The political economy of international monetary power. </w:t>
              </w:r>
              <w:r>
                <w:rPr>
                  <w:noProof/>
                  <w:lang w:val="en-US"/>
                </w:rPr>
                <w:t>Princeton: Princeton University Press.</w:t>
              </w:r>
            </w:p>
            <w:p w:rsidR="00915C38" w:rsidRDefault="00915C38" w:rsidP="00915C38">
              <w:pPr>
                <w:pStyle w:val="Bibliography"/>
                <w:rPr>
                  <w:noProof/>
                  <w:lang w:val="en-US"/>
                </w:rPr>
              </w:pPr>
              <w:r>
                <w:rPr>
                  <w:noProof/>
                  <w:lang w:val="en-US"/>
                </w:rPr>
                <w:t xml:space="preserve">Kirshner, J., 1995. </w:t>
              </w:r>
              <w:r>
                <w:rPr>
                  <w:i/>
                  <w:iCs/>
                  <w:noProof/>
                  <w:lang w:val="en-US"/>
                </w:rPr>
                <w:t xml:space="preserve">Currency and Coercion: The political economy of international monetary power. </w:t>
              </w:r>
              <w:r>
                <w:rPr>
                  <w:noProof/>
                  <w:lang w:val="en-US"/>
                </w:rPr>
                <w:t>Princeton: Princeton University Press.</w:t>
              </w:r>
            </w:p>
            <w:p w:rsidR="00915C38" w:rsidRDefault="00915C38" w:rsidP="00915C38">
              <w:pPr>
                <w:pStyle w:val="Bibliography"/>
                <w:rPr>
                  <w:noProof/>
                  <w:lang w:val="en-US"/>
                </w:rPr>
              </w:pPr>
              <w:r>
                <w:rPr>
                  <w:noProof/>
                  <w:lang w:val="en-US"/>
                </w:rPr>
                <w:t xml:space="preserve">Kucukgocmen, A. &amp; Coskun, O., 2020. Qatar offers Turkey relief by tripling FX swap line to $15 billion. </w:t>
              </w:r>
              <w:r>
                <w:rPr>
                  <w:i/>
                  <w:iCs/>
                  <w:noProof/>
                  <w:lang w:val="en-US"/>
                </w:rPr>
                <w:t>Reuters</w:t>
              </w:r>
              <w:r>
                <w:rPr>
                  <w:noProof/>
                  <w:lang w:val="en-US"/>
                </w:rPr>
                <w:t xml:space="preserve">, 20 May. </w:t>
              </w:r>
            </w:p>
            <w:p w:rsidR="00915C38" w:rsidRDefault="00915C38" w:rsidP="00915C38">
              <w:pPr>
                <w:pStyle w:val="Bibliography"/>
                <w:rPr>
                  <w:noProof/>
                  <w:lang w:val="en-US"/>
                </w:rPr>
              </w:pPr>
              <w:r>
                <w:rPr>
                  <w:noProof/>
                  <w:lang w:val="en-US"/>
                </w:rPr>
                <w:t xml:space="preserve">Momani, B., 2008. Gulf Cooperation Council exporters and the future of the dollar. </w:t>
              </w:r>
              <w:r>
                <w:rPr>
                  <w:i/>
                  <w:iCs/>
                  <w:noProof/>
                  <w:lang w:val="en-US"/>
                </w:rPr>
                <w:t xml:space="preserve">New Political Economy, </w:t>
              </w:r>
              <w:r>
                <w:rPr>
                  <w:noProof/>
                  <w:lang w:val="en-US"/>
                </w:rPr>
                <w:t>13(3), pp. 293-314.</w:t>
              </w:r>
            </w:p>
            <w:p w:rsidR="00915C38" w:rsidRDefault="00915C38" w:rsidP="00915C38">
              <w:pPr>
                <w:pStyle w:val="Bibliography"/>
                <w:rPr>
                  <w:noProof/>
                  <w:lang w:val="en-US"/>
                </w:rPr>
              </w:pPr>
              <w:r>
                <w:rPr>
                  <w:noProof/>
                  <w:lang w:val="en-US"/>
                </w:rPr>
                <w:t xml:space="preserve">Otero-Iglesias, M. &amp; Steinberg, F., 2013. Is the Dollar Becoming a Negotiated Currency? Evidence from the Emerging Markets. </w:t>
              </w:r>
              <w:r>
                <w:rPr>
                  <w:i/>
                  <w:iCs/>
                  <w:noProof/>
                  <w:lang w:val="en-US"/>
                </w:rPr>
                <w:t xml:space="preserve">New Political Economy, </w:t>
              </w:r>
              <w:r>
                <w:rPr>
                  <w:noProof/>
                  <w:lang w:val="en-US"/>
                </w:rPr>
                <w:t>18(3), pp. 309-336.</w:t>
              </w:r>
            </w:p>
            <w:p w:rsidR="00915C38" w:rsidRDefault="00915C38" w:rsidP="00915C38">
              <w:pPr>
                <w:pStyle w:val="Bibliography"/>
                <w:rPr>
                  <w:noProof/>
                  <w:lang w:val="en-US"/>
                </w:rPr>
              </w:pPr>
              <w:r>
                <w:rPr>
                  <w:noProof/>
                  <w:lang w:val="en-US"/>
                </w:rPr>
                <w:lastRenderedPageBreak/>
                <w:t xml:space="preserve">Ruggie, J. G., 1982. International regimes, transactions, and change: Embedded liberalism in the postwar economic order. </w:t>
              </w:r>
              <w:r>
                <w:rPr>
                  <w:i/>
                  <w:iCs/>
                  <w:noProof/>
                  <w:lang w:val="en-US"/>
                </w:rPr>
                <w:t xml:space="preserve">International Organisation, </w:t>
              </w:r>
              <w:r>
                <w:rPr>
                  <w:noProof/>
                  <w:lang w:val="en-US"/>
                </w:rPr>
                <w:t>36(2), pp. 379-415.</w:t>
              </w:r>
            </w:p>
            <w:p w:rsidR="00915C38" w:rsidRDefault="00915C38" w:rsidP="00915C38">
              <w:pPr>
                <w:pStyle w:val="Bibliography"/>
                <w:rPr>
                  <w:noProof/>
                  <w:lang w:val="en-US"/>
                </w:rPr>
              </w:pPr>
              <w:r>
                <w:rPr>
                  <w:noProof/>
                  <w:lang w:val="en-US"/>
                </w:rPr>
                <w:t xml:space="preserve">Said, S. &amp; Kalin, S., 2022. Saudi Arabia Considers Accepting Yuan Instead of Dollars for Chinese Oil Sales. </w:t>
              </w:r>
              <w:r>
                <w:rPr>
                  <w:i/>
                  <w:iCs/>
                  <w:noProof/>
                  <w:lang w:val="en-US"/>
                </w:rPr>
                <w:t>Wall Street Journal</w:t>
              </w:r>
              <w:r>
                <w:rPr>
                  <w:noProof/>
                  <w:lang w:val="en-US"/>
                </w:rPr>
                <w:t xml:space="preserve">, 22 March. </w:t>
              </w:r>
            </w:p>
            <w:p w:rsidR="00915C38" w:rsidRDefault="00915C38" w:rsidP="00915C38">
              <w:pPr>
                <w:pStyle w:val="Bibliography"/>
                <w:rPr>
                  <w:noProof/>
                  <w:lang w:val="en-US"/>
                </w:rPr>
              </w:pPr>
              <w:r>
                <w:rPr>
                  <w:noProof/>
                  <w:lang w:val="en-US"/>
                </w:rPr>
                <w:t xml:space="preserve">Saleh, H., 2013. Egypt returns $2bn to Qatar in sign of worsening bilateral ties. </w:t>
              </w:r>
              <w:r>
                <w:rPr>
                  <w:i/>
                  <w:iCs/>
                  <w:noProof/>
                  <w:lang w:val="en-US"/>
                </w:rPr>
                <w:t>Financial Times</w:t>
              </w:r>
              <w:r>
                <w:rPr>
                  <w:noProof/>
                  <w:lang w:val="en-US"/>
                </w:rPr>
                <w:t xml:space="preserve">, 19 September. </w:t>
              </w:r>
            </w:p>
            <w:p w:rsidR="00915C38" w:rsidRDefault="00915C38" w:rsidP="00915C38">
              <w:pPr>
                <w:pStyle w:val="Bibliography"/>
                <w:rPr>
                  <w:noProof/>
                  <w:lang w:val="en-US"/>
                </w:rPr>
              </w:pPr>
              <w:r>
                <w:rPr>
                  <w:noProof/>
                  <w:lang w:val="en-US"/>
                </w:rPr>
                <w:t xml:space="preserve">Schimmelpfennig, A. &amp; Gardner, E., 2008. </w:t>
              </w:r>
              <w:r>
                <w:rPr>
                  <w:i/>
                  <w:iCs/>
                  <w:noProof/>
                  <w:lang w:val="en-US"/>
                </w:rPr>
                <w:t xml:space="preserve">Lebanon—Weathering the Perfect Storms, </w:t>
              </w:r>
              <w:r>
                <w:rPr>
                  <w:noProof/>
                  <w:lang w:val="en-US"/>
                </w:rPr>
                <w:t>Washington DC: International Monetary Fund.</w:t>
              </w:r>
            </w:p>
            <w:p w:rsidR="00915C38" w:rsidRDefault="00915C38" w:rsidP="00915C38">
              <w:pPr>
                <w:pStyle w:val="Bibliography"/>
                <w:rPr>
                  <w:noProof/>
                  <w:lang w:val="en-US"/>
                </w:rPr>
              </w:pPr>
              <w:r>
                <w:rPr>
                  <w:noProof/>
                  <w:lang w:val="en-US"/>
                </w:rPr>
                <w:t xml:space="preserve">Snider, E., 2017. International political economy and the new Middle East. </w:t>
              </w:r>
              <w:r>
                <w:rPr>
                  <w:i/>
                  <w:iCs/>
                  <w:noProof/>
                  <w:lang w:val="en-US"/>
                </w:rPr>
                <w:t xml:space="preserve">PS: Political Science &amp; Politics, </w:t>
              </w:r>
              <w:r>
                <w:rPr>
                  <w:noProof/>
                  <w:lang w:val="en-US"/>
                </w:rPr>
                <w:t>50(3), pp. 664-667.</w:t>
              </w:r>
            </w:p>
            <w:p w:rsidR="00915C38" w:rsidRDefault="00915C38" w:rsidP="00915C38">
              <w:pPr>
                <w:pStyle w:val="Bibliography"/>
                <w:rPr>
                  <w:noProof/>
                  <w:lang w:val="en-US"/>
                </w:rPr>
              </w:pPr>
              <w:r>
                <w:rPr>
                  <w:noProof/>
                  <w:lang w:val="en-US"/>
                </w:rPr>
                <w:t xml:space="preserve">Spiro, D., 1999. </w:t>
              </w:r>
              <w:r>
                <w:rPr>
                  <w:i/>
                  <w:iCs/>
                  <w:noProof/>
                  <w:lang w:val="en-US"/>
                </w:rPr>
                <w:t xml:space="preserve">The hidden hand of American hegemony: Petrodollar recycling and international markets. </w:t>
              </w:r>
              <w:r>
                <w:rPr>
                  <w:noProof/>
                  <w:lang w:val="en-US"/>
                </w:rPr>
                <w:t>Ithaca: Cornell University Press.</w:t>
              </w:r>
            </w:p>
            <w:p w:rsidR="00915C38" w:rsidRDefault="00915C38" w:rsidP="00915C38">
              <w:pPr>
                <w:pStyle w:val="Bibliography"/>
                <w:rPr>
                  <w:noProof/>
                  <w:lang w:val="en-US"/>
                </w:rPr>
              </w:pPr>
              <w:r>
                <w:rPr>
                  <w:noProof/>
                  <w:lang w:val="en-US"/>
                </w:rPr>
                <w:t xml:space="preserve">Vitalis, R., 2009. </w:t>
              </w:r>
              <w:r>
                <w:rPr>
                  <w:i/>
                  <w:iCs/>
                  <w:noProof/>
                  <w:lang w:val="en-US"/>
                </w:rPr>
                <w:t xml:space="preserve">America's kingdom: Mythmaking on the Saudi oil frontier. </w:t>
              </w:r>
              <w:r>
                <w:rPr>
                  <w:noProof/>
                  <w:lang w:val="en-US"/>
                </w:rPr>
                <w:t>London: Verso.</w:t>
              </w:r>
            </w:p>
            <w:p w:rsidR="00915C38" w:rsidRDefault="00915C38" w:rsidP="00915C38">
              <w:pPr>
                <w:pStyle w:val="Bibliography"/>
                <w:rPr>
                  <w:noProof/>
                  <w:lang w:val="en-US"/>
                </w:rPr>
              </w:pPr>
              <w:r>
                <w:rPr>
                  <w:noProof/>
                  <w:lang w:val="en-US"/>
                </w:rPr>
                <w:t xml:space="preserve">Wolf, M., 2022. A new world of currency disorder looms. </w:t>
              </w:r>
              <w:r>
                <w:rPr>
                  <w:i/>
                  <w:iCs/>
                  <w:noProof/>
                  <w:lang w:val="en-US"/>
                </w:rPr>
                <w:t>Financial Times</w:t>
              </w:r>
              <w:r>
                <w:rPr>
                  <w:noProof/>
                  <w:lang w:val="en-US"/>
                </w:rPr>
                <w:t xml:space="preserve">, 29 March. </w:t>
              </w:r>
            </w:p>
            <w:p w:rsidR="00915C38" w:rsidRDefault="00915C38" w:rsidP="00915C38">
              <w:pPr>
                <w:pStyle w:val="Bibliography"/>
                <w:rPr>
                  <w:noProof/>
                  <w:lang w:val="en-US"/>
                </w:rPr>
              </w:pPr>
              <w:r>
                <w:rPr>
                  <w:noProof/>
                  <w:lang w:val="en-US"/>
                </w:rPr>
                <w:t xml:space="preserve">Young, K., 2023. </w:t>
              </w:r>
              <w:r>
                <w:rPr>
                  <w:i/>
                  <w:iCs/>
                  <w:noProof/>
                  <w:lang w:val="en-US"/>
                </w:rPr>
                <w:t xml:space="preserve">The economic statecraft of Gulf Arab states: Deploying aid, investment, and development across the MENAP. </w:t>
              </w:r>
              <w:r>
                <w:rPr>
                  <w:noProof/>
                  <w:lang w:val="en-US"/>
                </w:rPr>
                <w:t>London: IB Tauris.</w:t>
              </w:r>
            </w:p>
            <w:p w:rsidR="00915C38" w:rsidRDefault="00915C38" w:rsidP="00915C38">
              <w:pPr>
                <w:pStyle w:val="Bibliography"/>
                <w:rPr>
                  <w:noProof/>
                  <w:lang w:val="en-US"/>
                </w:rPr>
              </w:pPr>
              <w:r>
                <w:rPr>
                  <w:noProof/>
                  <w:lang w:val="en-US"/>
                </w:rPr>
                <w:t xml:space="preserve">Zakaria, F., 2023. The dollar is our superpower, and Russia and China are threatening it. </w:t>
              </w:r>
              <w:r>
                <w:rPr>
                  <w:i/>
                  <w:iCs/>
                  <w:noProof/>
                  <w:lang w:val="en-US"/>
                </w:rPr>
                <w:t>Washington Post</w:t>
              </w:r>
              <w:r>
                <w:rPr>
                  <w:noProof/>
                  <w:lang w:val="en-US"/>
                </w:rPr>
                <w:t xml:space="preserve">, 24 March. </w:t>
              </w:r>
            </w:p>
            <w:p w:rsidR="005D27E3" w:rsidRDefault="005D27E3" w:rsidP="00915C38">
              <w:pPr>
                <w:spacing w:line="360" w:lineRule="auto"/>
              </w:pPr>
              <w:r>
                <w:rPr>
                  <w:b/>
                  <w:bCs/>
                  <w:noProof/>
                </w:rPr>
                <w:fldChar w:fldCharType="end"/>
              </w:r>
            </w:p>
          </w:sdtContent>
        </w:sdt>
      </w:sdtContent>
    </w:sdt>
    <w:p w:rsidR="005D27E3" w:rsidRDefault="005D27E3" w:rsidP="00FD21E8">
      <w:pPr>
        <w:spacing w:line="360" w:lineRule="auto"/>
      </w:pPr>
    </w:p>
    <w:sectPr w:rsidR="005D27E3">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3012" w:rsidRDefault="00373012" w:rsidP="005F4434">
      <w:pPr>
        <w:spacing w:after="0" w:line="240" w:lineRule="auto"/>
      </w:pPr>
      <w:r>
        <w:separator/>
      </w:r>
    </w:p>
  </w:endnote>
  <w:endnote w:type="continuationSeparator" w:id="0">
    <w:p w:rsidR="00373012" w:rsidRDefault="00373012" w:rsidP="005F44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3012" w:rsidRDefault="00373012" w:rsidP="005F4434">
      <w:pPr>
        <w:spacing w:after="0" w:line="240" w:lineRule="auto"/>
      </w:pPr>
      <w:r>
        <w:separator/>
      </w:r>
    </w:p>
  </w:footnote>
  <w:footnote w:type="continuationSeparator" w:id="0">
    <w:p w:rsidR="00373012" w:rsidRDefault="00373012" w:rsidP="005F4434">
      <w:pPr>
        <w:spacing w:after="0" w:line="240" w:lineRule="auto"/>
      </w:pPr>
      <w:r>
        <w:continuationSeparator/>
      </w:r>
    </w:p>
  </w:footnote>
  <w:footnote w:id="1">
    <w:p w:rsidR="00A22336" w:rsidRDefault="00A22336">
      <w:pPr>
        <w:pStyle w:val="FootnoteText"/>
      </w:pPr>
      <w:r>
        <w:rPr>
          <w:rStyle w:val="FootnoteReference"/>
        </w:rPr>
        <w:footnoteRef/>
      </w:r>
      <w:r>
        <w:t xml:space="preserve"> With the exception of Kuwait, which pegs the dinar to a basket of currencies.</w:t>
      </w:r>
    </w:p>
  </w:footnote>
  <w:footnote w:id="2">
    <w:p w:rsidR="00A22336" w:rsidRDefault="00A22336">
      <w:pPr>
        <w:pStyle w:val="FootnoteText"/>
      </w:pPr>
      <w:r>
        <w:rPr>
          <w:rStyle w:val="FootnoteReference"/>
        </w:rPr>
        <w:footnoteRef/>
      </w:r>
      <w:r>
        <w:t xml:space="preserve"> According to the Middle East Economic Survey, various issues.</w:t>
      </w:r>
    </w:p>
  </w:footnote>
  <w:footnote w:id="3">
    <w:p w:rsidR="00A22336" w:rsidRDefault="00A22336">
      <w:pPr>
        <w:pStyle w:val="FootnoteText"/>
      </w:pPr>
      <w:r>
        <w:rPr>
          <w:rStyle w:val="FootnoteReference"/>
        </w:rPr>
        <w:footnoteRef/>
      </w:r>
      <w:r>
        <w:t xml:space="preserve"> According to the Middle East Economic Survey, various issues.</w:t>
      </w:r>
    </w:p>
  </w:footnote>
  <w:footnote w:id="4">
    <w:p w:rsidR="00A22336" w:rsidRDefault="00A22336">
      <w:pPr>
        <w:pStyle w:val="FootnoteText"/>
      </w:pPr>
      <w:r>
        <w:rPr>
          <w:rStyle w:val="FootnoteReference"/>
        </w:rPr>
        <w:footnoteRef/>
      </w:r>
      <w:r>
        <w:t xml:space="preserve"> According to the Middle East Economic Survey, various issues.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0939677"/>
      <w:docPartObj>
        <w:docPartGallery w:val="Page Numbers (Top of Page)"/>
        <w:docPartUnique/>
      </w:docPartObj>
    </w:sdtPr>
    <w:sdtEndPr>
      <w:rPr>
        <w:noProof/>
      </w:rPr>
    </w:sdtEndPr>
    <w:sdtContent>
      <w:p w:rsidR="00A22336" w:rsidRDefault="00A22336">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A22336" w:rsidRDefault="00A223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C5E28"/>
    <w:multiLevelType w:val="hybridMultilevel"/>
    <w:tmpl w:val="C9882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0940A81"/>
    <w:multiLevelType w:val="hybridMultilevel"/>
    <w:tmpl w:val="5C9AD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0FC139A"/>
    <w:multiLevelType w:val="hybridMultilevel"/>
    <w:tmpl w:val="E8164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3E23A75"/>
    <w:multiLevelType w:val="hybridMultilevel"/>
    <w:tmpl w:val="9D680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91A67A4"/>
    <w:multiLevelType w:val="hybridMultilevel"/>
    <w:tmpl w:val="1FE62E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47E"/>
    <w:rsid w:val="00006BA1"/>
    <w:rsid w:val="00032B53"/>
    <w:rsid w:val="0005073E"/>
    <w:rsid w:val="00066E40"/>
    <w:rsid w:val="000677B9"/>
    <w:rsid w:val="00096914"/>
    <w:rsid w:val="000F777D"/>
    <w:rsid w:val="00154086"/>
    <w:rsid w:val="00180D25"/>
    <w:rsid w:val="001A118C"/>
    <w:rsid w:val="001A4563"/>
    <w:rsid w:val="001C6C0B"/>
    <w:rsid w:val="001D486E"/>
    <w:rsid w:val="001D6C91"/>
    <w:rsid w:val="002117B0"/>
    <w:rsid w:val="00274159"/>
    <w:rsid w:val="00285C94"/>
    <w:rsid w:val="002867A8"/>
    <w:rsid w:val="00286CD3"/>
    <w:rsid w:val="00294153"/>
    <w:rsid w:val="00295384"/>
    <w:rsid w:val="0029677F"/>
    <w:rsid w:val="002B27B9"/>
    <w:rsid w:val="002E418F"/>
    <w:rsid w:val="00302952"/>
    <w:rsid w:val="00347E2A"/>
    <w:rsid w:val="00362A2D"/>
    <w:rsid w:val="00365DFD"/>
    <w:rsid w:val="0037157F"/>
    <w:rsid w:val="00373012"/>
    <w:rsid w:val="00374E66"/>
    <w:rsid w:val="00381694"/>
    <w:rsid w:val="00392544"/>
    <w:rsid w:val="0039562A"/>
    <w:rsid w:val="003B5374"/>
    <w:rsid w:val="003C0E63"/>
    <w:rsid w:val="003C2D50"/>
    <w:rsid w:val="003D7D3D"/>
    <w:rsid w:val="003E129E"/>
    <w:rsid w:val="00414F60"/>
    <w:rsid w:val="00423139"/>
    <w:rsid w:val="00440EF2"/>
    <w:rsid w:val="004A1C32"/>
    <w:rsid w:val="004C4BE7"/>
    <w:rsid w:val="00504A20"/>
    <w:rsid w:val="00520AAF"/>
    <w:rsid w:val="0053069E"/>
    <w:rsid w:val="00555FF6"/>
    <w:rsid w:val="005578A9"/>
    <w:rsid w:val="0058545B"/>
    <w:rsid w:val="005B64B0"/>
    <w:rsid w:val="005D27E3"/>
    <w:rsid w:val="005D2FF5"/>
    <w:rsid w:val="005F0C5D"/>
    <w:rsid w:val="005F4434"/>
    <w:rsid w:val="005F6E0A"/>
    <w:rsid w:val="0061225C"/>
    <w:rsid w:val="006155A6"/>
    <w:rsid w:val="00615654"/>
    <w:rsid w:val="006176C8"/>
    <w:rsid w:val="00660CB0"/>
    <w:rsid w:val="00691BC0"/>
    <w:rsid w:val="006E2623"/>
    <w:rsid w:val="0073137D"/>
    <w:rsid w:val="00741EB0"/>
    <w:rsid w:val="007C2E2A"/>
    <w:rsid w:val="007D2076"/>
    <w:rsid w:val="008264A7"/>
    <w:rsid w:val="00863ED9"/>
    <w:rsid w:val="00884A3F"/>
    <w:rsid w:val="00892229"/>
    <w:rsid w:val="008E4323"/>
    <w:rsid w:val="008E798D"/>
    <w:rsid w:val="00901660"/>
    <w:rsid w:val="00906515"/>
    <w:rsid w:val="009129D8"/>
    <w:rsid w:val="00915C38"/>
    <w:rsid w:val="0093168C"/>
    <w:rsid w:val="00960DCF"/>
    <w:rsid w:val="00972A91"/>
    <w:rsid w:val="00990CDD"/>
    <w:rsid w:val="009A4D87"/>
    <w:rsid w:val="009C70B2"/>
    <w:rsid w:val="009D1A1D"/>
    <w:rsid w:val="009E025D"/>
    <w:rsid w:val="009F1284"/>
    <w:rsid w:val="00A00945"/>
    <w:rsid w:val="00A22336"/>
    <w:rsid w:val="00A31C9D"/>
    <w:rsid w:val="00A325AA"/>
    <w:rsid w:val="00A4212F"/>
    <w:rsid w:val="00A47E5E"/>
    <w:rsid w:val="00A83963"/>
    <w:rsid w:val="00AD0FC6"/>
    <w:rsid w:val="00AD1DEF"/>
    <w:rsid w:val="00B1744E"/>
    <w:rsid w:val="00B2423A"/>
    <w:rsid w:val="00B24653"/>
    <w:rsid w:val="00B3271A"/>
    <w:rsid w:val="00B44C77"/>
    <w:rsid w:val="00B963F2"/>
    <w:rsid w:val="00BA3D19"/>
    <w:rsid w:val="00BE48D1"/>
    <w:rsid w:val="00C122FD"/>
    <w:rsid w:val="00C26E48"/>
    <w:rsid w:val="00C51FB6"/>
    <w:rsid w:val="00C77658"/>
    <w:rsid w:val="00C90431"/>
    <w:rsid w:val="00C91859"/>
    <w:rsid w:val="00CC7485"/>
    <w:rsid w:val="00CD5265"/>
    <w:rsid w:val="00D00B64"/>
    <w:rsid w:val="00D079B6"/>
    <w:rsid w:val="00D07FB0"/>
    <w:rsid w:val="00D13F77"/>
    <w:rsid w:val="00D2654F"/>
    <w:rsid w:val="00D4247E"/>
    <w:rsid w:val="00D55DDF"/>
    <w:rsid w:val="00D67D0A"/>
    <w:rsid w:val="00DA1A64"/>
    <w:rsid w:val="00DA2CC3"/>
    <w:rsid w:val="00DA3157"/>
    <w:rsid w:val="00DB7D26"/>
    <w:rsid w:val="00DC17BF"/>
    <w:rsid w:val="00DE68B8"/>
    <w:rsid w:val="00DE7F57"/>
    <w:rsid w:val="00E04247"/>
    <w:rsid w:val="00E06B26"/>
    <w:rsid w:val="00E52639"/>
    <w:rsid w:val="00E613D2"/>
    <w:rsid w:val="00E83A61"/>
    <w:rsid w:val="00EB4D57"/>
    <w:rsid w:val="00F04EEE"/>
    <w:rsid w:val="00F1534F"/>
    <w:rsid w:val="00F35B64"/>
    <w:rsid w:val="00F7426E"/>
    <w:rsid w:val="00F813CD"/>
    <w:rsid w:val="00F90A4C"/>
    <w:rsid w:val="00FA5CDA"/>
    <w:rsid w:val="00FD21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7A5FC"/>
  <w15:chartTrackingRefBased/>
  <w15:docId w15:val="{781A6544-97B6-45FC-BE78-C4240769C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D27E3"/>
    <w:pPr>
      <w:keepNext/>
      <w:keepLines/>
      <w:spacing w:before="240" w:after="0"/>
      <w:outlineLvl w:val="0"/>
    </w:pPr>
    <w:rPr>
      <w:rFonts w:asciiTheme="majorHAnsi" w:eastAsiaTheme="majorEastAsia" w:hAnsiTheme="majorHAnsi" w:cstheme="majorBidi"/>
      <w:color w:val="2F5496" w:themeColor="accent1" w:themeShade="B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1EB0"/>
    <w:pPr>
      <w:ind w:left="720"/>
      <w:contextualSpacing/>
    </w:pPr>
  </w:style>
  <w:style w:type="character" w:customStyle="1" w:styleId="Heading1Char">
    <w:name w:val="Heading 1 Char"/>
    <w:basedOn w:val="DefaultParagraphFont"/>
    <w:link w:val="Heading1"/>
    <w:uiPriority w:val="9"/>
    <w:rsid w:val="005D27E3"/>
    <w:rPr>
      <w:rFonts w:asciiTheme="majorHAnsi" w:eastAsiaTheme="majorEastAsia" w:hAnsiTheme="majorHAnsi" w:cstheme="majorBidi"/>
      <w:color w:val="2F5496" w:themeColor="accent1" w:themeShade="BF"/>
      <w:sz w:val="32"/>
      <w:szCs w:val="32"/>
      <w:lang w:val="en-US"/>
    </w:rPr>
  </w:style>
  <w:style w:type="paragraph" w:styleId="Bibliography">
    <w:name w:val="Bibliography"/>
    <w:basedOn w:val="Normal"/>
    <w:next w:val="Normal"/>
    <w:uiPriority w:val="37"/>
    <w:unhideWhenUsed/>
    <w:rsid w:val="005D27E3"/>
  </w:style>
  <w:style w:type="character" w:styleId="Hyperlink">
    <w:name w:val="Hyperlink"/>
    <w:basedOn w:val="DefaultParagraphFont"/>
    <w:uiPriority w:val="99"/>
    <w:unhideWhenUsed/>
    <w:rsid w:val="00E83A61"/>
    <w:rPr>
      <w:color w:val="0563C1" w:themeColor="hyperlink"/>
      <w:u w:val="single"/>
    </w:rPr>
  </w:style>
  <w:style w:type="character" w:styleId="UnresolvedMention">
    <w:name w:val="Unresolved Mention"/>
    <w:basedOn w:val="DefaultParagraphFont"/>
    <w:uiPriority w:val="99"/>
    <w:semiHidden/>
    <w:unhideWhenUsed/>
    <w:rsid w:val="00E83A61"/>
    <w:rPr>
      <w:color w:val="605E5C"/>
      <w:shd w:val="clear" w:color="auto" w:fill="E1DFDD"/>
    </w:rPr>
  </w:style>
  <w:style w:type="character" w:styleId="FollowedHyperlink">
    <w:name w:val="FollowedHyperlink"/>
    <w:basedOn w:val="DefaultParagraphFont"/>
    <w:uiPriority w:val="99"/>
    <w:semiHidden/>
    <w:unhideWhenUsed/>
    <w:rsid w:val="003D7D3D"/>
    <w:rPr>
      <w:color w:val="954F72" w:themeColor="followedHyperlink"/>
      <w:u w:val="single"/>
    </w:rPr>
  </w:style>
  <w:style w:type="paragraph" w:styleId="FootnoteText">
    <w:name w:val="footnote text"/>
    <w:basedOn w:val="Normal"/>
    <w:link w:val="FootnoteTextChar"/>
    <w:uiPriority w:val="99"/>
    <w:semiHidden/>
    <w:unhideWhenUsed/>
    <w:rsid w:val="005F443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4434"/>
    <w:rPr>
      <w:sz w:val="20"/>
      <w:szCs w:val="20"/>
    </w:rPr>
  </w:style>
  <w:style w:type="character" w:styleId="FootnoteReference">
    <w:name w:val="footnote reference"/>
    <w:basedOn w:val="DefaultParagraphFont"/>
    <w:uiPriority w:val="99"/>
    <w:semiHidden/>
    <w:unhideWhenUsed/>
    <w:rsid w:val="005F4434"/>
    <w:rPr>
      <w:vertAlign w:val="superscript"/>
    </w:rPr>
  </w:style>
  <w:style w:type="paragraph" w:styleId="Header">
    <w:name w:val="header"/>
    <w:basedOn w:val="Normal"/>
    <w:link w:val="HeaderChar"/>
    <w:uiPriority w:val="99"/>
    <w:unhideWhenUsed/>
    <w:rsid w:val="00A839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3963"/>
  </w:style>
  <w:style w:type="paragraph" w:styleId="Footer">
    <w:name w:val="footer"/>
    <w:basedOn w:val="Normal"/>
    <w:link w:val="FooterChar"/>
    <w:uiPriority w:val="99"/>
    <w:unhideWhenUsed/>
    <w:rsid w:val="00A839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39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9391">
      <w:bodyDiv w:val="1"/>
      <w:marLeft w:val="0"/>
      <w:marRight w:val="0"/>
      <w:marTop w:val="0"/>
      <w:marBottom w:val="0"/>
      <w:divBdr>
        <w:top w:val="none" w:sz="0" w:space="0" w:color="auto"/>
        <w:left w:val="none" w:sz="0" w:space="0" w:color="auto"/>
        <w:bottom w:val="none" w:sz="0" w:space="0" w:color="auto"/>
        <w:right w:val="none" w:sz="0" w:space="0" w:color="auto"/>
      </w:divBdr>
    </w:div>
    <w:div w:id="4018356">
      <w:bodyDiv w:val="1"/>
      <w:marLeft w:val="0"/>
      <w:marRight w:val="0"/>
      <w:marTop w:val="0"/>
      <w:marBottom w:val="0"/>
      <w:divBdr>
        <w:top w:val="none" w:sz="0" w:space="0" w:color="auto"/>
        <w:left w:val="none" w:sz="0" w:space="0" w:color="auto"/>
        <w:bottom w:val="none" w:sz="0" w:space="0" w:color="auto"/>
        <w:right w:val="none" w:sz="0" w:space="0" w:color="auto"/>
      </w:divBdr>
    </w:div>
    <w:div w:id="14697420">
      <w:bodyDiv w:val="1"/>
      <w:marLeft w:val="0"/>
      <w:marRight w:val="0"/>
      <w:marTop w:val="0"/>
      <w:marBottom w:val="0"/>
      <w:divBdr>
        <w:top w:val="none" w:sz="0" w:space="0" w:color="auto"/>
        <w:left w:val="none" w:sz="0" w:space="0" w:color="auto"/>
        <w:bottom w:val="none" w:sz="0" w:space="0" w:color="auto"/>
        <w:right w:val="none" w:sz="0" w:space="0" w:color="auto"/>
      </w:divBdr>
    </w:div>
    <w:div w:id="23605918">
      <w:bodyDiv w:val="1"/>
      <w:marLeft w:val="0"/>
      <w:marRight w:val="0"/>
      <w:marTop w:val="0"/>
      <w:marBottom w:val="0"/>
      <w:divBdr>
        <w:top w:val="none" w:sz="0" w:space="0" w:color="auto"/>
        <w:left w:val="none" w:sz="0" w:space="0" w:color="auto"/>
        <w:bottom w:val="none" w:sz="0" w:space="0" w:color="auto"/>
        <w:right w:val="none" w:sz="0" w:space="0" w:color="auto"/>
      </w:divBdr>
    </w:div>
    <w:div w:id="26298249">
      <w:bodyDiv w:val="1"/>
      <w:marLeft w:val="0"/>
      <w:marRight w:val="0"/>
      <w:marTop w:val="0"/>
      <w:marBottom w:val="0"/>
      <w:divBdr>
        <w:top w:val="none" w:sz="0" w:space="0" w:color="auto"/>
        <w:left w:val="none" w:sz="0" w:space="0" w:color="auto"/>
        <w:bottom w:val="none" w:sz="0" w:space="0" w:color="auto"/>
        <w:right w:val="none" w:sz="0" w:space="0" w:color="auto"/>
      </w:divBdr>
    </w:div>
    <w:div w:id="33237602">
      <w:bodyDiv w:val="1"/>
      <w:marLeft w:val="0"/>
      <w:marRight w:val="0"/>
      <w:marTop w:val="0"/>
      <w:marBottom w:val="0"/>
      <w:divBdr>
        <w:top w:val="none" w:sz="0" w:space="0" w:color="auto"/>
        <w:left w:val="none" w:sz="0" w:space="0" w:color="auto"/>
        <w:bottom w:val="none" w:sz="0" w:space="0" w:color="auto"/>
        <w:right w:val="none" w:sz="0" w:space="0" w:color="auto"/>
      </w:divBdr>
    </w:div>
    <w:div w:id="39479645">
      <w:bodyDiv w:val="1"/>
      <w:marLeft w:val="0"/>
      <w:marRight w:val="0"/>
      <w:marTop w:val="0"/>
      <w:marBottom w:val="0"/>
      <w:divBdr>
        <w:top w:val="none" w:sz="0" w:space="0" w:color="auto"/>
        <w:left w:val="none" w:sz="0" w:space="0" w:color="auto"/>
        <w:bottom w:val="none" w:sz="0" w:space="0" w:color="auto"/>
        <w:right w:val="none" w:sz="0" w:space="0" w:color="auto"/>
      </w:divBdr>
    </w:div>
    <w:div w:id="51075482">
      <w:bodyDiv w:val="1"/>
      <w:marLeft w:val="0"/>
      <w:marRight w:val="0"/>
      <w:marTop w:val="0"/>
      <w:marBottom w:val="0"/>
      <w:divBdr>
        <w:top w:val="none" w:sz="0" w:space="0" w:color="auto"/>
        <w:left w:val="none" w:sz="0" w:space="0" w:color="auto"/>
        <w:bottom w:val="none" w:sz="0" w:space="0" w:color="auto"/>
        <w:right w:val="none" w:sz="0" w:space="0" w:color="auto"/>
      </w:divBdr>
    </w:div>
    <w:div w:id="52001958">
      <w:bodyDiv w:val="1"/>
      <w:marLeft w:val="0"/>
      <w:marRight w:val="0"/>
      <w:marTop w:val="0"/>
      <w:marBottom w:val="0"/>
      <w:divBdr>
        <w:top w:val="none" w:sz="0" w:space="0" w:color="auto"/>
        <w:left w:val="none" w:sz="0" w:space="0" w:color="auto"/>
        <w:bottom w:val="none" w:sz="0" w:space="0" w:color="auto"/>
        <w:right w:val="none" w:sz="0" w:space="0" w:color="auto"/>
      </w:divBdr>
    </w:div>
    <w:div w:id="62217853">
      <w:bodyDiv w:val="1"/>
      <w:marLeft w:val="0"/>
      <w:marRight w:val="0"/>
      <w:marTop w:val="0"/>
      <w:marBottom w:val="0"/>
      <w:divBdr>
        <w:top w:val="none" w:sz="0" w:space="0" w:color="auto"/>
        <w:left w:val="none" w:sz="0" w:space="0" w:color="auto"/>
        <w:bottom w:val="none" w:sz="0" w:space="0" w:color="auto"/>
        <w:right w:val="none" w:sz="0" w:space="0" w:color="auto"/>
      </w:divBdr>
    </w:div>
    <w:div w:id="65081187">
      <w:bodyDiv w:val="1"/>
      <w:marLeft w:val="0"/>
      <w:marRight w:val="0"/>
      <w:marTop w:val="0"/>
      <w:marBottom w:val="0"/>
      <w:divBdr>
        <w:top w:val="none" w:sz="0" w:space="0" w:color="auto"/>
        <w:left w:val="none" w:sz="0" w:space="0" w:color="auto"/>
        <w:bottom w:val="none" w:sz="0" w:space="0" w:color="auto"/>
        <w:right w:val="none" w:sz="0" w:space="0" w:color="auto"/>
      </w:divBdr>
    </w:div>
    <w:div w:id="71776470">
      <w:bodyDiv w:val="1"/>
      <w:marLeft w:val="0"/>
      <w:marRight w:val="0"/>
      <w:marTop w:val="0"/>
      <w:marBottom w:val="0"/>
      <w:divBdr>
        <w:top w:val="none" w:sz="0" w:space="0" w:color="auto"/>
        <w:left w:val="none" w:sz="0" w:space="0" w:color="auto"/>
        <w:bottom w:val="none" w:sz="0" w:space="0" w:color="auto"/>
        <w:right w:val="none" w:sz="0" w:space="0" w:color="auto"/>
      </w:divBdr>
    </w:div>
    <w:div w:id="76367909">
      <w:bodyDiv w:val="1"/>
      <w:marLeft w:val="0"/>
      <w:marRight w:val="0"/>
      <w:marTop w:val="0"/>
      <w:marBottom w:val="0"/>
      <w:divBdr>
        <w:top w:val="none" w:sz="0" w:space="0" w:color="auto"/>
        <w:left w:val="none" w:sz="0" w:space="0" w:color="auto"/>
        <w:bottom w:val="none" w:sz="0" w:space="0" w:color="auto"/>
        <w:right w:val="none" w:sz="0" w:space="0" w:color="auto"/>
      </w:divBdr>
    </w:div>
    <w:div w:id="93213780">
      <w:bodyDiv w:val="1"/>
      <w:marLeft w:val="0"/>
      <w:marRight w:val="0"/>
      <w:marTop w:val="0"/>
      <w:marBottom w:val="0"/>
      <w:divBdr>
        <w:top w:val="none" w:sz="0" w:space="0" w:color="auto"/>
        <w:left w:val="none" w:sz="0" w:space="0" w:color="auto"/>
        <w:bottom w:val="none" w:sz="0" w:space="0" w:color="auto"/>
        <w:right w:val="none" w:sz="0" w:space="0" w:color="auto"/>
      </w:divBdr>
    </w:div>
    <w:div w:id="94595996">
      <w:bodyDiv w:val="1"/>
      <w:marLeft w:val="0"/>
      <w:marRight w:val="0"/>
      <w:marTop w:val="0"/>
      <w:marBottom w:val="0"/>
      <w:divBdr>
        <w:top w:val="none" w:sz="0" w:space="0" w:color="auto"/>
        <w:left w:val="none" w:sz="0" w:space="0" w:color="auto"/>
        <w:bottom w:val="none" w:sz="0" w:space="0" w:color="auto"/>
        <w:right w:val="none" w:sz="0" w:space="0" w:color="auto"/>
      </w:divBdr>
    </w:div>
    <w:div w:id="116026556">
      <w:bodyDiv w:val="1"/>
      <w:marLeft w:val="0"/>
      <w:marRight w:val="0"/>
      <w:marTop w:val="0"/>
      <w:marBottom w:val="0"/>
      <w:divBdr>
        <w:top w:val="none" w:sz="0" w:space="0" w:color="auto"/>
        <w:left w:val="none" w:sz="0" w:space="0" w:color="auto"/>
        <w:bottom w:val="none" w:sz="0" w:space="0" w:color="auto"/>
        <w:right w:val="none" w:sz="0" w:space="0" w:color="auto"/>
      </w:divBdr>
    </w:div>
    <w:div w:id="125467750">
      <w:bodyDiv w:val="1"/>
      <w:marLeft w:val="0"/>
      <w:marRight w:val="0"/>
      <w:marTop w:val="0"/>
      <w:marBottom w:val="0"/>
      <w:divBdr>
        <w:top w:val="none" w:sz="0" w:space="0" w:color="auto"/>
        <w:left w:val="none" w:sz="0" w:space="0" w:color="auto"/>
        <w:bottom w:val="none" w:sz="0" w:space="0" w:color="auto"/>
        <w:right w:val="none" w:sz="0" w:space="0" w:color="auto"/>
      </w:divBdr>
    </w:div>
    <w:div w:id="134221711">
      <w:bodyDiv w:val="1"/>
      <w:marLeft w:val="0"/>
      <w:marRight w:val="0"/>
      <w:marTop w:val="0"/>
      <w:marBottom w:val="0"/>
      <w:divBdr>
        <w:top w:val="none" w:sz="0" w:space="0" w:color="auto"/>
        <w:left w:val="none" w:sz="0" w:space="0" w:color="auto"/>
        <w:bottom w:val="none" w:sz="0" w:space="0" w:color="auto"/>
        <w:right w:val="none" w:sz="0" w:space="0" w:color="auto"/>
      </w:divBdr>
    </w:div>
    <w:div w:id="134421150">
      <w:bodyDiv w:val="1"/>
      <w:marLeft w:val="0"/>
      <w:marRight w:val="0"/>
      <w:marTop w:val="0"/>
      <w:marBottom w:val="0"/>
      <w:divBdr>
        <w:top w:val="none" w:sz="0" w:space="0" w:color="auto"/>
        <w:left w:val="none" w:sz="0" w:space="0" w:color="auto"/>
        <w:bottom w:val="none" w:sz="0" w:space="0" w:color="auto"/>
        <w:right w:val="none" w:sz="0" w:space="0" w:color="auto"/>
      </w:divBdr>
    </w:div>
    <w:div w:id="134495609">
      <w:bodyDiv w:val="1"/>
      <w:marLeft w:val="0"/>
      <w:marRight w:val="0"/>
      <w:marTop w:val="0"/>
      <w:marBottom w:val="0"/>
      <w:divBdr>
        <w:top w:val="none" w:sz="0" w:space="0" w:color="auto"/>
        <w:left w:val="none" w:sz="0" w:space="0" w:color="auto"/>
        <w:bottom w:val="none" w:sz="0" w:space="0" w:color="auto"/>
        <w:right w:val="none" w:sz="0" w:space="0" w:color="auto"/>
      </w:divBdr>
    </w:div>
    <w:div w:id="142623972">
      <w:bodyDiv w:val="1"/>
      <w:marLeft w:val="0"/>
      <w:marRight w:val="0"/>
      <w:marTop w:val="0"/>
      <w:marBottom w:val="0"/>
      <w:divBdr>
        <w:top w:val="none" w:sz="0" w:space="0" w:color="auto"/>
        <w:left w:val="none" w:sz="0" w:space="0" w:color="auto"/>
        <w:bottom w:val="none" w:sz="0" w:space="0" w:color="auto"/>
        <w:right w:val="none" w:sz="0" w:space="0" w:color="auto"/>
      </w:divBdr>
    </w:div>
    <w:div w:id="145633032">
      <w:bodyDiv w:val="1"/>
      <w:marLeft w:val="0"/>
      <w:marRight w:val="0"/>
      <w:marTop w:val="0"/>
      <w:marBottom w:val="0"/>
      <w:divBdr>
        <w:top w:val="none" w:sz="0" w:space="0" w:color="auto"/>
        <w:left w:val="none" w:sz="0" w:space="0" w:color="auto"/>
        <w:bottom w:val="none" w:sz="0" w:space="0" w:color="auto"/>
        <w:right w:val="none" w:sz="0" w:space="0" w:color="auto"/>
      </w:divBdr>
    </w:div>
    <w:div w:id="146751285">
      <w:bodyDiv w:val="1"/>
      <w:marLeft w:val="0"/>
      <w:marRight w:val="0"/>
      <w:marTop w:val="0"/>
      <w:marBottom w:val="0"/>
      <w:divBdr>
        <w:top w:val="none" w:sz="0" w:space="0" w:color="auto"/>
        <w:left w:val="none" w:sz="0" w:space="0" w:color="auto"/>
        <w:bottom w:val="none" w:sz="0" w:space="0" w:color="auto"/>
        <w:right w:val="none" w:sz="0" w:space="0" w:color="auto"/>
      </w:divBdr>
    </w:div>
    <w:div w:id="146828433">
      <w:bodyDiv w:val="1"/>
      <w:marLeft w:val="0"/>
      <w:marRight w:val="0"/>
      <w:marTop w:val="0"/>
      <w:marBottom w:val="0"/>
      <w:divBdr>
        <w:top w:val="none" w:sz="0" w:space="0" w:color="auto"/>
        <w:left w:val="none" w:sz="0" w:space="0" w:color="auto"/>
        <w:bottom w:val="none" w:sz="0" w:space="0" w:color="auto"/>
        <w:right w:val="none" w:sz="0" w:space="0" w:color="auto"/>
      </w:divBdr>
    </w:div>
    <w:div w:id="150411840">
      <w:bodyDiv w:val="1"/>
      <w:marLeft w:val="0"/>
      <w:marRight w:val="0"/>
      <w:marTop w:val="0"/>
      <w:marBottom w:val="0"/>
      <w:divBdr>
        <w:top w:val="none" w:sz="0" w:space="0" w:color="auto"/>
        <w:left w:val="none" w:sz="0" w:space="0" w:color="auto"/>
        <w:bottom w:val="none" w:sz="0" w:space="0" w:color="auto"/>
        <w:right w:val="none" w:sz="0" w:space="0" w:color="auto"/>
      </w:divBdr>
    </w:div>
    <w:div w:id="196431871">
      <w:bodyDiv w:val="1"/>
      <w:marLeft w:val="0"/>
      <w:marRight w:val="0"/>
      <w:marTop w:val="0"/>
      <w:marBottom w:val="0"/>
      <w:divBdr>
        <w:top w:val="none" w:sz="0" w:space="0" w:color="auto"/>
        <w:left w:val="none" w:sz="0" w:space="0" w:color="auto"/>
        <w:bottom w:val="none" w:sz="0" w:space="0" w:color="auto"/>
        <w:right w:val="none" w:sz="0" w:space="0" w:color="auto"/>
      </w:divBdr>
    </w:div>
    <w:div w:id="198863750">
      <w:bodyDiv w:val="1"/>
      <w:marLeft w:val="0"/>
      <w:marRight w:val="0"/>
      <w:marTop w:val="0"/>
      <w:marBottom w:val="0"/>
      <w:divBdr>
        <w:top w:val="none" w:sz="0" w:space="0" w:color="auto"/>
        <w:left w:val="none" w:sz="0" w:space="0" w:color="auto"/>
        <w:bottom w:val="none" w:sz="0" w:space="0" w:color="auto"/>
        <w:right w:val="none" w:sz="0" w:space="0" w:color="auto"/>
      </w:divBdr>
    </w:div>
    <w:div w:id="217592493">
      <w:bodyDiv w:val="1"/>
      <w:marLeft w:val="0"/>
      <w:marRight w:val="0"/>
      <w:marTop w:val="0"/>
      <w:marBottom w:val="0"/>
      <w:divBdr>
        <w:top w:val="none" w:sz="0" w:space="0" w:color="auto"/>
        <w:left w:val="none" w:sz="0" w:space="0" w:color="auto"/>
        <w:bottom w:val="none" w:sz="0" w:space="0" w:color="auto"/>
        <w:right w:val="none" w:sz="0" w:space="0" w:color="auto"/>
      </w:divBdr>
    </w:div>
    <w:div w:id="231626893">
      <w:bodyDiv w:val="1"/>
      <w:marLeft w:val="0"/>
      <w:marRight w:val="0"/>
      <w:marTop w:val="0"/>
      <w:marBottom w:val="0"/>
      <w:divBdr>
        <w:top w:val="none" w:sz="0" w:space="0" w:color="auto"/>
        <w:left w:val="none" w:sz="0" w:space="0" w:color="auto"/>
        <w:bottom w:val="none" w:sz="0" w:space="0" w:color="auto"/>
        <w:right w:val="none" w:sz="0" w:space="0" w:color="auto"/>
      </w:divBdr>
    </w:div>
    <w:div w:id="232815852">
      <w:bodyDiv w:val="1"/>
      <w:marLeft w:val="0"/>
      <w:marRight w:val="0"/>
      <w:marTop w:val="0"/>
      <w:marBottom w:val="0"/>
      <w:divBdr>
        <w:top w:val="none" w:sz="0" w:space="0" w:color="auto"/>
        <w:left w:val="none" w:sz="0" w:space="0" w:color="auto"/>
        <w:bottom w:val="none" w:sz="0" w:space="0" w:color="auto"/>
        <w:right w:val="none" w:sz="0" w:space="0" w:color="auto"/>
      </w:divBdr>
    </w:div>
    <w:div w:id="269237714">
      <w:bodyDiv w:val="1"/>
      <w:marLeft w:val="0"/>
      <w:marRight w:val="0"/>
      <w:marTop w:val="0"/>
      <w:marBottom w:val="0"/>
      <w:divBdr>
        <w:top w:val="none" w:sz="0" w:space="0" w:color="auto"/>
        <w:left w:val="none" w:sz="0" w:space="0" w:color="auto"/>
        <w:bottom w:val="none" w:sz="0" w:space="0" w:color="auto"/>
        <w:right w:val="none" w:sz="0" w:space="0" w:color="auto"/>
      </w:divBdr>
    </w:div>
    <w:div w:id="296880335">
      <w:bodyDiv w:val="1"/>
      <w:marLeft w:val="0"/>
      <w:marRight w:val="0"/>
      <w:marTop w:val="0"/>
      <w:marBottom w:val="0"/>
      <w:divBdr>
        <w:top w:val="none" w:sz="0" w:space="0" w:color="auto"/>
        <w:left w:val="none" w:sz="0" w:space="0" w:color="auto"/>
        <w:bottom w:val="none" w:sz="0" w:space="0" w:color="auto"/>
        <w:right w:val="none" w:sz="0" w:space="0" w:color="auto"/>
      </w:divBdr>
    </w:div>
    <w:div w:id="300157382">
      <w:bodyDiv w:val="1"/>
      <w:marLeft w:val="0"/>
      <w:marRight w:val="0"/>
      <w:marTop w:val="0"/>
      <w:marBottom w:val="0"/>
      <w:divBdr>
        <w:top w:val="none" w:sz="0" w:space="0" w:color="auto"/>
        <w:left w:val="none" w:sz="0" w:space="0" w:color="auto"/>
        <w:bottom w:val="none" w:sz="0" w:space="0" w:color="auto"/>
        <w:right w:val="none" w:sz="0" w:space="0" w:color="auto"/>
      </w:divBdr>
    </w:div>
    <w:div w:id="319116476">
      <w:bodyDiv w:val="1"/>
      <w:marLeft w:val="0"/>
      <w:marRight w:val="0"/>
      <w:marTop w:val="0"/>
      <w:marBottom w:val="0"/>
      <w:divBdr>
        <w:top w:val="none" w:sz="0" w:space="0" w:color="auto"/>
        <w:left w:val="none" w:sz="0" w:space="0" w:color="auto"/>
        <w:bottom w:val="none" w:sz="0" w:space="0" w:color="auto"/>
        <w:right w:val="none" w:sz="0" w:space="0" w:color="auto"/>
      </w:divBdr>
    </w:div>
    <w:div w:id="349524696">
      <w:bodyDiv w:val="1"/>
      <w:marLeft w:val="0"/>
      <w:marRight w:val="0"/>
      <w:marTop w:val="0"/>
      <w:marBottom w:val="0"/>
      <w:divBdr>
        <w:top w:val="none" w:sz="0" w:space="0" w:color="auto"/>
        <w:left w:val="none" w:sz="0" w:space="0" w:color="auto"/>
        <w:bottom w:val="none" w:sz="0" w:space="0" w:color="auto"/>
        <w:right w:val="none" w:sz="0" w:space="0" w:color="auto"/>
      </w:divBdr>
    </w:div>
    <w:div w:id="352805142">
      <w:bodyDiv w:val="1"/>
      <w:marLeft w:val="0"/>
      <w:marRight w:val="0"/>
      <w:marTop w:val="0"/>
      <w:marBottom w:val="0"/>
      <w:divBdr>
        <w:top w:val="none" w:sz="0" w:space="0" w:color="auto"/>
        <w:left w:val="none" w:sz="0" w:space="0" w:color="auto"/>
        <w:bottom w:val="none" w:sz="0" w:space="0" w:color="auto"/>
        <w:right w:val="none" w:sz="0" w:space="0" w:color="auto"/>
      </w:divBdr>
    </w:div>
    <w:div w:id="364334490">
      <w:bodyDiv w:val="1"/>
      <w:marLeft w:val="0"/>
      <w:marRight w:val="0"/>
      <w:marTop w:val="0"/>
      <w:marBottom w:val="0"/>
      <w:divBdr>
        <w:top w:val="none" w:sz="0" w:space="0" w:color="auto"/>
        <w:left w:val="none" w:sz="0" w:space="0" w:color="auto"/>
        <w:bottom w:val="none" w:sz="0" w:space="0" w:color="auto"/>
        <w:right w:val="none" w:sz="0" w:space="0" w:color="auto"/>
      </w:divBdr>
    </w:div>
    <w:div w:id="364792937">
      <w:bodyDiv w:val="1"/>
      <w:marLeft w:val="0"/>
      <w:marRight w:val="0"/>
      <w:marTop w:val="0"/>
      <w:marBottom w:val="0"/>
      <w:divBdr>
        <w:top w:val="none" w:sz="0" w:space="0" w:color="auto"/>
        <w:left w:val="none" w:sz="0" w:space="0" w:color="auto"/>
        <w:bottom w:val="none" w:sz="0" w:space="0" w:color="auto"/>
        <w:right w:val="none" w:sz="0" w:space="0" w:color="auto"/>
      </w:divBdr>
    </w:div>
    <w:div w:id="382021727">
      <w:bodyDiv w:val="1"/>
      <w:marLeft w:val="0"/>
      <w:marRight w:val="0"/>
      <w:marTop w:val="0"/>
      <w:marBottom w:val="0"/>
      <w:divBdr>
        <w:top w:val="none" w:sz="0" w:space="0" w:color="auto"/>
        <w:left w:val="none" w:sz="0" w:space="0" w:color="auto"/>
        <w:bottom w:val="none" w:sz="0" w:space="0" w:color="auto"/>
        <w:right w:val="none" w:sz="0" w:space="0" w:color="auto"/>
      </w:divBdr>
    </w:div>
    <w:div w:id="427047745">
      <w:bodyDiv w:val="1"/>
      <w:marLeft w:val="0"/>
      <w:marRight w:val="0"/>
      <w:marTop w:val="0"/>
      <w:marBottom w:val="0"/>
      <w:divBdr>
        <w:top w:val="none" w:sz="0" w:space="0" w:color="auto"/>
        <w:left w:val="none" w:sz="0" w:space="0" w:color="auto"/>
        <w:bottom w:val="none" w:sz="0" w:space="0" w:color="auto"/>
        <w:right w:val="none" w:sz="0" w:space="0" w:color="auto"/>
      </w:divBdr>
    </w:div>
    <w:div w:id="441071421">
      <w:bodyDiv w:val="1"/>
      <w:marLeft w:val="0"/>
      <w:marRight w:val="0"/>
      <w:marTop w:val="0"/>
      <w:marBottom w:val="0"/>
      <w:divBdr>
        <w:top w:val="none" w:sz="0" w:space="0" w:color="auto"/>
        <w:left w:val="none" w:sz="0" w:space="0" w:color="auto"/>
        <w:bottom w:val="none" w:sz="0" w:space="0" w:color="auto"/>
        <w:right w:val="none" w:sz="0" w:space="0" w:color="auto"/>
      </w:divBdr>
    </w:div>
    <w:div w:id="442041545">
      <w:bodyDiv w:val="1"/>
      <w:marLeft w:val="0"/>
      <w:marRight w:val="0"/>
      <w:marTop w:val="0"/>
      <w:marBottom w:val="0"/>
      <w:divBdr>
        <w:top w:val="none" w:sz="0" w:space="0" w:color="auto"/>
        <w:left w:val="none" w:sz="0" w:space="0" w:color="auto"/>
        <w:bottom w:val="none" w:sz="0" w:space="0" w:color="auto"/>
        <w:right w:val="none" w:sz="0" w:space="0" w:color="auto"/>
      </w:divBdr>
    </w:div>
    <w:div w:id="443113677">
      <w:bodyDiv w:val="1"/>
      <w:marLeft w:val="0"/>
      <w:marRight w:val="0"/>
      <w:marTop w:val="0"/>
      <w:marBottom w:val="0"/>
      <w:divBdr>
        <w:top w:val="none" w:sz="0" w:space="0" w:color="auto"/>
        <w:left w:val="none" w:sz="0" w:space="0" w:color="auto"/>
        <w:bottom w:val="none" w:sz="0" w:space="0" w:color="auto"/>
        <w:right w:val="none" w:sz="0" w:space="0" w:color="auto"/>
      </w:divBdr>
    </w:div>
    <w:div w:id="452597738">
      <w:bodyDiv w:val="1"/>
      <w:marLeft w:val="0"/>
      <w:marRight w:val="0"/>
      <w:marTop w:val="0"/>
      <w:marBottom w:val="0"/>
      <w:divBdr>
        <w:top w:val="none" w:sz="0" w:space="0" w:color="auto"/>
        <w:left w:val="none" w:sz="0" w:space="0" w:color="auto"/>
        <w:bottom w:val="none" w:sz="0" w:space="0" w:color="auto"/>
        <w:right w:val="none" w:sz="0" w:space="0" w:color="auto"/>
      </w:divBdr>
    </w:div>
    <w:div w:id="471099511">
      <w:bodyDiv w:val="1"/>
      <w:marLeft w:val="0"/>
      <w:marRight w:val="0"/>
      <w:marTop w:val="0"/>
      <w:marBottom w:val="0"/>
      <w:divBdr>
        <w:top w:val="none" w:sz="0" w:space="0" w:color="auto"/>
        <w:left w:val="none" w:sz="0" w:space="0" w:color="auto"/>
        <w:bottom w:val="none" w:sz="0" w:space="0" w:color="auto"/>
        <w:right w:val="none" w:sz="0" w:space="0" w:color="auto"/>
      </w:divBdr>
    </w:div>
    <w:div w:id="478697264">
      <w:bodyDiv w:val="1"/>
      <w:marLeft w:val="0"/>
      <w:marRight w:val="0"/>
      <w:marTop w:val="0"/>
      <w:marBottom w:val="0"/>
      <w:divBdr>
        <w:top w:val="none" w:sz="0" w:space="0" w:color="auto"/>
        <w:left w:val="none" w:sz="0" w:space="0" w:color="auto"/>
        <w:bottom w:val="none" w:sz="0" w:space="0" w:color="auto"/>
        <w:right w:val="none" w:sz="0" w:space="0" w:color="auto"/>
      </w:divBdr>
    </w:div>
    <w:div w:id="500201765">
      <w:bodyDiv w:val="1"/>
      <w:marLeft w:val="0"/>
      <w:marRight w:val="0"/>
      <w:marTop w:val="0"/>
      <w:marBottom w:val="0"/>
      <w:divBdr>
        <w:top w:val="none" w:sz="0" w:space="0" w:color="auto"/>
        <w:left w:val="none" w:sz="0" w:space="0" w:color="auto"/>
        <w:bottom w:val="none" w:sz="0" w:space="0" w:color="auto"/>
        <w:right w:val="none" w:sz="0" w:space="0" w:color="auto"/>
      </w:divBdr>
    </w:div>
    <w:div w:id="511606548">
      <w:bodyDiv w:val="1"/>
      <w:marLeft w:val="0"/>
      <w:marRight w:val="0"/>
      <w:marTop w:val="0"/>
      <w:marBottom w:val="0"/>
      <w:divBdr>
        <w:top w:val="none" w:sz="0" w:space="0" w:color="auto"/>
        <w:left w:val="none" w:sz="0" w:space="0" w:color="auto"/>
        <w:bottom w:val="none" w:sz="0" w:space="0" w:color="auto"/>
        <w:right w:val="none" w:sz="0" w:space="0" w:color="auto"/>
      </w:divBdr>
    </w:div>
    <w:div w:id="542984459">
      <w:bodyDiv w:val="1"/>
      <w:marLeft w:val="0"/>
      <w:marRight w:val="0"/>
      <w:marTop w:val="0"/>
      <w:marBottom w:val="0"/>
      <w:divBdr>
        <w:top w:val="none" w:sz="0" w:space="0" w:color="auto"/>
        <w:left w:val="none" w:sz="0" w:space="0" w:color="auto"/>
        <w:bottom w:val="none" w:sz="0" w:space="0" w:color="auto"/>
        <w:right w:val="none" w:sz="0" w:space="0" w:color="auto"/>
      </w:divBdr>
    </w:div>
    <w:div w:id="559680154">
      <w:bodyDiv w:val="1"/>
      <w:marLeft w:val="0"/>
      <w:marRight w:val="0"/>
      <w:marTop w:val="0"/>
      <w:marBottom w:val="0"/>
      <w:divBdr>
        <w:top w:val="none" w:sz="0" w:space="0" w:color="auto"/>
        <w:left w:val="none" w:sz="0" w:space="0" w:color="auto"/>
        <w:bottom w:val="none" w:sz="0" w:space="0" w:color="auto"/>
        <w:right w:val="none" w:sz="0" w:space="0" w:color="auto"/>
      </w:divBdr>
    </w:div>
    <w:div w:id="560286799">
      <w:bodyDiv w:val="1"/>
      <w:marLeft w:val="0"/>
      <w:marRight w:val="0"/>
      <w:marTop w:val="0"/>
      <w:marBottom w:val="0"/>
      <w:divBdr>
        <w:top w:val="none" w:sz="0" w:space="0" w:color="auto"/>
        <w:left w:val="none" w:sz="0" w:space="0" w:color="auto"/>
        <w:bottom w:val="none" w:sz="0" w:space="0" w:color="auto"/>
        <w:right w:val="none" w:sz="0" w:space="0" w:color="auto"/>
      </w:divBdr>
    </w:div>
    <w:div w:id="564490214">
      <w:bodyDiv w:val="1"/>
      <w:marLeft w:val="0"/>
      <w:marRight w:val="0"/>
      <w:marTop w:val="0"/>
      <w:marBottom w:val="0"/>
      <w:divBdr>
        <w:top w:val="none" w:sz="0" w:space="0" w:color="auto"/>
        <w:left w:val="none" w:sz="0" w:space="0" w:color="auto"/>
        <w:bottom w:val="none" w:sz="0" w:space="0" w:color="auto"/>
        <w:right w:val="none" w:sz="0" w:space="0" w:color="auto"/>
      </w:divBdr>
    </w:div>
    <w:div w:id="565068531">
      <w:bodyDiv w:val="1"/>
      <w:marLeft w:val="0"/>
      <w:marRight w:val="0"/>
      <w:marTop w:val="0"/>
      <w:marBottom w:val="0"/>
      <w:divBdr>
        <w:top w:val="none" w:sz="0" w:space="0" w:color="auto"/>
        <w:left w:val="none" w:sz="0" w:space="0" w:color="auto"/>
        <w:bottom w:val="none" w:sz="0" w:space="0" w:color="auto"/>
        <w:right w:val="none" w:sz="0" w:space="0" w:color="auto"/>
      </w:divBdr>
    </w:div>
    <w:div w:id="565147318">
      <w:bodyDiv w:val="1"/>
      <w:marLeft w:val="0"/>
      <w:marRight w:val="0"/>
      <w:marTop w:val="0"/>
      <w:marBottom w:val="0"/>
      <w:divBdr>
        <w:top w:val="none" w:sz="0" w:space="0" w:color="auto"/>
        <w:left w:val="none" w:sz="0" w:space="0" w:color="auto"/>
        <w:bottom w:val="none" w:sz="0" w:space="0" w:color="auto"/>
        <w:right w:val="none" w:sz="0" w:space="0" w:color="auto"/>
      </w:divBdr>
    </w:div>
    <w:div w:id="604193772">
      <w:bodyDiv w:val="1"/>
      <w:marLeft w:val="0"/>
      <w:marRight w:val="0"/>
      <w:marTop w:val="0"/>
      <w:marBottom w:val="0"/>
      <w:divBdr>
        <w:top w:val="none" w:sz="0" w:space="0" w:color="auto"/>
        <w:left w:val="none" w:sz="0" w:space="0" w:color="auto"/>
        <w:bottom w:val="none" w:sz="0" w:space="0" w:color="auto"/>
        <w:right w:val="none" w:sz="0" w:space="0" w:color="auto"/>
      </w:divBdr>
    </w:div>
    <w:div w:id="605040221">
      <w:bodyDiv w:val="1"/>
      <w:marLeft w:val="0"/>
      <w:marRight w:val="0"/>
      <w:marTop w:val="0"/>
      <w:marBottom w:val="0"/>
      <w:divBdr>
        <w:top w:val="none" w:sz="0" w:space="0" w:color="auto"/>
        <w:left w:val="none" w:sz="0" w:space="0" w:color="auto"/>
        <w:bottom w:val="none" w:sz="0" w:space="0" w:color="auto"/>
        <w:right w:val="none" w:sz="0" w:space="0" w:color="auto"/>
      </w:divBdr>
    </w:div>
    <w:div w:id="611976733">
      <w:bodyDiv w:val="1"/>
      <w:marLeft w:val="0"/>
      <w:marRight w:val="0"/>
      <w:marTop w:val="0"/>
      <w:marBottom w:val="0"/>
      <w:divBdr>
        <w:top w:val="none" w:sz="0" w:space="0" w:color="auto"/>
        <w:left w:val="none" w:sz="0" w:space="0" w:color="auto"/>
        <w:bottom w:val="none" w:sz="0" w:space="0" w:color="auto"/>
        <w:right w:val="none" w:sz="0" w:space="0" w:color="auto"/>
      </w:divBdr>
    </w:div>
    <w:div w:id="623270094">
      <w:bodyDiv w:val="1"/>
      <w:marLeft w:val="0"/>
      <w:marRight w:val="0"/>
      <w:marTop w:val="0"/>
      <w:marBottom w:val="0"/>
      <w:divBdr>
        <w:top w:val="none" w:sz="0" w:space="0" w:color="auto"/>
        <w:left w:val="none" w:sz="0" w:space="0" w:color="auto"/>
        <w:bottom w:val="none" w:sz="0" w:space="0" w:color="auto"/>
        <w:right w:val="none" w:sz="0" w:space="0" w:color="auto"/>
      </w:divBdr>
    </w:div>
    <w:div w:id="625892256">
      <w:bodyDiv w:val="1"/>
      <w:marLeft w:val="0"/>
      <w:marRight w:val="0"/>
      <w:marTop w:val="0"/>
      <w:marBottom w:val="0"/>
      <w:divBdr>
        <w:top w:val="none" w:sz="0" w:space="0" w:color="auto"/>
        <w:left w:val="none" w:sz="0" w:space="0" w:color="auto"/>
        <w:bottom w:val="none" w:sz="0" w:space="0" w:color="auto"/>
        <w:right w:val="none" w:sz="0" w:space="0" w:color="auto"/>
      </w:divBdr>
    </w:div>
    <w:div w:id="626737176">
      <w:bodyDiv w:val="1"/>
      <w:marLeft w:val="0"/>
      <w:marRight w:val="0"/>
      <w:marTop w:val="0"/>
      <w:marBottom w:val="0"/>
      <w:divBdr>
        <w:top w:val="none" w:sz="0" w:space="0" w:color="auto"/>
        <w:left w:val="none" w:sz="0" w:space="0" w:color="auto"/>
        <w:bottom w:val="none" w:sz="0" w:space="0" w:color="auto"/>
        <w:right w:val="none" w:sz="0" w:space="0" w:color="auto"/>
      </w:divBdr>
    </w:div>
    <w:div w:id="654648172">
      <w:bodyDiv w:val="1"/>
      <w:marLeft w:val="0"/>
      <w:marRight w:val="0"/>
      <w:marTop w:val="0"/>
      <w:marBottom w:val="0"/>
      <w:divBdr>
        <w:top w:val="none" w:sz="0" w:space="0" w:color="auto"/>
        <w:left w:val="none" w:sz="0" w:space="0" w:color="auto"/>
        <w:bottom w:val="none" w:sz="0" w:space="0" w:color="auto"/>
        <w:right w:val="none" w:sz="0" w:space="0" w:color="auto"/>
      </w:divBdr>
    </w:div>
    <w:div w:id="691611210">
      <w:bodyDiv w:val="1"/>
      <w:marLeft w:val="0"/>
      <w:marRight w:val="0"/>
      <w:marTop w:val="0"/>
      <w:marBottom w:val="0"/>
      <w:divBdr>
        <w:top w:val="none" w:sz="0" w:space="0" w:color="auto"/>
        <w:left w:val="none" w:sz="0" w:space="0" w:color="auto"/>
        <w:bottom w:val="none" w:sz="0" w:space="0" w:color="auto"/>
        <w:right w:val="none" w:sz="0" w:space="0" w:color="auto"/>
      </w:divBdr>
    </w:div>
    <w:div w:id="701202214">
      <w:bodyDiv w:val="1"/>
      <w:marLeft w:val="0"/>
      <w:marRight w:val="0"/>
      <w:marTop w:val="0"/>
      <w:marBottom w:val="0"/>
      <w:divBdr>
        <w:top w:val="none" w:sz="0" w:space="0" w:color="auto"/>
        <w:left w:val="none" w:sz="0" w:space="0" w:color="auto"/>
        <w:bottom w:val="none" w:sz="0" w:space="0" w:color="auto"/>
        <w:right w:val="none" w:sz="0" w:space="0" w:color="auto"/>
      </w:divBdr>
    </w:div>
    <w:div w:id="707683460">
      <w:bodyDiv w:val="1"/>
      <w:marLeft w:val="0"/>
      <w:marRight w:val="0"/>
      <w:marTop w:val="0"/>
      <w:marBottom w:val="0"/>
      <w:divBdr>
        <w:top w:val="none" w:sz="0" w:space="0" w:color="auto"/>
        <w:left w:val="none" w:sz="0" w:space="0" w:color="auto"/>
        <w:bottom w:val="none" w:sz="0" w:space="0" w:color="auto"/>
        <w:right w:val="none" w:sz="0" w:space="0" w:color="auto"/>
      </w:divBdr>
    </w:div>
    <w:div w:id="710881500">
      <w:bodyDiv w:val="1"/>
      <w:marLeft w:val="0"/>
      <w:marRight w:val="0"/>
      <w:marTop w:val="0"/>
      <w:marBottom w:val="0"/>
      <w:divBdr>
        <w:top w:val="none" w:sz="0" w:space="0" w:color="auto"/>
        <w:left w:val="none" w:sz="0" w:space="0" w:color="auto"/>
        <w:bottom w:val="none" w:sz="0" w:space="0" w:color="auto"/>
        <w:right w:val="none" w:sz="0" w:space="0" w:color="auto"/>
      </w:divBdr>
    </w:div>
    <w:div w:id="713622259">
      <w:bodyDiv w:val="1"/>
      <w:marLeft w:val="0"/>
      <w:marRight w:val="0"/>
      <w:marTop w:val="0"/>
      <w:marBottom w:val="0"/>
      <w:divBdr>
        <w:top w:val="none" w:sz="0" w:space="0" w:color="auto"/>
        <w:left w:val="none" w:sz="0" w:space="0" w:color="auto"/>
        <w:bottom w:val="none" w:sz="0" w:space="0" w:color="auto"/>
        <w:right w:val="none" w:sz="0" w:space="0" w:color="auto"/>
      </w:divBdr>
    </w:div>
    <w:div w:id="714938100">
      <w:bodyDiv w:val="1"/>
      <w:marLeft w:val="0"/>
      <w:marRight w:val="0"/>
      <w:marTop w:val="0"/>
      <w:marBottom w:val="0"/>
      <w:divBdr>
        <w:top w:val="none" w:sz="0" w:space="0" w:color="auto"/>
        <w:left w:val="none" w:sz="0" w:space="0" w:color="auto"/>
        <w:bottom w:val="none" w:sz="0" w:space="0" w:color="auto"/>
        <w:right w:val="none" w:sz="0" w:space="0" w:color="auto"/>
      </w:divBdr>
    </w:div>
    <w:div w:id="727069434">
      <w:bodyDiv w:val="1"/>
      <w:marLeft w:val="0"/>
      <w:marRight w:val="0"/>
      <w:marTop w:val="0"/>
      <w:marBottom w:val="0"/>
      <w:divBdr>
        <w:top w:val="none" w:sz="0" w:space="0" w:color="auto"/>
        <w:left w:val="none" w:sz="0" w:space="0" w:color="auto"/>
        <w:bottom w:val="none" w:sz="0" w:space="0" w:color="auto"/>
        <w:right w:val="none" w:sz="0" w:space="0" w:color="auto"/>
      </w:divBdr>
    </w:div>
    <w:div w:id="727532774">
      <w:bodyDiv w:val="1"/>
      <w:marLeft w:val="0"/>
      <w:marRight w:val="0"/>
      <w:marTop w:val="0"/>
      <w:marBottom w:val="0"/>
      <w:divBdr>
        <w:top w:val="none" w:sz="0" w:space="0" w:color="auto"/>
        <w:left w:val="none" w:sz="0" w:space="0" w:color="auto"/>
        <w:bottom w:val="none" w:sz="0" w:space="0" w:color="auto"/>
        <w:right w:val="none" w:sz="0" w:space="0" w:color="auto"/>
      </w:divBdr>
    </w:div>
    <w:div w:id="729039272">
      <w:bodyDiv w:val="1"/>
      <w:marLeft w:val="0"/>
      <w:marRight w:val="0"/>
      <w:marTop w:val="0"/>
      <w:marBottom w:val="0"/>
      <w:divBdr>
        <w:top w:val="none" w:sz="0" w:space="0" w:color="auto"/>
        <w:left w:val="none" w:sz="0" w:space="0" w:color="auto"/>
        <w:bottom w:val="none" w:sz="0" w:space="0" w:color="auto"/>
        <w:right w:val="none" w:sz="0" w:space="0" w:color="auto"/>
      </w:divBdr>
    </w:div>
    <w:div w:id="739912684">
      <w:bodyDiv w:val="1"/>
      <w:marLeft w:val="0"/>
      <w:marRight w:val="0"/>
      <w:marTop w:val="0"/>
      <w:marBottom w:val="0"/>
      <w:divBdr>
        <w:top w:val="none" w:sz="0" w:space="0" w:color="auto"/>
        <w:left w:val="none" w:sz="0" w:space="0" w:color="auto"/>
        <w:bottom w:val="none" w:sz="0" w:space="0" w:color="auto"/>
        <w:right w:val="none" w:sz="0" w:space="0" w:color="auto"/>
      </w:divBdr>
    </w:div>
    <w:div w:id="743795414">
      <w:bodyDiv w:val="1"/>
      <w:marLeft w:val="0"/>
      <w:marRight w:val="0"/>
      <w:marTop w:val="0"/>
      <w:marBottom w:val="0"/>
      <w:divBdr>
        <w:top w:val="none" w:sz="0" w:space="0" w:color="auto"/>
        <w:left w:val="none" w:sz="0" w:space="0" w:color="auto"/>
        <w:bottom w:val="none" w:sz="0" w:space="0" w:color="auto"/>
        <w:right w:val="none" w:sz="0" w:space="0" w:color="auto"/>
      </w:divBdr>
    </w:div>
    <w:div w:id="783110169">
      <w:bodyDiv w:val="1"/>
      <w:marLeft w:val="0"/>
      <w:marRight w:val="0"/>
      <w:marTop w:val="0"/>
      <w:marBottom w:val="0"/>
      <w:divBdr>
        <w:top w:val="none" w:sz="0" w:space="0" w:color="auto"/>
        <w:left w:val="none" w:sz="0" w:space="0" w:color="auto"/>
        <w:bottom w:val="none" w:sz="0" w:space="0" w:color="auto"/>
        <w:right w:val="none" w:sz="0" w:space="0" w:color="auto"/>
      </w:divBdr>
    </w:div>
    <w:div w:id="819614137">
      <w:bodyDiv w:val="1"/>
      <w:marLeft w:val="0"/>
      <w:marRight w:val="0"/>
      <w:marTop w:val="0"/>
      <w:marBottom w:val="0"/>
      <w:divBdr>
        <w:top w:val="none" w:sz="0" w:space="0" w:color="auto"/>
        <w:left w:val="none" w:sz="0" w:space="0" w:color="auto"/>
        <w:bottom w:val="none" w:sz="0" w:space="0" w:color="auto"/>
        <w:right w:val="none" w:sz="0" w:space="0" w:color="auto"/>
      </w:divBdr>
    </w:div>
    <w:div w:id="825241380">
      <w:bodyDiv w:val="1"/>
      <w:marLeft w:val="0"/>
      <w:marRight w:val="0"/>
      <w:marTop w:val="0"/>
      <w:marBottom w:val="0"/>
      <w:divBdr>
        <w:top w:val="none" w:sz="0" w:space="0" w:color="auto"/>
        <w:left w:val="none" w:sz="0" w:space="0" w:color="auto"/>
        <w:bottom w:val="none" w:sz="0" w:space="0" w:color="auto"/>
        <w:right w:val="none" w:sz="0" w:space="0" w:color="auto"/>
      </w:divBdr>
    </w:div>
    <w:div w:id="825825254">
      <w:bodyDiv w:val="1"/>
      <w:marLeft w:val="0"/>
      <w:marRight w:val="0"/>
      <w:marTop w:val="0"/>
      <w:marBottom w:val="0"/>
      <w:divBdr>
        <w:top w:val="none" w:sz="0" w:space="0" w:color="auto"/>
        <w:left w:val="none" w:sz="0" w:space="0" w:color="auto"/>
        <w:bottom w:val="none" w:sz="0" w:space="0" w:color="auto"/>
        <w:right w:val="none" w:sz="0" w:space="0" w:color="auto"/>
      </w:divBdr>
    </w:div>
    <w:div w:id="836380132">
      <w:bodyDiv w:val="1"/>
      <w:marLeft w:val="0"/>
      <w:marRight w:val="0"/>
      <w:marTop w:val="0"/>
      <w:marBottom w:val="0"/>
      <w:divBdr>
        <w:top w:val="none" w:sz="0" w:space="0" w:color="auto"/>
        <w:left w:val="none" w:sz="0" w:space="0" w:color="auto"/>
        <w:bottom w:val="none" w:sz="0" w:space="0" w:color="auto"/>
        <w:right w:val="none" w:sz="0" w:space="0" w:color="auto"/>
      </w:divBdr>
    </w:div>
    <w:div w:id="856850406">
      <w:bodyDiv w:val="1"/>
      <w:marLeft w:val="0"/>
      <w:marRight w:val="0"/>
      <w:marTop w:val="0"/>
      <w:marBottom w:val="0"/>
      <w:divBdr>
        <w:top w:val="none" w:sz="0" w:space="0" w:color="auto"/>
        <w:left w:val="none" w:sz="0" w:space="0" w:color="auto"/>
        <w:bottom w:val="none" w:sz="0" w:space="0" w:color="auto"/>
        <w:right w:val="none" w:sz="0" w:space="0" w:color="auto"/>
      </w:divBdr>
    </w:div>
    <w:div w:id="862858606">
      <w:bodyDiv w:val="1"/>
      <w:marLeft w:val="0"/>
      <w:marRight w:val="0"/>
      <w:marTop w:val="0"/>
      <w:marBottom w:val="0"/>
      <w:divBdr>
        <w:top w:val="none" w:sz="0" w:space="0" w:color="auto"/>
        <w:left w:val="none" w:sz="0" w:space="0" w:color="auto"/>
        <w:bottom w:val="none" w:sz="0" w:space="0" w:color="auto"/>
        <w:right w:val="none" w:sz="0" w:space="0" w:color="auto"/>
      </w:divBdr>
    </w:div>
    <w:div w:id="863254355">
      <w:bodyDiv w:val="1"/>
      <w:marLeft w:val="0"/>
      <w:marRight w:val="0"/>
      <w:marTop w:val="0"/>
      <w:marBottom w:val="0"/>
      <w:divBdr>
        <w:top w:val="none" w:sz="0" w:space="0" w:color="auto"/>
        <w:left w:val="none" w:sz="0" w:space="0" w:color="auto"/>
        <w:bottom w:val="none" w:sz="0" w:space="0" w:color="auto"/>
        <w:right w:val="none" w:sz="0" w:space="0" w:color="auto"/>
      </w:divBdr>
    </w:div>
    <w:div w:id="880091084">
      <w:bodyDiv w:val="1"/>
      <w:marLeft w:val="0"/>
      <w:marRight w:val="0"/>
      <w:marTop w:val="0"/>
      <w:marBottom w:val="0"/>
      <w:divBdr>
        <w:top w:val="none" w:sz="0" w:space="0" w:color="auto"/>
        <w:left w:val="none" w:sz="0" w:space="0" w:color="auto"/>
        <w:bottom w:val="none" w:sz="0" w:space="0" w:color="auto"/>
        <w:right w:val="none" w:sz="0" w:space="0" w:color="auto"/>
      </w:divBdr>
    </w:div>
    <w:div w:id="921182879">
      <w:bodyDiv w:val="1"/>
      <w:marLeft w:val="0"/>
      <w:marRight w:val="0"/>
      <w:marTop w:val="0"/>
      <w:marBottom w:val="0"/>
      <w:divBdr>
        <w:top w:val="none" w:sz="0" w:space="0" w:color="auto"/>
        <w:left w:val="none" w:sz="0" w:space="0" w:color="auto"/>
        <w:bottom w:val="none" w:sz="0" w:space="0" w:color="auto"/>
        <w:right w:val="none" w:sz="0" w:space="0" w:color="auto"/>
      </w:divBdr>
    </w:div>
    <w:div w:id="922908139">
      <w:bodyDiv w:val="1"/>
      <w:marLeft w:val="0"/>
      <w:marRight w:val="0"/>
      <w:marTop w:val="0"/>
      <w:marBottom w:val="0"/>
      <w:divBdr>
        <w:top w:val="none" w:sz="0" w:space="0" w:color="auto"/>
        <w:left w:val="none" w:sz="0" w:space="0" w:color="auto"/>
        <w:bottom w:val="none" w:sz="0" w:space="0" w:color="auto"/>
        <w:right w:val="none" w:sz="0" w:space="0" w:color="auto"/>
      </w:divBdr>
    </w:div>
    <w:div w:id="924072585">
      <w:bodyDiv w:val="1"/>
      <w:marLeft w:val="0"/>
      <w:marRight w:val="0"/>
      <w:marTop w:val="0"/>
      <w:marBottom w:val="0"/>
      <w:divBdr>
        <w:top w:val="none" w:sz="0" w:space="0" w:color="auto"/>
        <w:left w:val="none" w:sz="0" w:space="0" w:color="auto"/>
        <w:bottom w:val="none" w:sz="0" w:space="0" w:color="auto"/>
        <w:right w:val="none" w:sz="0" w:space="0" w:color="auto"/>
      </w:divBdr>
    </w:div>
    <w:div w:id="959529947">
      <w:bodyDiv w:val="1"/>
      <w:marLeft w:val="0"/>
      <w:marRight w:val="0"/>
      <w:marTop w:val="0"/>
      <w:marBottom w:val="0"/>
      <w:divBdr>
        <w:top w:val="none" w:sz="0" w:space="0" w:color="auto"/>
        <w:left w:val="none" w:sz="0" w:space="0" w:color="auto"/>
        <w:bottom w:val="none" w:sz="0" w:space="0" w:color="auto"/>
        <w:right w:val="none" w:sz="0" w:space="0" w:color="auto"/>
      </w:divBdr>
    </w:div>
    <w:div w:id="973289227">
      <w:bodyDiv w:val="1"/>
      <w:marLeft w:val="0"/>
      <w:marRight w:val="0"/>
      <w:marTop w:val="0"/>
      <w:marBottom w:val="0"/>
      <w:divBdr>
        <w:top w:val="none" w:sz="0" w:space="0" w:color="auto"/>
        <w:left w:val="none" w:sz="0" w:space="0" w:color="auto"/>
        <w:bottom w:val="none" w:sz="0" w:space="0" w:color="auto"/>
        <w:right w:val="none" w:sz="0" w:space="0" w:color="auto"/>
      </w:divBdr>
    </w:div>
    <w:div w:id="980423763">
      <w:bodyDiv w:val="1"/>
      <w:marLeft w:val="0"/>
      <w:marRight w:val="0"/>
      <w:marTop w:val="0"/>
      <w:marBottom w:val="0"/>
      <w:divBdr>
        <w:top w:val="none" w:sz="0" w:space="0" w:color="auto"/>
        <w:left w:val="none" w:sz="0" w:space="0" w:color="auto"/>
        <w:bottom w:val="none" w:sz="0" w:space="0" w:color="auto"/>
        <w:right w:val="none" w:sz="0" w:space="0" w:color="auto"/>
      </w:divBdr>
    </w:div>
    <w:div w:id="984896490">
      <w:bodyDiv w:val="1"/>
      <w:marLeft w:val="0"/>
      <w:marRight w:val="0"/>
      <w:marTop w:val="0"/>
      <w:marBottom w:val="0"/>
      <w:divBdr>
        <w:top w:val="none" w:sz="0" w:space="0" w:color="auto"/>
        <w:left w:val="none" w:sz="0" w:space="0" w:color="auto"/>
        <w:bottom w:val="none" w:sz="0" w:space="0" w:color="auto"/>
        <w:right w:val="none" w:sz="0" w:space="0" w:color="auto"/>
      </w:divBdr>
    </w:div>
    <w:div w:id="997997564">
      <w:bodyDiv w:val="1"/>
      <w:marLeft w:val="0"/>
      <w:marRight w:val="0"/>
      <w:marTop w:val="0"/>
      <w:marBottom w:val="0"/>
      <w:divBdr>
        <w:top w:val="none" w:sz="0" w:space="0" w:color="auto"/>
        <w:left w:val="none" w:sz="0" w:space="0" w:color="auto"/>
        <w:bottom w:val="none" w:sz="0" w:space="0" w:color="auto"/>
        <w:right w:val="none" w:sz="0" w:space="0" w:color="auto"/>
      </w:divBdr>
    </w:div>
    <w:div w:id="1001854335">
      <w:bodyDiv w:val="1"/>
      <w:marLeft w:val="0"/>
      <w:marRight w:val="0"/>
      <w:marTop w:val="0"/>
      <w:marBottom w:val="0"/>
      <w:divBdr>
        <w:top w:val="none" w:sz="0" w:space="0" w:color="auto"/>
        <w:left w:val="none" w:sz="0" w:space="0" w:color="auto"/>
        <w:bottom w:val="none" w:sz="0" w:space="0" w:color="auto"/>
        <w:right w:val="none" w:sz="0" w:space="0" w:color="auto"/>
      </w:divBdr>
    </w:div>
    <w:div w:id="1005087934">
      <w:bodyDiv w:val="1"/>
      <w:marLeft w:val="0"/>
      <w:marRight w:val="0"/>
      <w:marTop w:val="0"/>
      <w:marBottom w:val="0"/>
      <w:divBdr>
        <w:top w:val="none" w:sz="0" w:space="0" w:color="auto"/>
        <w:left w:val="none" w:sz="0" w:space="0" w:color="auto"/>
        <w:bottom w:val="none" w:sz="0" w:space="0" w:color="auto"/>
        <w:right w:val="none" w:sz="0" w:space="0" w:color="auto"/>
      </w:divBdr>
    </w:div>
    <w:div w:id="1006327651">
      <w:bodyDiv w:val="1"/>
      <w:marLeft w:val="0"/>
      <w:marRight w:val="0"/>
      <w:marTop w:val="0"/>
      <w:marBottom w:val="0"/>
      <w:divBdr>
        <w:top w:val="none" w:sz="0" w:space="0" w:color="auto"/>
        <w:left w:val="none" w:sz="0" w:space="0" w:color="auto"/>
        <w:bottom w:val="none" w:sz="0" w:space="0" w:color="auto"/>
        <w:right w:val="none" w:sz="0" w:space="0" w:color="auto"/>
      </w:divBdr>
    </w:div>
    <w:div w:id="1007947986">
      <w:bodyDiv w:val="1"/>
      <w:marLeft w:val="0"/>
      <w:marRight w:val="0"/>
      <w:marTop w:val="0"/>
      <w:marBottom w:val="0"/>
      <w:divBdr>
        <w:top w:val="none" w:sz="0" w:space="0" w:color="auto"/>
        <w:left w:val="none" w:sz="0" w:space="0" w:color="auto"/>
        <w:bottom w:val="none" w:sz="0" w:space="0" w:color="auto"/>
        <w:right w:val="none" w:sz="0" w:space="0" w:color="auto"/>
      </w:divBdr>
    </w:div>
    <w:div w:id="1024213201">
      <w:bodyDiv w:val="1"/>
      <w:marLeft w:val="0"/>
      <w:marRight w:val="0"/>
      <w:marTop w:val="0"/>
      <w:marBottom w:val="0"/>
      <w:divBdr>
        <w:top w:val="none" w:sz="0" w:space="0" w:color="auto"/>
        <w:left w:val="none" w:sz="0" w:space="0" w:color="auto"/>
        <w:bottom w:val="none" w:sz="0" w:space="0" w:color="auto"/>
        <w:right w:val="none" w:sz="0" w:space="0" w:color="auto"/>
      </w:divBdr>
    </w:div>
    <w:div w:id="1025205901">
      <w:bodyDiv w:val="1"/>
      <w:marLeft w:val="0"/>
      <w:marRight w:val="0"/>
      <w:marTop w:val="0"/>
      <w:marBottom w:val="0"/>
      <w:divBdr>
        <w:top w:val="none" w:sz="0" w:space="0" w:color="auto"/>
        <w:left w:val="none" w:sz="0" w:space="0" w:color="auto"/>
        <w:bottom w:val="none" w:sz="0" w:space="0" w:color="auto"/>
        <w:right w:val="none" w:sz="0" w:space="0" w:color="auto"/>
      </w:divBdr>
    </w:div>
    <w:div w:id="1026717352">
      <w:bodyDiv w:val="1"/>
      <w:marLeft w:val="0"/>
      <w:marRight w:val="0"/>
      <w:marTop w:val="0"/>
      <w:marBottom w:val="0"/>
      <w:divBdr>
        <w:top w:val="none" w:sz="0" w:space="0" w:color="auto"/>
        <w:left w:val="none" w:sz="0" w:space="0" w:color="auto"/>
        <w:bottom w:val="none" w:sz="0" w:space="0" w:color="auto"/>
        <w:right w:val="none" w:sz="0" w:space="0" w:color="auto"/>
      </w:divBdr>
    </w:div>
    <w:div w:id="1030297827">
      <w:bodyDiv w:val="1"/>
      <w:marLeft w:val="0"/>
      <w:marRight w:val="0"/>
      <w:marTop w:val="0"/>
      <w:marBottom w:val="0"/>
      <w:divBdr>
        <w:top w:val="none" w:sz="0" w:space="0" w:color="auto"/>
        <w:left w:val="none" w:sz="0" w:space="0" w:color="auto"/>
        <w:bottom w:val="none" w:sz="0" w:space="0" w:color="auto"/>
        <w:right w:val="none" w:sz="0" w:space="0" w:color="auto"/>
      </w:divBdr>
    </w:div>
    <w:div w:id="1037463941">
      <w:bodyDiv w:val="1"/>
      <w:marLeft w:val="0"/>
      <w:marRight w:val="0"/>
      <w:marTop w:val="0"/>
      <w:marBottom w:val="0"/>
      <w:divBdr>
        <w:top w:val="none" w:sz="0" w:space="0" w:color="auto"/>
        <w:left w:val="none" w:sz="0" w:space="0" w:color="auto"/>
        <w:bottom w:val="none" w:sz="0" w:space="0" w:color="auto"/>
        <w:right w:val="none" w:sz="0" w:space="0" w:color="auto"/>
      </w:divBdr>
    </w:div>
    <w:div w:id="1056271623">
      <w:bodyDiv w:val="1"/>
      <w:marLeft w:val="0"/>
      <w:marRight w:val="0"/>
      <w:marTop w:val="0"/>
      <w:marBottom w:val="0"/>
      <w:divBdr>
        <w:top w:val="none" w:sz="0" w:space="0" w:color="auto"/>
        <w:left w:val="none" w:sz="0" w:space="0" w:color="auto"/>
        <w:bottom w:val="none" w:sz="0" w:space="0" w:color="auto"/>
        <w:right w:val="none" w:sz="0" w:space="0" w:color="auto"/>
      </w:divBdr>
    </w:div>
    <w:div w:id="1059592437">
      <w:bodyDiv w:val="1"/>
      <w:marLeft w:val="0"/>
      <w:marRight w:val="0"/>
      <w:marTop w:val="0"/>
      <w:marBottom w:val="0"/>
      <w:divBdr>
        <w:top w:val="none" w:sz="0" w:space="0" w:color="auto"/>
        <w:left w:val="none" w:sz="0" w:space="0" w:color="auto"/>
        <w:bottom w:val="none" w:sz="0" w:space="0" w:color="auto"/>
        <w:right w:val="none" w:sz="0" w:space="0" w:color="auto"/>
      </w:divBdr>
    </w:div>
    <w:div w:id="1071923549">
      <w:bodyDiv w:val="1"/>
      <w:marLeft w:val="0"/>
      <w:marRight w:val="0"/>
      <w:marTop w:val="0"/>
      <w:marBottom w:val="0"/>
      <w:divBdr>
        <w:top w:val="none" w:sz="0" w:space="0" w:color="auto"/>
        <w:left w:val="none" w:sz="0" w:space="0" w:color="auto"/>
        <w:bottom w:val="none" w:sz="0" w:space="0" w:color="auto"/>
        <w:right w:val="none" w:sz="0" w:space="0" w:color="auto"/>
      </w:divBdr>
    </w:div>
    <w:div w:id="1081178262">
      <w:bodyDiv w:val="1"/>
      <w:marLeft w:val="0"/>
      <w:marRight w:val="0"/>
      <w:marTop w:val="0"/>
      <w:marBottom w:val="0"/>
      <w:divBdr>
        <w:top w:val="none" w:sz="0" w:space="0" w:color="auto"/>
        <w:left w:val="none" w:sz="0" w:space="0" w:color="auto"/>
        <w:bottom w:val="none" w:sz="0" w:space="0" w:color="auto"/>
        <w:right w:val="none" w:sz="0" w:space="0" w:color="auto"/>
      </w:divBdr>
    </w:div>
    <w:div w:id="1082945317">
      <w:bodyDiv w:val="1"/>
      <w:marLeft w:val="0"/>
      <w:marRight w:val="0"/>
      <w:marTop w:val="0"/>
      <w:marBottom w:val="0"/>
      <w:divBdr>
        <w:top w:val="none" w:sz="0" w:space="0" w:color="auto"/>
        <w:left w:val="none" w:sz="0" w:space="0" w:color="auto"/>
        <w:bottom w:val="none" w:sz="0" w:space="0" w:color="auto"/>
        <w:right w:val="none" w:sz="0" w:space="0" w:color="auto"/>
      </w:divBdr>
    </w:div>
    <w:div w:id="1085615535">
      <w:bodyDiv w:val="1"/>
      <w:marLeft w:val="0"/>
      <w:marRight w:val="0"/>
      <w:marTop w:val="0"/>
      <w:marBottom w:val="0"/>
      <w:divBdr>
        <w:top w:val="none" w:sz="0" w:space="0" w:color="auto"/>
        <w:left w:val="none" w:sz="0" w:space="0" w:color="auto"/>
        <w:bottom w:val="none" w:sz="0" w:space="0" w:color="auto"/>
        <w:right w:val="none" w:sz="0" w:space="0" w:color="auto"/>
      </w:divBdr>
    </w:div>
    <w:div w:id="1118572619">
      <w:bodyDiv w:val="1"/>
      <w:marLeft w:val="0"/>
      <w:marRight w:val="0"/>
      <w:marTop w:val="0"/>
      <w:marBottom w:val="0"/>
      <w:divBdr>
        <w:top w:val="none" w:sz="0" w:space="0" w:color="auto"/>
        <w:left w:val="none" w:sz="0" w:space="0" w:color="auto"/>
        <w:bottom w:val="none" w:sz="0" w:space="0" w:color="auto"/>
        <w:right w:val="none" w:sz="0" w:space="0" w:color="auto"/>
      </w:divBdr>
    </w:div>
    <w:div w:id="1124814255">
      <w:bodyDiv w:val="1"/>
      <w:marLeft w:val="0"/>
      <w:marRight w:val="0"/>
      <w:marTop w:val="0"/>
      <w:marBottom w:val="0"/>
      <w:divBdr>
        <w:top w:val="none" w:sz="0" w:space="0" w:color="auto"/>
        <w:left w:val="none" w:sz="0" w:space="0" w:color="auto"/>
        <w:bottom w:val="none" w:sz="0" w:space="0" w:color="auto"/>
        <w:right w:val="none" w:sz="0" w:space="0" w:color="auto"/>
      </w:divBdr>
    </w:div>
    <w:div w:id="1136293146">
      <w:bodyDiv w:val="1"/>
      <w:marLeft w:val="0"/>
      <w:marRight w:val="0"/>
      <w:marTop w:val="0"/>
      <w:marBottom w:val="0"/>
      <w:divBdr>
        <w:top w:val="none" w:sz="0" w:space="0" w:color="auto"/>
        <w:left w:val="none" w:sz="0" w:space="0" w:color="auto"/>
        <w:bottom w:val="none" w:sz="0" w:space="0" w:color="auto"/>
        <w:right w:val="none" w:sz="0" w:space="0" w:color="auto"/>
      </w:divBdr>
    </w:div>
    <w:div w:id="1176993379">
      <w:bodyDiv w:val="1"/>
      <w:marLeft w:val="0"/>
      <w:marRight w:val="0"/>
      <w:marTop w:val="0"/>
      <w:marBottom w:val="0"/>
      <w:divBdr>
        <w:top w:val="none" w:sz="0" w:space="0" w:color="auto"/>
        <w:left w:val="none" w:sz="0" w:space="0" w:color="auto"/>
        <w:bottom w:val="none" w:sz="0" w:space="0" w:color="auto"/>
        <w:right w:val="none" w:sz="0" w:space="0" w:color="auto"/>
      </w:divBdr>
    </w:div>
    <w:div w:id="1190412070">
      <w:bodyDiv w:val="1"/>
      <w:marLeft w:val="0"/>
      <w:marRight w:val="0"/>
      <w:marTop w:val="0"/>
      <w:marBottom w:val="0"/>
      <w:divBdr>
        <w:top w:val="none" w:sz="0" w:space="0" w:color="auto"/>
        <w:left w:val="none" w:sz="0" w:space="0" w:color="auto"/>
        <w:bottom w:val="none" w:sz="0" w:space="0" w:color="auto"/>
        <w:right w:val="none" w:sz="0" w:space="0" w:color="auto"/>
      </w:divBdr>
    </w:div>
    <w:div w:id="1218394551">
      <w:bodyDiv w:val="1"/>
      <w:marLeft w:val="0"/>
      <w:marRight w:val="0"/>
      <w:marTop w:val="0"/>
      <w:marBottom w:val="0"/>
      <w:divBdr>
        <w:top w:val="none" w:sz="0" w:space="0" w:color="auto"/>
        <w:left w:val="none" w:sz="0" w:space="0" w:color="auto"/>
        <w:bottom w:val="none" w:sz="0" w:space="0" w:color="auto"/>
        <w:right w:val="none" w:sz="0" w:space="0" w:color="auto"/>
      </w:divBdr>
    </w:div>
    <w:div w:id="1225944951">
      <w:bodyDiv w:val="1"/>
      <w:marLeft w:val="0"/>
      <w:marRight w:val="0"/>
      <w:marTop w:val="0"/>
      <w:marBottom w:val="0"/>
      <w:divBdr>
        <w:top w:val="none" w:sz="0" w:space="0" w:color="auto"/>
        <w:left w:val="none" w:sz="0" w:space="0" w:color="auto"/>
        <w:bottom w:val="none" w:sz="0" w:space="0" w:color="auto"/>
        <w:right w:val="none" w:sz="0" w:space="0" w:color="auto"/>
      </w:divBdr>
    </w:div>
    <w:div w:id="1248420858">
      <w:bodyDiv w:val="1"/>
      <w:marLeft w:val="0"/>
      <w:marRight w:val="0"/>
      <w:marTop w:val="0"/>
      <w:marBottom w:val="0"/>
      <w:divBdr>
        <w:top w:val="none" w:sz="0" w:space="0" w:color="auto"/>
        <w:left w:val="none" w:sz="0" w:space="0" w:color="auto"/>
        <w:bottom w:val="none" w:sz="0" w:space="0" w:color="auto"/>
        <w:right w:val="none" w:sz="0" w:space="0" w:color="auto"/>
      </w:divBdr>
    </w:div>
    <w:div w:id="1287933976">
      <w:bodyDiv w:val="1"/>
      <w:marLeft w:val="0"/>
      <w:marRight w:val="0"/>
      <w:marTop w:val="0"/>
      <w:marBottom w:val="0"/>
      <w:divBdr>
        <w:top w:val="none" w:sz="0" w:space="0" w:color="auto"/>
        <w:left w:val="none" w:sz="0" w:space="0" w:color="auto"/>
        <w:bottom w:val="none" w:sz="0" w:space="0" w:color="auto"/>
        <w:right w:val="none" w:sz="0" w:space="0" w:color="auto"/>
      </w:divBdr>
    </w:div>
    <w:div w:id="1315909013">
      <w:bodyDiv w:val="1"/>
      <w:marLeft w:val="0"/>
      <w:marRight w:val="0"/>
      <w:marTop w:val="0"/>
      <w:marBottom w:val="0"/>
      <w:divBdr>
        <w:top w:val="none" w:sz="0" w:space="0" w:color="auto"/>
        <w:left w:val="none" w:sz="0" w:space="0" w:color="auto"/>
        <w:bottom w:val="none" w:sz="0" w:space="0" w:color="auto"/>
        <w:right w:val="none" w:sz="0" w:space="0" w:color="auto"/>
      </w:divBdr>
    </w:div>
    <w:div w:id="1342319433">
      <w:bodyDiv w:val="1"/>
      <w:marLeft w:val="0"/>
      <w:marRight w:val="0"/>
      <w:marTop w:val="0"/>
      <w:marBottom w:val="0"/>
      <w:divBdr>
        <w:top w:val="none" w:sz="0" w:space="0" w:color="auto"/>
        <w:left w:val="none" w:sz="0" w:space="0" w:color="auto"/>
        <w:bottom w:val="none" w:sz="0" w:space="0" w:color="auto"/>
        <w:right w:val="none" w:sz="0" w:space="0" w:color="auto"/>
      </w:divBdr>
    </w:div>
    <w:div w:id="1342708718">
      <w:bodyDiv w:val="1"/>
      <w:marLeft w:val="0"/>
      <w:marRight w:val="0"/>
      <w:marTop w:val="0"/>
      <w:marBottom w:val="0"/>
      <w:divBdr>
        <w:top w:val="none" w:sz="0" w:space="0" w:color="auto"/>
        <w:left w:val="none" w:sz="0" w:space="0" w:color="auto"/>
        <w:bottom w:val="none" w:sz="0" w:space="0" w:color="auto"/>
        <w:right w:val="none" w:sz="0" w:space="0" w:color="auto"/>
      </w:divBdr>
    </w:div>
    <w:div w:id="1372220896">
      <w:bodyDiv w:val="1"/>
      <w:marLeft w:val="0"/>
      <w:marRight w:val="0"/>
      <w:marTop w:val="0"/>
      <w:marBottom w:val="0"/>
      <w:divBdr>
        <w:top w:val="none" w:sz="0" w:space="0" w:color="auto"/>
        <w:left w:val="none" w:sz="0" w:space="0" w:color="auto"/>
        <w:bottom w:val="none" w:sz="0" w:space="0" w:color="auto"/>
        <w:right w:val="none" w:sz="0" w:space="0" w:color="auto"/>
      </w:divBdr>
    </w:div>
    <w:div w:id="1386294270">
      <w:bodyDiv w:val="1"/>
      <w:marLeft w:val="0"/>
      <w:marRight w:val="0"/>
      <w:marTop w:val="0"/>
      <w:marBottom w:val="0"/>
      <w:divBdr>
        <w:top w:val="none" w:sz="0" w:space="0" w:color="auto"/>
        <w:left w:val="none" w:sz="0" w:space="0" w:color="auto"/>
        <w:bottom w:val="none" w:sz="0" w:space="0" w:color="auto"/>
        <w:right w:val="none" w:sz="0" w:space="0" w:color="auto"/>
      </w:divBdr>
    </w:div>
    <w:div w:id="1391735448">
      <w:bodyDiv w:val="1"/>
      <w:marLeft w:val="0"/>
      <w:marRight w:val="0"/>
      <w:marTop w:val="0"/>
      <w:marBottom w:val="0"/>
      <w:divBdr>
        <w:top w:val="none" w:sz="0" w:space="0" w:color="auto"/>
        <w:left w:val="none" w:sz="0" w:space="0" w:color="auto"/>
        <w:bottom w:val="none" w:sz="0" w:space="0" w:color="auto"/>
        <w:right w:val="none" w:sz="0" w:space="0" w:color="auto"/>
      </w:divBdr>
    </w:div>
    <w:div w:id="1404378912">
      <w:bodyDiv w:val="1"/>
      <w:marLeft w:val="0"/>
      <w:marRight w:val="0"/>
      <w:marTop w:val="0"/>
      <w:marBottom w:val="0"/>
      <w:divBdr>
        <w:top w:val="none" w:sz="0" w:space="0" w:color="auto"/>
        <w:left w:val="none" w:sz="0" w:space="0" w:color="auto"/>
        <w:bottom w:val="none" w:sz="0" w:space="0" w:color="auto"/>
        <w:right w:val="none" w:sz="0" w:space="0" w:color="auto"/>
      </w:divBdr>
    </w:div>
    <w:div w:id="1418095325">
      <w:bodyDiv w:val="1"/>
      <w:marLeft w:val="0"/>
      <w:marRight w:val="0"/>
      <w:marTop w:val="0"/>
      <w:marBottom w:val="0"/>
      <w:divBdr>
        <w:top w:val="none" w:sz="0" w:space="0" w:color="auto"/>
        <w:left w:val="none" w:sz="0" w:space="0" w:color="auto"/>
        <w:bottom w:val="none" w:sz="0" w:space="0" w:color="auto"/>
        <w:right w:val="none" w:sz="0" w:space="0" w:color="auto"/>
      </w:divBdr>
    </w:div>
    <w:div w:id="1420369933">
      <w:bodyDiv w:val="1"/>
      <w:marLeft w:val="0"/>
      <w:marRight w:val="0"/>
      <w:marTop w:val="0"/>
      <w:marBottom w:val="0"/>
      <w:divBdr>
        <w:top w:val="none" w:sz="0" w:space="0" w:color="auto"/>
        <w:left w:val="none" w:sz="0" w:space="0" w:color="auto"/>
        <w:bottom w:val="none" w:sz="0" w:space="0" w:color="auto"/>
        <w:right w:val="none" w:sz="0" w:space="0" w:color="auto"/>
      </w:divBdr>
    </w:div>
    <w:div w:id="1432698009">
      <w:bodyDiv w:val="1"/>
      <w:marLeft w:val="0"/>
      <w:marRight w:val="0"/>
      <w:marTop w:val="0"/>
      <w:marBottom w:val="0"/>
      <w:divBdr>
        <w:top w:val="none" w:sz="0" w:space="0" w:color="auto"/>
        <w:left w:val="none" w:sz="0" w:space="0" w:color="auto"/>
        <w:bottom w:val="none" w:sz="0" w:space="0" w:color="auto"/>
        <w:right w:val="none" w:sz="0" w:space="0" w:color="auto"/>
      </w:divBdr>
    </w:div>
    <w:div w:id="1442070896">
      <w:bodyDiv w:val="1"/>
      <w:marLeft w:val="0"/>
      <w:marRight w:val="0"/>
      <w:marTop w:val="0"/>
      <w:marBottom w:val="0"/>
      <w:divBdr>
        <w:top w:val="none" w:sz="0" w:space="0" w:color="auto"/>
        <w:left w:val="none" w:sz="0" w:space="0" w:color="auto"/>
        <w:bottom w:val="none" w:sz="0" w:space="0" w:color="auto"/>
        <w:right w:val="none" w:sz="0" w:space="0" w:color="auto"/>
      </w:divBdr>
    </w:div>
    <w:div w:id="1449273971">
      <w:bodyDiv w:val="1"/>
      <w:marLeft w:val="0"/>
      <w:marRight w:val="0"/>
      <w:marTop w:val="0"/>
      <w:marBottom w:val="0"/>
      <w:divBdr>
        <w:top w:val="none" w:sz="0" w:space="0" w:color="auto"/>
        <w:left w:val="none" w:sz="0" w:space="0" w:color="auto"/>
        <w:bottom w:val="none" w:sz="0" w:space="0" w:color="auto"/>
        <w:right w:val="none" w:sz="0" w:space="0" w:color="auto"/>
      </w:divBdr>
    </w:div>
    <w:div w:id="1456220568">
      <w:bodyDiv w:val="1"/>
      <w:marLeft w:val="0"/>
      <w:marRight w:val="0"/>
      <w:marTop w:val="0"/>
      <w:marBottom w:val="0"/>
      <w:divBdr>
        <w:top w:val="none" w:sz="0" w:space="0" w:color="auto"/>
        <w:left w:val="none" w:sz="0" w:space="0" w:color="auto"/>
        <w:bottom w:val="none" w:sz="0" w:space="0" w:color="auto"/>
        <w:right w:val="none" w:sz="0" w:space="0" w:color="auto"/>
      </w:divBdr>
    </w:div>
    <w:div w:id="1462191179">
      <w:bodyDiv w:val="1"/>
      <w:marLeft w:val="0"/>
      <w:marRight w:val="0"/>
      <w:marTop w:val="0"/>
      <w:marBottom w:val="0"/>
      <w:divBdr>
        <w:top w:val="none" w:sz="0" w:space="0" w:color="auto"/>
        <w:left w:val="none" w:sz="0" w:space="0" w:color="auto"/>
        <w:bottom w:val="none" w:sz="0" w:space="0" w:color="auto"/>
        <w:right w:val="none" w:sz="0" w:space="0" w:color="auto"/>
      </w:divBdr>
    </w:div>
    <w:div w:id="1480993887">
      <w:bodyDiv w:val="1"/>
      <w:marLeft w:val="0"/>
      <w:marRight w:val="0"/>
      <w:marTop w:val="0"/>
      <w:marBottom w:val="0"/>
      <w:divBdr>
        <w:top w:val="none" w:sz="0" w:space="0" w:color="auto"/>
        <w:left w:val="none" w:sz="0" w:space="0" w:color="auto"/>
        <w:bottom w:val="none" w:sz="0" w:space="0" w:color="auto"/>
        <w:right w:val="none" w:sz="0" w:space="0" w:color="auto"/>
      </w:divBdr>
    </w:div>
    <w:div w:id="1489009304">
      <w:bodyDiv w:val="1"/>
      <w:marLeft w:val="0"/>
      <w:marRight w:val="0"/>
      <w:marTop w:val="0"/>
      <w:marBottom w:val="0"/>
      <w:divBdr>
        <w:top w:val="none" w:sz="0" w:space="0" w:color="auto"/>
        <w:left w:val="none" w:sz="0" w:space="0" w:color="auto"/>
        <w:bottom w:val="none" w:sz="0" w:space="0" w:color="auto"/>
        <w:right w:val="none" w:sz="0" w:space="0" w:color="auto"/>
      </w:divBdr>
    </w:div>
    <w:div w:id="1519612077">
      <w:bodyDiv w:val="1"/>
      <w:marLeft w:val="0"/>
      <w:marRight w:val="0"/>
      <w:marTop w:val="0"/>
      <w:marBottom w:val="0"/>
      <w:divBdr>
        <w:top w:val="none" w:sz="0" w:space="0" w:color="auto"/>
        <w:left w:val="none" w:sz="0" w:space="0" w:color="auto"/>
        <w:bottom w:val="none" w:sz="0" w:space="0" w:color="auto"/>
        <w:right w:val="none" w:sz="0" w:space="0" w:color="auto"/>
      </w:divBdr>
    </w:div>
    <w:div w:id="1552571514">
      <w:bodyDiv w:val="1"/>
      <w:marLeft w:val="0"/>
      <w:marRight w:val="0"/>
      <w:marTop w:val="0"/>
      <w:marBottom w:val="0"/>
      <w:divBdr>
        <w:top w:val="none" w:sz="0" w:space="0" w:color="auto"/>
        <w:left w:val="none" w:sz="0" w:space="0" w:color="auto"/>
        <w:bottom w:val="none" w:sz="0" w:space="0" w:color="auto"/>
        <w:right w:val="none" w:sz="0" w:space="0" w:color="auto"/>
      </w:divBdr>
    </w:div>
    <w:div w:id="1567835063">
      <w:bodyDiv w:val="1"/>
      <w:marLeft w:val="0"/>
      <w:marRight w:val="0"/>
      <w:marTop w:val="0"/>
      <w:marBottom w:val="0"/>
      <w:divBdr>
        <w:top w:val="none" w:sz="0" w:space="0" w:color="auto"/>
        <w:left w:val="none" w:sz="0" w:space="0" w:color="auto"/>
        <w:bottom w:val="none" w:sz="0" w:space="0" w:color="auto"/>
        <w:right w:val="none" w:sz="0" w:space="0" w:color="auto"/>
      </w:divBdr>
    </w:div>
    <w:div w:id="1610162483">
      <w:bodyDiv w:val="1"/>
      <w:marLeft w:val="0"/>
      <w:marRight w:val="0"/>
      <w:marTop w:val="0"/>
      <w:marBottom w:val="0"/>
      <w:divBdr>
        <w:top w:val="none" w:sz="0" w:space="0" w:color="auto"/>
        <w:left w:val="none" w:sz="0" w:space="0" w:color="auto"/>
        <w:bottom w:val="none" w:sz="0" w:space="0" w:color="auto"/>
        <w:right w:val="none" w:sz="0" w:space="0" w:color="auto"/>
      </w:divBdr>
    </w:div>
    <w:div w:id="1616210194">
      <w:bodyDiv w:val="1"/>
      <w:marLeft w:val="0"/>
      <w:marRight w:val="0"/>
      <w:marTop w:val="0"/>
      <w:marBottom w:val="0"/>
      <w:divBdr>
        <w:top w:val="none" w:sz="0" w:space="0" w:color="auto"/>
        <w:left w:val="none" w:sz="0" w:space="0" w:color="auto"/>
        <w:bottom w:val="none" w:sz="0" w:space="0" w:color="auto"/>
        <w:right w:val="none" w:sz="0" w:space="0" w:color="auto"/>
      </w:divBdr>
    </w:div>
    <w:div w:id="1626236721">
      <w:bodyDiv w:val="1"/>
      <w:marLeft w:val="0"/>
      <w:marRight w:val="0"/>
      <w:marTop w:val="0"/>
      <w:marBottom w:val="0"/>
      <w:divBdr>
        <w:top w:val="none" w:sz="0" w:space="0" w:color="auto"/>
        <w:left w:val="none" w:sz="0" w:space="0" w:color="auto"/>
        <w:bottom w:val="none" w:sz="0" w:space="0" w:color="auto"/>
        <w:right w:val="none" w:sz="0" w:space="0" w:color="auto"/>
      </w:divBdr>
    </w:div>
    <w:div w:id="1626693726">
      <w:bodyDiv w:val="1"/>
      <w:marLeft w:val="0"/>
      <w:marRight w:val="0"/>
      <w:marTop w:val="0"/>
      <w:marBottom w:val="0"/>
      <w:divBdr>
        <w:top w:val="none" w:sz="0" w:space="0" w:color="auto"/>
        <w:left w:val="none" w:sz="0" w:space="0" w:color="auto"/>
        <w:bottom w:val="none" w:sz="0" w:space="0" w:color="auto"/>
        <w:right w:val="none" w:sz="0" w:space="0" w:color="auto"/>
      </w:divBdr>
    </w:div>
    <w:div w:id="1628851795">
      <w:bodyDiv w:val="1"/>
      <w:marLeft w:val="0"/>
      <w:marRight w:val="0"/>
      <w:marTop w:val="0"/>
      <w:marBottom w:val="0"/>
      <w:divBdr>
        <w:top w:val="none" w:sz="0" w:space="0" w:color="auto"/>
        <w:left w:val="none" w:sz="0" w:space="0" w:color="auto"/>
        <w:bottom w:val="none" w:sz="0" w:space="0" w:color="auto"/>
        <w:right w:val="none" w:sz="0" w:space="0" w:color="auto"/>
      </w:divBdr>
    </w:div>
    <w:div w:id="1631323092">
      <w:bodyDiv w:val="1"/>
      <w:marLeft w:val="0"/>
      <w:marRight w:val="0"/>
      <w:marTop w:val="0"/>
      <w:marBottom w:val="0"/>
      <w:divBdr>
        <w:top w:val="none" w:sz="0" w:space="0" w:color="auto"/>
        <w:left w:val="none" w:sz="0" w:space="0" w:color="auto"/>
        <w:bottom w:val="none" w:sz="0" w:space="0" w:color="auto"/>
        <w:right w:val="none" w:sz="0" w:space="0" w:color="auto"/>
      </w:divBdr>
    </w:div>
    <w:div w:id="1642342158">
      <w:bodyDiv w:val="1"/>
      <w:marLeft w:val="0"/>
      <w:marRight w:val="0"/>
      <w:marTop w:val="0"/>
      <w:marBottom w:val="0"/>
      <w:divBdr>
        <w:top w:val="none" w:sz="0" w:space="0" w:color="auto"/>
        <w:left w:val="none" w:sz="0" w:space="0" w:color="auto"/>
        <w:bottom w:val="none" w:sz="0" w:space="0" w:color="auto"/>
        <w:right w:val="none" w:sz="0" w:space="0" w:color="auto"/>
      </w:divBdr>
    </w:div>
    <w:div w:id="1668904860">
      <w:bodyDiv w:val="1"/>
      <w:marLeft w:val="0"/>
      <w:marRight w:val="0"/>
      <w:marTop w:val="0"/>
      <w:marBottom w:val="0"/>
      <w:divBdr>
        <w:top w:val="none" w:sz="0" w:space="0" w:color="auto"/>
        <w:left w:val="none" w:sz="0" w:space="0" w:color="auto"/>
        <w:bottom w:val="none" w:sz="0" w:space="0" w:color="auto"/>
        <w:right w:val="none" w:sz="0" w:space="0" w:color="auto"/>
      </w:divBdr>
    </w:div>
    <w:div w:id="1675104683">
      <w:bodyDiv w:val="1"/>
      <w:marLeft w:val="0"/>
      <w:marRight w:val="0"/>
      <w:marTop w:val="0"/>
      <w:marBottom w:val="0"/>
      <w:divBdr>
        <w:top w:val="none" w:sz="0" w:space="0" w:color="auto"/>
        <w:left w:val="none" w:sz="0" w:space="0" w:color="auto"/>
        <w:bottom w:val="none" w:sz="0" w:space="0" w:color="auto"/>
        <w:right w:val="none" w:sz="0" w:space="0" w:color="auto"/>
      </w:divBdr>
    </w:div>
    <w:div w:id="1682052435">
      <w:bodyDiv w:val="1"/>
      <w:marLeft w:val="0"/>
      <w:marRight w:val="0"/>
      <w:marTop w:val="0"/>
      <w:marBottom w:val="0"/>
      <w:divBdr>
        <w:top w:val="none" w:sz="0" w:space="0" w:color="auto"/>
        <w:left w:val="none" w:sz="0" w:space="0" w:color="auto"/>
        <w:bottom w:val="none" w:sz="0" w:space="0" w:color="auto"/>
        <w:right w:val="none" w:sz="0" w:space="0" w:color="auto"/>
      </w:divBdr>
    </w:div>
    <w:div w:id="1685476540">
      <w:bodyDiv w:val="1"/>
      <w:marLeft w:val="0"/>
      <w:marRight w:val="0"/>
      <w:marTop w:val="0"/>
      <w:marBottom w:val="0"/>
      <w:divBdr>
        <w:top w:val="none" w:sz="0" w:space="0" w:color="auto"/>
        <w:left w:val="none" w:sz="0" w:space="0" w:color="auto"/>
        <w:bottom w:val="none" w:sz="0" w:space="0" w:color="auto"/>
        <w:right w:val="none" w:sz="0" w:space="0" w:color="auto"/>
      </w:divBdr>
    </w:div>
    <w:div w:id="1686396373">
      <w:bodyDiv w:val="1"/>
      <w:marLeft w:val="0"/>
      <w:marRight w:val="0"/>
      <w:marTop w:val="0"/>
      <w:marBottom w:val="0"/>
      <w:divBdr>
        <w:top w:val="none" w:sz="0" w:space="0" w:color="auto"/>
        <w:left w:val="none" w:sz="0" w:space="0" w:color="auto"/>
        <w:bottom w:val="none" w:sz="0" w:space="0" w:color="auto"/>
        <w:right w:val="none" w:sz="0" w:space="0" w:color="auto"/>
      </w:divBdr>
    </w:div>
    <w:div w:id="1735930611">
      <w:bodyDiv w:val="1"/>
      <w:marLeft w:val="0"/>
      <w:marRight w:val="0"/>
      <w:marTop w:val="0"/>
      <w:marBottom w:val="0"/>
      <w:divBdr>
        <w:top w:val="none" w:sz="0" w:space="0" w:color="auto"/>
        <w:left w:val="none" w:sz="0" w:space="0" w:color="auto"/>
        <w:bottom w:val="none" w:sz="0" w:space="0" w:color="auto"/>
        <w:right w:val="none" w:sz="0" w:space="0" w:color="auto"/>
      </w:divBdr>
    </w:div>
    <w:div w:id="1761825814">
      <w:bodyDiv w:val="1"/>
      <w:marLeft w:val="0"/>
      <w:marRight w:val="0"/>
      <w:marTop w:val="0"/>
      <w:marBottom w:val="0"/>
      <w:divBdr>
        <w:top w:val="none" w:sz="0" w:space="0" w:color="auto"/>
        <w:left w:val="none" w:sz="0" w:space="0" w:color="auto"/>
        <w:bottom w:val="none" w:sz="0" w:space="0" w:color="auto"/>
        <w:right w:val="none" w:sz="0" w:space="0" w:color="auto"/>
      </w:divBdr>
    </w:div>
    <w:div w:id="1764834453">
      <w:bodyDiv w:val="1"/>
      <w:marLeft w:val="0"/>
      <w:marRight w:val="0"/>
      <w:marTop w:val="0"/>
      <w:marBottom w:val="0"/>
      <w:divBdr>
        <w:top w:val="none" w:sz="0" w:space="0" w:color="auto"/>
        <w:left w:val="none" w:sz="0" w:space="0" w:color="auto"/>
        <w:bottom w:val="none" w:sz="0" w:space="0" w:color="auto"/>
        <w:right w:val="none" w:sz="0" w:space="0" w:color="auto"/>
      </w:divBdr>
    </w:div>
    <w:div w:id="1830754598">
      <w:bodyDiv w:val="1"/>
      <w:marLeft w:val="0"/>
      <w:marRight w:val="0"/>
      <w:marTop w:val="0"/>
      <w:marBottom w:val="0"/>
      <w:divBdr>
        <w:top w:val="none" w:sz="0" w:space="0" w:color="auto"/>
        <w:left w:val="none" w:sz="0" w:space="0" w:color="auto"/>
        <w:bottom w:val="none" w:sz="0" w:space="0" w:color="auto"/>
        <w:right w:val="none" w:sz="0" w:space="0" w:color="auto"/>
      </w:divBdr>
    </w:div>
    <w:div w:id="1837305903">
      <w:bodyDiv w:val="1"/>
      <w:marLeft w:val="0"/>
      <w:marRight w:val="0"/>
      <w:marTop w:val="0"/>
      <w:marBottom w:val="0"/>
      <w:divBdr>
        <w:top w:val="none" w:sz="0" w:space="0" w:color="auto"/>
        <w:left w:val="none" w:sz="0" w:space="0" w:color="auto"/>
        <w:bottom w:val="none" w:sz="0" w:space="0" w:color="auto"/>
        <w:right w:val="none" w:sz="0" w:space="0" w:color="auto"/>
      </w:divBdr>
    </w:div>
    <w:div w:id="1874537005">
      <w:bodyDiv w:val="1"/>
      <w:marLeft w:val="0"/>
      <w:marRight w:val="0"/>
      <w:marTop w:val="0"/>
      <w:marBottom w:val="0"/>
      <w:divBdr>
        <w:top w:val="none" w:sz="0" w:space="0" w:color="auto"/>
        <w:left w:val="none" w:sz="0" w:space="0" w:color="auto"/>
        <w:bottom w:val="none" w:sz="0" w:space="0" w:color="auto"/>
        <w:right w:val="none" w:sz="0" w:space="0" w:color="auto"/>
      </w:divBdr>
    </w:div>
    <w:div w:id="1880507752">
      <w:bodyDiv w:val="1"/>
      <w:marLeft w:val="0"/>
      <w:marRight w:val="0"/>
      <w:marTop w:val="0"/>
      <w:marBottom w:val="0"/>
      <w:divBdr>
        <w:top w:val="none" w:sz="0" w:space="0" w:color="auto"/>
        <w:left w:val="none" w:sz="0" w:space="0" w:color="auto"/>
        <w:bottom w:val="none" w:sz="0" w:space="0" w:color="auto"/>
        <w:right w:val="none" w:sz="0" w:space="0" w:color="auto"/>
      </w:divBdr>
    </w:div>
    <w:div w:id="1885286060">
      <w:bodyDiv w:val="1"/>
      <w:marLeft w:val="0"/>
      <w:marRight w:val="0"/>
      <w:marTop w:val="0"/>
      <w:marBottom w:val="0"/>
      <w:divBdr>
        <w:top w:val="none" w:sz="0" w:space="0" w:color="auto"/>
        <w:left w:val="none" w:sz="0" w:space="0" w:color="auto"/>
        <w:bottom w:val="none" w:sz="0" w:space="0" w:color="auto"/>
        <w:right w:val="none" w:sz="0" w:space="0" w:color="auto"/>
      </w:divBdr>
    </w:div>
    <w:div w:id="1893996715">
      <w:bodyDiv w:val="1"/>
      <w:marLeft w:val="0"/>
      <w:marRight w:val="0"/>
      <w:marTop w:val="0"/>
      <w:marBottom w:val="0"/>
      <w:divBdr>
        <w:top w:val="none" w:sz="0" w:space="0" w:color="auto"/>
        <w:left w:val="none" w:sz="0" w:space="0" w:color="auto"/>
        <w:bottom w:val="none" w:sz="0" w:space="0" w:color="auto"/>
        <w:right w:val="none" w:sz="0" w:space="0" w:color="auto"/>
      </w:divBdr>
    </w:div>
    <w:div w:id="1910578593">
      <w:bodyDiv w:val="1"/>
      <w:marLeft w:val="0"/>
      <w:marRight w:val="0"/>
      <w:marTop w:val="0"/>
      <w:marBottom w:val="0"/>
      <w:divBdr>
        <w:top w:val="none" w:sz="0" w:space="0" w:color="auto"/>
        <w:left w:val="none" w:sz="0" w:space="0" w:color="auto"/>
        <w:bottom w:val="none" w:sz="0" w:space="0" w:color="auto"/>
        <w:right w:val="none" w:sz="0" w:space="0" w:color="auto"/>
      </w:divBdr>
    </w:div>
    <w:div w:id="1920408926">
      <w:bodyDiv w:val="1"/>
      <w:marLeft w:val="0"/>
      <w:marRight w:val="0"/>
      <w:marTop w:val="0"/>
      <w:marBottom w:val="0"/>
      <w:divBdr>
        <w:top w:val="none" w:sz="0" w:space="0" w:color="auto"/>
        <w:left w:val="none" w:sz="0" w:space="0" w:color="auto"/>
        <w:bottom w:val="none" w:sz="0" w:space="0" w:color="auto"/>
        <w:right w:val="none" w:sz="0" w:space="0" w:color="auto"/>
      </w:divBdr>
    </w:div>
    <w:div w:id="1930578816">
      <w:bodyDiv w:val="1"/>
      <w:marLeft w:val="0"/>
      <w:marRight w:val="0"/>
      <w:marTop w:val="0"/>
      <w:marBottom w:val="0"/>
      <w:divBdr>
        <w:top w:val="none" w:sz="0" w:space="0" w:color="auto"/>
        <w:left w:val="none" w:sz="0" w:space="0" w:color="auto"/>
        <w:bottom w:val="none" w:sz="0" w:space="0" w:color="auto"/>
        <w:right w:val="none" w:sz="0" w:space="0" w:color="auto"/>
      </w:divBdr>
    </w:div>
    <w:div w:id="1937248436">
      <w:bodyDiv w:val="1"/>
      <w:marLeft w:val="0"/>
      <w:marRight w:val="0"/>
      <w:marTop w:val="0"/>
      <w:marBottom w:val="0"/>
      <w:divBdr>
        <w:top w:val="none" w:sz="0" w:space="0" w:color="auto"/>
        <w:left w:val="none" w:sz="0" w:space="0" w:color="auto"/>
        <w:bottom w:val="none" w:sz="0" w:space="0" w:color="auto"/>
        <w:right w:val="none" w:sz="0" w:space="0" w:color="auto"/>
      </w:divBdr>
    </w:div>
    <w:div w:id="1959097696">
      <w:bodyDiv w:val="1"/>
      <w:marLeft w:val="0"/>
      <w:marRight w:val="0"/>
      <w:marTop w:val="0"/>
      <w:marBottom w:val="0"/>
      <w:divBdr>
        <w:top w:val="none" w:sz="0" w:space="0" w:color="auto"/>
        <w:left w:val="none" w:sz="0" w:space="0" w:color="auto"/>
        <w:bottom w:val="none" w:sz="0" w:space="0" w:color="auto"/>
        <w:right w:val="none" w:sz="0" w:space="0" w:color="auto"/>
      </w:divBdr>
    </w:div>
    <w:div w:id="1959333220">
      <w:bodyDiv w:val="1"/>
      <w:marLeft w:val="0"/>
      <w:marRight w:val="0"/>
      <w:marTop w:val="0"/>
      <w:marBottom w:val="0"/>
      <w:divBdr>
        <w:top w:val="none" w:sz="0" w:space="0" w:color="auto"/>
        <w:left w:val="none" w:sz="0" w:space="0" w:color="auto"/>
        <w:bottom w:val="none" w:sz="0" w:space="0" w:color="auto"/>
        <w:right w:val="none" w:sz="0" w:space="0" w:color="auto"/>
      </w:divBdr>
    </w:div>
    <w:div w:id="2019117637">
      <w:bodyDiv w:val="1"/>
      <w:marLeft w:val="0"/>
      <w:marRight w:val="0"/>
      <w:marTop w:val="0"/>
      <w:marBottom w:val="0"/>
      <w:divBdr>
        <w:top w:val="none" w:sz="0" w:space="0" w:color="auto"/>
        <w:left w:val="none" w:sz="0" w:space="0" w:color="auto"/>
        <w:bottom w:val="none" w:sz="0" w:space="0" w:color="auto"/>
        <w:right w:val="none" w:sz="0" w:space="0" w:color="auto"/>
      </w:divBdr>
    </w:div>
    <w:div w:id="2062172842">
      <w:bodyDiv w:val="1"/>
      <w:marLeft w:val="0"/>
      <w:marRight w:val="0"/>
      <w:marTop w:val="0"/>
      <w:marBottom w:val="0"/>
      <w:divBdr>
        <w:top w:val="none" w:sz="0" w:space="0" w:color="auto"/>
        <w:left w:val="none" w:sz="0" w:space="0" w:color="auto"/>
        <w:bottom w:val="none" w:sz="0" w:space="0" w:color="auto"/>
        <w:right w:val="none" w:sz="0" w:space="0" w:color="auto"/>
      </w:divBdr>
    </w:div>
    <w:div w:id="2069574616">
      <w:bodyDiv w:val="1"/>
      <w:marLeft w:val="0"/>
      <w:marRight w:val="0"/>
      <w:marTop w:val="0"/>
      <w:marBottom w:val="0"/>
      <w:divBdr>
        <w:top w:val="none" w:sz="0" w:space="0" w:color="auto"/>
        <w:left w:val="none" w:sz="0" w:space="0" w:color="auto"/>
        <w:bottom w:val="none" w:sz="0" w:space="0" w:color="auto"/>
        <w:right w:val="none" w:sz="0" w:space="0" w:color="auto"/>
      </w:divBdr>
    </w:div>
    <w:div w:id="2073657034">
      <w:bodyDiv w:val="1"/>
      <w:marLeft w:val="0"/>
      <w:marRight w:val="0"/>
      <w:marTop w:val="0"/>
      <w:marBottom w:val="0"/>
      <w:divBdr>
        <w:top w:val="none" w:sz="0" w:space="0" w:color="auto"/>
        <w:left w:val="none" w:sz="0" w:space="0" w:color="auto"/>
        <w:bottom w:val="none" w:sz="0" w:space="0" w:color="auto"/>
        <w:right w:val="none" w:sz="0" w:space="0" w:color="auto"/>
      </w:divBdr>
    </w:div>
    <w:div w:id="2083407376">
      <w:bodyDiv w:val="1"/>
      <w:marLeft w:val="0"/>
      <w:marRight w:val="0"/>
      <w:marTop w:val="0"/>
      <w:marBottom w:val="0"/>
      <w:divBdr>
        <w:top w:val="none" w:sz="0" w:space="0" w:color="auto"/>
        <w:left w:val="none" w:sz="0" w:space="0" w:color="auto"/>
        <w:bottom w:val="none" w:sz="0" w:space="0" w:color="auto"/>
        <w:right w:val="none" w:sz="0" w:space="0" w:color="auto"/>
      </w:divBdr>
    </w:div>
    <w:div w:id="2116513267">
      <w:bodyDiv w:val="1"/>
      <w:marLeft w:val="0"/>
      <w:marRight w:val="0"/>
      <w:marTop w:val="0"/>
      <w:marBottom w:val="0"/>
      <w:divBdr>
        <w:top w:val="none" w:sz="0" w:space="0" w:color="auto"/>
        <w:left w:val="none" w:sz="0" w:space="0" w:color="auto"/>
        <w:bottom w:val="none" w:sz="0" w:space="0" w:color="auto"/>
        <w:right w:val="none" w:sz="0" w:space="0" w:color="auto"/>
      </w:divBdr>
    </w:div>
    <w:div w:id="2120637465">
      <w:bodyDiv w:val="1"/>
      <w:marLeft w:val="0"/>
      <w:marRight w:val="0"/>
      <w:marTop w:val="0"/>
      <w:marBottom w:val="0"/>
      <w:divBdr>
        <w:top w:val="none" w:sz="0" w:space="0" w:color="auto"/>
        <w:left w:val="none" w:sz="0" w:space="0" w:color="auto"/>
        <w:bottom w:val="none" w:sz="0" w:space="0" w:color="auto"/>
        <w:right w:val="none" w:sz="0" w:space="0" w:color="auto"/>
      </w:divBdr>
    </w:div>
    <w:div w:id="2124957232">
      <w:bodyDiv w:val="1"/>
      <w:marLeft w:val="0"/>
      <w:marRight w:val="0"/>
      <w:marTop w:val="0"/>
      <w:marBottom w:val="0"/>
      <w:divBdr>
        <w:top w:val="none" w:sz="0" w:space="0" w:color="auto"/>
        <w:left w:val="none" w:sz="0" w:space="0" w:color="auto"/>
        <w:bottom w:val="none" w:sz="0" w:space="0" w:color="auto"/>
        <w:right w:val="none" w:sz="0" w:space="0" w:color="auto"/>
      </w:divBdr>
    </w:div>
    <w:div w:id="2129621155">
      <w:bodyDiv w:val="1"/>
      <w:marLeft w:val="0"/>
      <w:marRight w:val="0"/>
      <w:marTop w:val="0"/>
      <w:marBottom w:val="0"/>
      <w:divBdr>
        <w:top w:val="none" w:sz="0" w:space="0" w:color="auto"/>
        <w:left w:val="none" w:sz="0" w:space="0" w:color="auto"/>
        <w:bottom w:val="none" w:sz="0" w:space="0" w:color="auto"/>
        <w:right w:val="none" w:sz="0" w:space="0" w:color="auto"/>
      </w:divBdr>
    </w:div>
    <w:div w:id="2146654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pad.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epad.org.uk/announcement/critical-approaches-to-state-and-sovereignty-part-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Ben98</b:Tag>
    <b:SourceType>Book</b:SourceType>
    <b:Guid>{765A0241-9EB7-4A0C-9B46-248C0C297358}</b:Guid>
    <b:Title>The geography of money</b:Title>
    <b:Year>1998</b:Year>
    <b:City>Ithaca</b:City>
    <b:Publisher>Cornell University Press</b:Publisher>
    <b:Author>
      <b:Author>
        <b:NameList>
          <b:Person>
            <b:Last>Cohen</b:Last>
            <b:First>Benjamin</b:First>
          </b:Person>
        </b:NameList>
      </b:Author>
    </b:Author>
    <b:RefOrder>1</b:RefOrder>
  </b:Source>
  <b:Source>
    <b:Tag>Jon95</b:Tag>
    <b:SourceType>Book</b:SourceType>
    <b:Guid>{47900BE7-49DF-4B2A-A089-84370F7D0ED7}</b:Guid>
    <b:Author>
      <b:Author>
        <b:NameList>
          <b:Person>
            <b:Last>Kirshner</b:Last>
            <b:First>Jonathan</b:First>
          </b:Person>
        </b:NameList>
      </b:Author>
    </b:Author>
    <b:Title>Currency and Coercion: The political economy of international monetary power</b:Title>
    <b:Year>1995</b:Year>
    <b:City>Princeton</b:City>
    <b:Publisher>Princeton University Press</b:Publisher>
    <b:RefOrder>2</b:RefOrder>
  </b:Source>
  <b:Source>
    <b:Tag>Bar11</b:Tag>
    <b:SourceType>Book</b:SourceType>
    <b:Guid>{5BFD471A-15D9-4F17-A092-9D74DBADBE18}</b:Guid>
    <b:Author>
      <b:Author>
        <b:NameList>
          <b:Person>
            <b:Last>Eichengreen</b:Last>
            <b:First>Barry</b:First>
          </b:Person>
        </b:NameList>
      </b:Author>
    </b:Author>
    <b:Title>Exorbitant privilege: The rise and fall of the dollar and the futuer of the international monetary system</b:Title>
    <b:Year>2011</b:Year>
    <b:City>Oxford</b:City>
    <b:Publisher>Oxford University Press</b:Publisher>
    <b:RefOrder>3</b:RefOrder>
  </b:Source>
  <b:Source>
    <b:Tag>Dav99</b:Tag>
    <b:SourceType>Book</b:SourceType>
    <b:Guid>{6182D51D-B752-44A1-A404-7F1FBF5920D7}</b:Guid>
    <b:Author>
      <b:Author>
        <b:NameList>
          <b:Person>
            <b:Last>Spiro</b:Last>
            <b:First>David</b:First>
          </b:Person>
        </b:NameList>
      </b:Author>
    </b:Author>
    <b:Title>The hidden hand of American hegemony: Petrodollar recycling and international markets</b:Title>
    <b:Year>1999</b:Year>
    <b:City>Ithaca</b:City>
    <b:Publisher>Cornell University Press</b:Publisher>
    <b:RefOrder>4</b:RefOrder>
  </b:Source>
  <b:Source>
    <b:Tag>Rob09</b:Tag>
    <b:SourceType>Book</b:SourceType>
    <b:Guid>{36ACAA7F-5D3C-4E0D-9008-EFA68982CFB6}</b:Guid>
    <b:Author>
      <b:Author>
        <b:NameList>
          <b:Person>
            <b:Last>Vitalis</b:Last>
            <b:First>Robert</b:First>
          </b:Person>
        </b:NameList>
      </b:Author>
    </b:Author>
    <b:Title>America's kingdom: Mythmaking on the Saudi oil frontier</b:Title>
    <b:Year>2009</b:Year>
    <b:City>London</b:City>
    <b:Publisher>Verso</b:Publisher>
    <b:RefOrder>26</b:RefOrder>
  </b:Source>
  <b:Source>
    <b:Tag>Bes08</b:Tag>
    <b:SourceType>JournalArticle</b:SourceType>
    <b:Guid>{781C30B1-3A9E-49DB-A44F-1F16F2FACFCE}</b:Guid>
    <b:Title>Gulf Cooperation Council exporters and the future of the dollar</b:Title>
    <b:Year>2008</b:Year>
    <b:Pages>293-314</b:Pages>
    <b:Author>
      <b:Author>
        <b:NameList>
          <b:Person>
            <b:Last>Momani</b:Last>
            <b:First>Bessma</b:First>
          </b:Person>
        </b:NameList>
      </b:Author>
    </b:Author>
    <b:JournalName>New Political Economy</b:JournalName>
    <b:Volume>13</b:Volume>
    <b:Issue>3</b:Issue>
    <b:RefOrder>5</b:RefOrder>
  </b:Source>
  <b:Source>
    <b:Tag>Ote13</b:Tag>
    <b:SourceType>JournalArticle</b:SourceType>
    <b:Guid>{9361C24D-5211-44E0-9F6A-007CBD3AAE7F}</b:Guid>
    <b:Author>
      <b:Author>
        <b:NameList>
          <b:Person>
            <b:Last>Otero-Iglesias</b:Last>
            <b:First>Miguel</b:First>
          </b:Person>
          <b:Person>
            <b:Last>Steinberg</b:Last>
            <b:First>Federico</b:First>
          </b:Person>
        </b:NameList>
      </b:Author>
    </b:Author>
    <b:Title>Is the Dollar Becoming a Negotiated Currency? Evidence from the Emerging Markets</b:Title>
    <b:JournalName>New Political Economy</b:JournalName>
    <b:Year>2013</b:Year>
    <b:Pages>309-336</b:Pages>
    <b:Volume>18</b:Volume>
    <b:Issue>3</b:Issue>
    <b:RefOrder>6</b:RefOrder>
  </b:Source>
  <b:Source>
    <b:Tag>Jon951</b:Tag>
    <b:SourceType>Book</b:SourceType>
    <b:Guid>{72CAD060-291C-484B-A29C-3D2706622CF6}</b:Guid>
    <b:Author>
      <b:Author>
        <b:NameList>
          <b:Person>
            <b:Last>Kirshner</b:Last>
            <b:First>Jonathan</b:First>
          </b:Person>
        </b:NameList>
      </b:Author>
    </b:Author>
    <b:Title>Currency and Coercion: The political economy of international monetary power</b:Title>
    <b:Year>1995</b:Year>
    <b:City>Princeton</b:City>
    <b:Publisher>Princeton University Press</b:Publisher>
    <b:RefOrder>10</b:RefOrder>
  </b:Source>
  <b:Source>
    <b:Tag>Aar16</b:Tag>
    <b:SourceType>JournalArticle</b:SourceType>
    <b:Guid>{6EB2187B-2CB2-4948-8E3D-6761E8E42329}</b:Guid>
    <b:Title>The true costs of financial sanctions</b:Title>
    <b:Year>2016</b:Year>
    <b:JournalName>Survival</b:JournalName>
    <b:Pages>77-100</b:Pages>
    <b:Volume>58</b:Volume>
    <b:Issue>3</b:Issue>
    <b:Author>
      <b:Author>
        <b:NameList>
          <b:Person>
            <b:Last>Arnold</b:Last>
            <b:First>Aaron</b:First>
          </b:Person>
        </b:NameList>
      </b:Author>
    </b:Author>
    <b:RefOrder>12</b:RefOrder>
  </b:Source>
  <b:Source>
    <b:Tag>You23</b:Tag>
    <b:SourceType>Book</b:SourceType>
    <b:Guid>{25096035-F933-4845-92C8-DD1ECA23BE57}</b:Guid>
    <b:Author>
      <b:Author>
        <b:NameList>
          <b:Person>
            <b:Last>Young</b:Last>
            <b:First>Karen</b:First>
          </b:Person>
        </b:NameList>
      </b:Author>
    </b:Author>
    <b:Title>The economic statecraft of Gulf Arab states: Deploying aid, investment, and development across the MENAP</b:Title>
    <b:Year>2023</b:Year>
    <b:City>London</b:City>
    <b:Publisher>IB Tauris</b:Publisher>
    <b:RefOrder>17</b:RefOrder>
  </b:Source>
  <b:Source>
    <b:Tag>Zak23</b:Tag>
    <b:SourceType>ArticleInAPeriodical</b:SourceType>
    <b:Guid>{D9B492EE-13A0-4595-A5C3-6602891F61A3}</b:Guid>
    <b:Title>The dollar is our superpower, and Russia and China are threatening it</b:Title>
    <b:Year>2023</b:Year>
    <b:Author>
      <b:Author>
        <b:NameList>
          <b:Person>
            <b:Last>Zakaria</b:Last>
            <b:First>Fareed</b:First>
          </b:Person>
        </b:NameList>
      </b:Author>
    </b:Author>
    <b:PeriodicalTitle>Washington Post</b:PeriodicalTitle>
    <b:Month>March</b:Month>
    <b:Day>24</b:Day>
    <b:URL>https://www.washingtonpost.com/opinions/2023/03/24/us-dollar-strength-russia-china/</b:URL>
    <b:RefOrder>7</b:RefOrder>
  </b:Source>
  <b:Source>
    <b:Tag>FTe23</b:Tag>
    <b:SourceType>ArticleInAPeriodical</b:SourceType>
    <b:Guid>{63611351-76DB-4F3F-AD28-ADD4CBB8A35E}</b:Guid>
    <b:Author>
      <b:Author>
        <b:Corporate>FT editorial board</b:Corporate>
      </b:Author>
    </b:Author>
    <b:Title>Threats to the dollar’s dominance are overblown</b:Title>
    <b:PeriodicalTitle>Financial Times</b:PeriodicalTitle>
    <b:Year>2023</b:Year>
    <b:Month>April</b:Month>
    <b:Day>19</b:Day>
    <b:URL>https://www.ft.com/content/0ab31d6c-7b08-4af7-acee-c27d8496e909</b:URL>
    <b:RefOrder>8</b:RefOrder>
  </b:Source>
  <b:Source>
    <b:Tag>Sai22</b:Tag>
    <b:SourceType>ArticleInAPeriodical</b:SourceType>
    <b:Guid>{4F5E04A8-063B-4E38-B122-BEA3FC6E7A19}</b:Guid>
    <b:Title>Saudi Arabia Considers Accepting Yuan Instead of Dollars for Chinese Oil Sales</b:Title>
    <b:PeriodicalTitle>Wall Street Journal</b:PeriodicalTitle>
    <b:Year>2022</b:Year>
    <b:Month>March</b:Month>
    <b:Day>22</b:Day>
    <b:Author>
      <b:Author>
        <b:NameList>
          <b:Person>
            <b:Last>Said</b:Last>
            <b:First>Summer</b:First>
          </b:Person>
          <b:Person>
            <b:Last>Kalin</b:Last>
            <b:First>Stephen</b:First>
          </b:Person>
        </b:NameList>
      </b:Author>
    </b:Author>
    <b:URL>https://www.wsj.com/articles/saudi-arabia-considers-accepting-yuan-instead-of-dollars-for-chinese-oil-sales-11647351541</b:URL>
    <b:RefOrder>9</b:RefOrder>
  </b:Source>
  <b:Source>
    <b:Tag>Kha18</b:Tag>
    <b:SourceType>ArticleInAPeriodical</b:SourceType>
    <b:Guid>{81B6C0B7-BE93-4212-9749-34DFCED116A9}</b:Guid>
    <b:Title>In Dubai, US sanctions pressure historic business ties with Iran</b:Title>
    <b:PeriodicalTitle>Reuters</b:PeriodicalTitle>
    <b:Year>2018</b:Year>
    <b:Month>November</b:Month>
    <b:Day>19</b:Day>
    <b:Author>
      <b:Author>
        <b:NameList>
          <b:Person>
            <b:Last>Khalid</b:Last>
            <b:First>Tuqa</b:First>
          </b:Person>
          <b:Person>
            <b:Last>Torchia</b:Last>
            <b:First>Andrew</b:First>
          </b:Person>
        </b:NameList>
      </b:Author>
    </b:Author>
    <b:URL>https://www.reuters.com/article/us-iran-sanctions-dubai-idUSKCN1NO14Y</b:URL>
    <b:RefOrder>13</b:RefOrder>
  </b:Source>
  <b:Source>
    <b:Tag>Bar19</b:Tag>
    <b:SourceType>ArticleInAPeriodical</b:SourceType>
    <b:Guid>{93CCCDEE-EF8D-4CE4-8506-6E1DA282975E}</b:Guid>
    <b:Title>Sanctions-hit Lebanese bank denies Hezbollah ties</b:Title>
    <b:PeriodicalTitle>Reuters</b:PeriodicalTitle>
    <b:Year>2019</b:Year>
    <b:Month>August</b:Month>
    <b:Day>30</b:Day>
    <b:Author>
      <b:Author>
        <b:NameList>
          <b:Person>
            <b:Last>Barrington</b:Last>
            <b:First>Lisa</b:First>
          </b:Person>
          <b:Person>
            <b:Last>Francis</b:Last>
            <b:First>Ellen</b:First>
          </b:Person>
        </b:NameList>
      </b:Author>
    </b:Author>
    <b:URL>https://www.reuters.com/article/us-usa-sanctions-lebanon-bank-idUSKCN1VK11A</b:URL>
    <b:RefOrder>14</b:RefOrder>
  </b:Source>
  <b:Source>
    <b:Tag>Jal23</b:Tag>
    <b:SourceType>ArticleInAPeriodical</b:SourceType>
    <b:Guid>{4F623F33-9657-4E4F-B616-F364C64A1BFD}</b:Guid>
    <b:Author>
      <b:Author>
        <b:NameList>
          <b:Person>
            <b:Last>Jalabi</b:Last>
            <b:First>Raya</b:First>
          </b:Person>
        </b:NameList>
      </b:Author>
    </b:Author>
    <b:Title>Crippling dollar shortage underscores vulnerability of Iraq’s oil-based economy</b:Title>
    <b:PeriodicalTitle>Financial Times</b:PeriodicalTitle>
    <b:Year>2023</b:Year>
    <b:Month>March</b:Month>
    <b:Day>27</b:Day>
    <b:URL>https://www.ft.com/content/e42fe1ff-80f3-4d5b-b182-7812761c87ad</b:URL>
    <b:RefOrder>15</b:RefOrder>
  </b:Source>
  <b:Source>
    <b:Tag>Sch08</b:Tag>
    <b:SourceType>Report</b:SourceType>
    <b:Guid>{DB6E4032-379B-44D8-8D5E-5614DC5C4F28}</b:Guid>
    <b:Title>Lebanon—Weathering the Perfect Storms</b:Title>
    <b:Year>2008</b:Year>
    <b:Author>
      <b:Author>
        <b:NameList>
          <b:Person>
            <b:Last>Schimmelpfennig</b:Last>
            <b:First>Axel</b:First>
          </b:Person>
          <b:Person>
            <b:Last>Gardner</b:Last>
            <b:First>Edward</b:First>
          </b:Person>
        </b:NameList>
      </b:Author>
    </b:Author>
    <b:Publisher>International Monetary Fund</b:Publisher>
    <b:City>Washington DC</b:City>
    <b:RefOrder>19</b:RefOrder>
  </b:Source>
  <b:Source>
    <b:Tag>Sal13</b:Tag>
    <b:SourceType>ArticleInAPeriodical</b:SourceType>
    <b:Guid>{E3187967-4088-4D5C-B754-AC693C09A845}</b:Guid>
    <b:Title>Egypt returns $2bn to Qatar in sign of worsening bilateral ties</b:Title>
    <b:Year>2013</b:Year>
    <b:Author>
      <b:Author>
        <b:NameList>
          <b:Person>
            <b:Last>Saleh</b:Last>
            <b:First>Heba</b:First>
          </b:Person>
        </b:NameList>
      </b:Author>
    </b:Author>
    <b:PeriodicalTitle>Financial Times</b:PeriodicalTitle>
    <b:Month>September</b:Month>
    <b:Day>19</b:Day>
    <b:URL>https://www.ft.com/content/194eb1f0-214a-11e3-a92a-00144feab7de</b:URL>
    <b:RefOrder>20</b:RefOrder>
  </b:Source>
  <b:Source>
    <b:Tag>Wol22</b:Tag>
    <b:SourceType>ArticleInAPeriodical</b:SourceType>
    <b:Guid>{ACE313D2-A71D-4A84-BE08-42DF71007491}</b:Guid>
    <b:Author>
      <b:Author>
        <b:NameList>
          <b:Person>
            <b:Last>Wolf</b:Last>
            <b:First>Martin</b:First>
          </b:Person>
        </b:NameList>
      </b:Author>
    </b:Author>
    <b:Title>A new world of currency disorder looms</b:Title>
    <b:PeriodicalTitle>Financial Times</b:PeriodicalTitle>
    <b:Year>2022</b:Year>
    <b:Month>March</b:Month>
    <b:Day>29</b:Day>
    <b:URL>https://www.ft.com/content/f18cf835-02a0-44ff-875f-7de7facba54e</b:URL>
    <b:RefOrder>11</b:RefOrder>
  </b:Source>
  <b:Source>
    <b:Tag>Rug82</b:Tag>
    <b:SourceType>JournalArticle</b:SourceType>
    <b:Guid>{09B6B663-9042-4612-BB64-EC36440366D9}</b:Guid>
    <b:Title>International regimes, transactions, and change: Embedded liberalism in the postwar economic order</b:Title>
    <b:Year>1982</b:Year>
    <b:Pages>379-415</b:Pages>
    <b:Author>
      <b:Author>
        <b:NameList>
          <b:Person>
            <b:Last>Ruggie</b:Last>
            <b:First>John Gerard</b:First>
          </b:Person>
        </b:NameList>
      </b:Author>
    </b:Author>
    <b:JournalName>International Organisation</b:JournalName>
    <b:Volume>36</b:Volume>
    <b:Issue>2</b:Issue>
    <b:RefOrder>16</b:RefOrder>
  </b:Source>
  <b:Source>
    <b:Tag>Dum21</b:Tag>
    <b:SourceType>JournalArticle</b:SourceType>
    <b:Guid>{7D2BFBFA-F9F7-47E2-B2CA-C74954B8060C}</b:Guid>
    <b:Title>Dumping Humpty Dumpty: Blockages and Opportunities for Lebanon’s Economy after the October 2019 Protests</b:Title>
    <b:JournalName>South Atlantic Quarterly</b:JournalName>
    <b:Year>2021</b:Year>
    <b:Pages>456-463</b:Pages>
    <b:Volume>120</b:Volume>
    <b:Issue>2</b:Issue>
    <b:Author>
      <b:Author>
        <b:NameList>
          <b:Person>
            <b:Last>Baumann</b:Last>
            <b:First>Hannes</b:First>
          </b:Person>
        </b:NameList>
      </b:Author>
    </b:Author>
    <b:RefOrder>18</b:RefOrder>
  </b:Source>
  <b:Source>
    <b:Tag>Kuc20</b:Tag>
    <b:SourceType>ArticleInAPeriodical</b:SourceType>
    <b:Guid>{AB25F00E-B45F-40BE-A55F-10909D2D45A6}</b:Guid>
    <b:Title>Qatar offers Turkey relief by tripling FX swap line to $15 billion</b:Title>
    <b:Year>2020</b:Year>
    <b:PeriodicalTitle>Reuters</b:PeriodicalTitle>
    <b:Month>May</b:Month>
    <b:Day>20</b:Day>
    <b:Author>
      <b:Author>
        <b:NameList>
          <b:Person>
            <b:Last>Kucukgocmen</b:Last>
            <b:First>Ali</b:First>
          </b:Person>
          <b:Person>
            <b:Last>Coskun</b:Last>
            <b:First>Orhan</b:First>
          </b:Person>
        </b:NameList>
      </b:Author>
    </b:Author>
    <b:URL>https://www.reuters.com/article/us-turkey-qatar-swap-idUSKBN22W147</b:URL>
    <b:RefOrder>21</b:RefOrder>
  </b:Source>
  <b:Source>
    <b:Tag>AlA22</b:Tag>
    <b:SourceType>ArticleInAPeriodical</b:SourceType>
    <b:Guid>{538E3F9F-E2D4-4C3B-827F-0F917643D70B}</b:Guid>
    <b:Title>Saudi Arabia renews $3bn deposit to Pakistan</b:Title>
    <b:PeriodicalTitle>Financial Times</b:PeriodicalTitle>
    <b:Year>2022</b:Year>
    <b:Month>August</b:Month>
    <b:Day>14</b:Day>
    <b:Author>
      <b:Author>
        <b:NameList>
          <b:Person>
            <b:Last>Al-Atrush</b:Last>
            <b:First>Samer</b:First>
          </b:Person>
          <b:Person>
            <b:Last>Bokhari</b:Last>
            <b:First>Farhan</b:First>
          </b:Person>
        </b:NameList>
      </b:Author>
    </b:Author>
    <b:URL>https://www.ft.com/content/7cce70fe-9ddd-4acb-ac4b-5dc827fd4802?</b:URL>
    <b:RefOrder>22</b:RefOrder>
  </b:Source>
  <b:Source>
    <b:Tag>Eri171</b:Tag>
    <b:SourceType>JournalArticle</b:SourceType>
    <b:Guid>{1117DC90-7A5A-4863-9676-7BC5C1201D38}</b:Guid>
    <b:Title>International political economy and the new Middle East</b:Title>
    <b:Year>2017</b:Year>
    <b:Pages>664-667</b:Pages>
    <b:Author>
      <b:Author>
        <b:NameList>
          <b:Person>
            <b:Last>Snider</b:Last>
            <b:First>Erin</b:First>
          </b:Person>
        </b:NameList>
      </b:Author>
    </b:Author>
    <b:JournalName>PS: Political Science &amp; Politics</b:JournalName>
    <b:Volume>50</b:Volume>
    <b:Issue>3</b:Issue>
    <b:RefOrder>23</b:RefOrder>
  </b:Source>
  <b:Source>
    <b:Tag>Han211</b:Tag>
    <b:SourceType>JournalArticle</b:SourceType>
    <b:Guid>{A50B45CF-A250-49CF-8A87-B817023CC61B}</b:Guid>
    <b:Author>
      <b:Author>
        <b:NameList>
          <b:Person>
            <b:Last>Baumann</b:Last>
            <b:First>Hannes</b:First>
          </b:Person>
        </b:NameList>
      </b:Author>
    </b:Author>
    <b:Title>Avatars of Eurocentrism in international political economy textbooks: The case of the Middle East and North Africa</b:Title>
    <b:JournalName>Politics</b:JournalName>
    <b:Year>2021</b:Year>
    <b:Volume>online first</b:Volume>
    <b:RefOrder>24</b:RefOrder>
  </b:Source>
  <b:Source>
    <b:Tag>Bau23</b:Tag>
    <b:SourceType>JournalArticle</b:SourceType>
    <b:Guid>{16D0EFB6-7A2E-4B5F-BE4C-8FDA93781598}</b:Guid>
    <b:Author>
      <b:Author>
        <b:NameList>
          <b:Person>
            <b:Last>Baumann</b:Last>
            <b:First>Hannes</b:First>
          </b:Person>
          <b:Person>
            <b:Last>Roccu</b:Last>
            <b:First>Roberto</b:First>
          </b:Person>
        </b:NameList>
      </b:Author>
    </b:Author>
    <b:Title>International political economy and the state in the Middle East</b:Title>
    <b:JournalName>Globalizations</b:JournalName>
    <b:Year>2023</b:Year>
    <b:Volume>online first</b:Volume>
    <b:RefOrder>25</b:RefOrder>
  </b:Source>
</b:Sources>
</file>

<file path=customXml/itemProps1.xml><?xml version="1.0" encoding="utf-8"?>
<ds:datastoreItem xmlns:ds="http://schemas.openxmlformats.org/officeDocument/2006/customXml" ds:itemID="{C6D058C2-2522-4102-AF06-9CCEE0ED8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3179</Words>
  <Characters>18123</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21260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Baumann, Hannes</dc:creator>
  <cp:keywords/>
  <dc:description/>
  <cp:lastModifiedBy>Baumann, Hannes</cp:lastModifiedBy>
  <cp:revision>2</cp:revision>
  <dcterms:created xsi:type="dcterms:W3CDTF">2024-01-18T11:11:00Z</dcterms:created>
  <dcterms:modified xsi:type="dcterms:W3CDTF">2024-01-18T11:11:00Z</dcterms:modified>
</cp:coreProperties>
</file>