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8A703" w14:textId="77777777" w:rsidR="002C7722" w:rsidRDefault="00F22ACD">
      <w:bookmarkStart w:id="0" w:name="_GoBack"/>
      <w:bookmarkEnd w:id="0"/>
      <w:r>
        <w:t>Value, Sustainability, and Heritage Impact</w:t>
      </w:r>
    </w:p>
    <w:p w14:paraId="136BDFE1" w14:textId="19CA39C8" w:rsidR="00F22ACD" w:rsidRDefault="00F22ACD">
      <w:r>
        <w:t xml:space="preserve">Christopher D. Dore </w:t>
      </w:r>
      <w:r w:rsidR="002118E1">
        <w:t xml:space="preserve">(Heritage Business International) </w:t>
      </w:r>
      <w:r>
        <w:t>and Kenneth Aitchison</w:t>
      </w:r>
      <w:r w:rsidR="002118E1">
        <w:t xml:space="preserve"> (Landward Research Ltd)</w:t>
      </w:r>
    </w:p>
    <w:p w14:paraId="3860E294" w14:textId="5C37B9C8" w:rsidR="00B27E00" w:rsidRDefault="00F22ACD">
      <w:r>
        <w:t xml:space="preserve">At the CIfA Conference </w:t>
      </w:r>
      <w:r w:rsidR="00683EFA">
        <w:t xml:space="preserve">in Leeds </w:t>
      </w:r>
      <w:r>
        <w:t xml:space="preserve">this year, one of the authors (Dore) made the business case that to have a large heritage impact, organisations must be sustainable. </w:t>
      </w:r>
      <w:r w:rsidR="00683EFA">
        <w:t>And</w:t>
      </w:r>
      <w:r>
        <w:t xml:space="preserve"> to be </w:t>
      </w:r>
      <w:proofErr w:type="spellStart"/>
      <w:r w:rsidR="00B27E00">
        <w:t>organi</w:t>
      </w:r>
      <w:r w:rsidR="00B27E00">
        <w:t>s</w:t>
      </w:r>
      <w:r w:rsidR="00B27E00">
        <w:t>ationally</w:t>
      </w:r>
      <w:proofErr w:type="spellEnd"/>
      <w:r w:rsidR="00B27E00">
        <w:t xml:space="preserve"> </w:t>
      </w:r>
      <w:r>
        <w:t xml:space="preserve">sustainable requires an ongoing increase in financial value. </w:t>
      </w:r>
    </w:p>
    <w:p w14:paraId="2C7880A6" w14:textId="2A16DC72" w:rsidR="00F22ACD" w:rsidRDefault="00F22ACD">
      <w:r>
        <w:t xml:space="preserve">These linkages and prerequisites had little relevance a professional generation ago when archaeology was funded through public sources or </w:t>
      </w:r>
      <w:r w:rsidR="00683EFA">
        <w:t xml:space="preserve">from </w:t>
      </w:r>
      <w:r>
        <w:t xml:space="preserve">wealthy patrons. </w:t>
      </w:r>
      <w:r w:rsidR="00683EFA">
        <w:t>But t</w:t>
      </w:r>
      <w:r w:rsidR="00683EFA">
        <w:t>oday</w:t>
      </w:r>
      <w:r>
        <w:t xml:space="preserve">, within the U.K. and internationally, archaeology has been </w:t>
      </w:r>
      <w:r w:rsidR="00683EFA">
        <w:t>privati</w:t>
      </w:r>
      <w:r w:rsidR="00683EFA">
        <w:t>s</w:t>
      </w:r>
      <w:r w:rsidR="00683EFA">
        <w:t>ed</w:t>
      </w:r>
      <w:r>
        <w:t xml:space="preserve">. </w:t>
      </w:r>
      <w:r w:rsidR="008635FC">
        <w:t xml:space="preserve">Current estimates (Heritage Business International and Landward Research) are that commercial archaeology </w:t>
      </w:r>
      <w:r w:rsidR="006B7479">
        <w:t xml:space="preserve"> had a</w:t>
      </w:r>
      <w:r w:rsidR="008635FC">
        <w:t xml:space="preserve"> global value </w:t>
      </w:r>
      <w:r w:rsidR="006B7479">
        <w:t xml:space="preserve">in 2018 </w:t>
      </w:r>
      <w:r w:rsidR="008635FC">
        <w:t xml:space="preserve">of </w:t>
      </w:r>
      <w:r w:rsidR="00683EFA">
        <w:t>£</w:t>
      </w:r>
      <w:r w:rsidR="008635FC">
        <w:t>1</w:t>
      </w:r>
      <w:r w:rsidR="006B7479">
        <w:t>.5</w:t>
      </w:r>
      <w:r w:rsidR="008635FC">
        <w:t xml:space="preserve"> billion pounds</w:t>
      </w:r>
      <w:r w:rsidR="00683EFA">
        <w:t xml:space="preserve"> </w:t>
      </w:r>
      <w:r w:rsidR="006B7479">
        <w:t>(US$ 1.8bn)</w:t>
      </w:r>
      <w:r w:rsidR="008635FC">
        <w:t>. In private archaeology, growth in financial value is essential for sustainability and impact.</w:t>
      </w:r>
    </w:p>
    <w:p w14:paraId="25EC25D7" w14:textId="760E86F2" w:rsidR="00090566" w:rsidRDefault="008635FC">
      <w:r>
        <w:t xml:space="preserve">While Dore’s CIfA lecture presented the case for value growth and its importance, it didn’t show how value is calculated and measured. Measuring value is the topic of this article. </w:t>
      </w:r>
      <w:r w:rsidR="00090566">
        <w:t xml:space="preserve">Financial value is defined as the intrinsic worth of a financial asset. Within </w:t>
      </w:r>
      <w:r w:rsidR="00683EFA">
        <w:t>privati</w:t>
      </w:r>
      <w:r w:rsidR="00683EFA">
        <w:t>s</w:t>
      </w:r>
      <w:r w:rsidR="00683EFA">
        <w:t xml:space="preserve">ed </w:t>
      </w:r>
      <w:r w:rsidR="00090566">
        <w:t xml:space="preserve">archaeology, a financial asset can be an </w:t>
      </w:r>
      <w:r w:rsidR="00683EFA">
        <w:t>organi</w:t>
      </w:r>
      <w:r w:rsidR="00683EFA">
        <w:t>s</w:t>
      </w:r>
      <w:r w:rsidR="00683EFA">
        <w:t>ation</w:t>
      </w:r>
      <w:r w:rsidR="00090566">
        <w:t>, a department, a project, a person, a business line, etc. Intrinsic worth is derived from the long-term cash flow-generating ability</w:t>
      </w:r>
      <w:r>
        <w:t xml:space="preserve"> </w:t>
      </w:r>
      <w:r w:rsidR="00090566">
        <w:t xml:space="preserve">of the asset. The ability of the asset to generate cash flow, over a period of time, is measured by the </w:t>
      </w:r>
      <w:r w:rsidR="00090566" w:rsidRPr="005B3174">
        <w:rPr>
          <w:b/>
          <w:bCs/>
          <w:u w:val="single"/>
        </w:rPr>
        <w:t>discounted free cash flow</w:t>
      </w:r>
      <w:r w:rsidR="00090566">
        <w:t>.</w:t>
      </w:r>
    </w:p>
    <w:p w14:paraId="6F747228" w14:textId="677B7AFC" w:rsidR="008635FC" w:rsidRDefault="00497F8D">
      <w:r>
        <w:rPr>
          <w:noProof/>
        </w:rPr>
        <mc:AlternateContent>
          <mc:Choice Requires="wps">
            <w:drawing>
              <wp:anchor distT="0" distB="0" distL="114300" distR="114300" simplePos="0" relativeHeight="251659264" behindDoc="0" locked="0" layoutInCell="1" allowOverlap="1" wp14:anchorId="7398DAD7" wp14:editId="4A10661D">
                <wp:simplePos x="0" y="0"/>
                <wp:positionH relativeFrom="margin">
                  <wp:align>center</wp:align>
                </wp:positionH>
                <wp:positionV relativeFrom="paragraph">
                  <wp:posOffset>1439545</wp:posOffset>
                </wp:positionV>
                <wp:extent cx="5724525" cy="552450"/>
                <wp:effectExtent l="0" t="0" r="0" b="0"/>
                <wp:wrapTopAndBottom/>
                <wp:docPr id="5" name="TextBox 4">
                  <a:extLst xmlns:a="http://schemas.openxmlformats.org/drawingml/2006/main">
                    <a:ext uri="{FF2B5EF4-FFF2-40B4-BE49-F238E27FC236}">
                      <a16:creationId xmlns:a16="http://schemas.microsoft.com/office/drawing/2014/main" id="{3AA01827-C928-45DA-AE34-33D54D5198E8}"/>
                    </a:ext>
                  </a:extLst>
                </wp:docPr>
                <wp:cNvGraphicFramePr/>
                <a:graphic xmlns:a="http://schemas.openxmlformats.org/drawingml/2006/main">
                  <a:graphicData uri="http://schemas.microsoft.com/office/word/2010/wordprocessingShape">
                    <wps:wsp>
                      <wps:cNvSpPr txBox="1"/>
                      <wps:spPr>
                        <a:xfrm>
                          <a:off x="0" y="0"/>
                          <a:ext cx="5724525" cy="552450"/>
                        </a:xfrm>
                        <a:prstGeom prst="rect">
                          <a:avLst/>
                        </a:prstGeom>
                        <a:noFill/>
                      </wps:spPr>
                      <wps:txbx>
                        <w:txbxContent>
                          <w:p w14:paraId="14A701CD" w14:textId="77777777" w:rsidR="00497F8D" w:rsidRPr="00497F8D" w:rsidRDefault="00497F8D" w:rsidP="00497F8D">
                            <w:pPr>
                              <w:rPr>
                                <w:sz w:val="8"/>
                                <w:szCs w:val="24"/>
                              </w:rPr>
                            </w:pPr>
                            <m:oMathPara>
                              <m:oMathParaPr>
                                <m:jc m:val="centerGroup"/>
                              </m:oMathParaPr>
                              <m:oMath>
                                <m:r>
                                  <w:rPr>
                                    <w:rFonts w:ascii="Cambria Math" w:hAnsi="Cambria Math"/>
                                    <w:color w:val="000000" w:themeColor="text1"/>
                                    <w:kern w:val="24"/>
                                    <w:sz w:val="24"/>
                                    <w:szCs w:val="56"/>
                                  </w:rPr>
                                  <m:t>Present Value=</m:t>
                                </m:r>
                                <m:f>
                                  <m:fPr>
                                    <m:ctrlPr>
                                      <w:rPr>
                                        <w:rFonts w:ascii="Cambria Math" w:eastAsiaTheme="minorEastAsia" w:hAnsi="Cambria Math"/>
                                        <w:i/>
                                        <w:iCs/>
                                        <w:color w:val="000000" w:themeColor="text1"/>
                                        <w:kern w:val="24"/>
                                        <w:sz w:val="24"/>
                                        <w:szCs w:val="56"/>
                                      </w:rPr>
                                    </m:ctrlPr>
                                  </m:fPr>
                                  <m:num>
                                    <m:r>
                                      <w:rPr>
                                        <w:rFonts w:ascii="Cambria Math" w:hAnsi="Cambria Math"/>
                                        <w:color w:val="000000" w:themeColor="text1"/>
                                        <w:kern w:val="24"/>
                                        <w:sz w:val="24"/>
                                        <w:szCs w:val="56"/>
                                      </w:rPr>
                                      <m:t>1</m:t>
                                    </m:r>
                                  </m:num>
                                  <m:den>
                                    <m:sSup>
                                      <m:sSupPr>
                                        <m:ctrlPr>
                                          <w:rPr>
                                            <w:rFonts w:ascii="Cambria Math" w:eastAsiaTheme="minorEastAsia" w:hAnsi="Cambria Math"/>
                                            <w:i/>
                                            <w:iCs/>
                                            <w:color w:val="000000" w:themeColor="text1"/>
                                            <w:kern w:val="24"/>
                                            <w:sz w:val="24"/>
                                            <w:szCs w:val="56"/>
                                          </w:rPr>
                                        </m:ctrlPr>
                                      </m:sSupPr>
                                      <m:e>
                                        <m:r>
                                          <w:rPr>
                                            <w:rFonts w:ascii="Cambria Math" w:hAnsi="Cambria Math"/>
                                            <w:color w:val="000000" w:themeColor="text1"/>
                                            <w:kern w:val="24"/>
                                            <w:sz w:val="24"/>
                                            <w:szCs w:val="56"/>
                                          </w:rPr>
                                          <m:t>(1+r)</m:t>
                                        </m:r>
                                      </m:e>
                                      <m:sup>
                                        <m:r>
                                          <w:rPr>
                                            <w:rFonts w:ascii="Cambria Math" w:hAnsi="Cambria Math"/>
                                            <w:color w:val="000000" w:themeColor="text1"/>
                                            <w:kern w:val="24"/>
                                            <w:sz w:val="24"/>
                                            <w:szCs w:val="56"/>
                                          </w:rPr>
                                          <m:t>n</m:t>
                                        </m:r>
                                      </m:sup>
                                    </m:sSup>
                                  </m:den>
                                </m:f>
                              </m:oMath>
                            </m:oMathPara>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98DAD7" id="_x0000_t202" coordsize="21600,21600" o:spt="202" path="m,l,21600r21600,l21600,xe">
                <v:stroke joinstyle="miter"/>
                <v:path gradientshapeok="t" o:connecttype="rect"/>
              </v:shapetype>
              <v:shape id="TextBox 4" o:spid="_x0000_s1026" type="#_x0000_t202" style="position:absolute;margin-left:0;margin-top:113.35pt;width:450.75pt;height: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" filled="f" stroked="f">
                <v:textbox inset="0,0,0,0">
                  <w:txbxContent>
                    <w:p w14:paraId="14A701CD" w14:textId="77777777" w:rsidR="00497F8D" w:rsidRPr="00497F8D" w:rsidRDefault="00497F8D" w:rsidP="00497F8D">
                      <w:pPr>
                        <w:rPr>
                          <w:sz w:val="8"/>
                          <w:szCs w:val="24"/>
                        </w:rPr>
                      </w:pPr>
                      <m:oMathPara>
                        <m:oMathParaPr>
                          <m:jc m:val="centerGroup"/>
                        </m:oMathParaPr>
                        <m:oMath>
                          <m:r>
                            <w:rPr>
                              <w:rFonts w:ascii="Cambria Math" w:hAnsi="Cambria Math"/>
                              <w:color w:val="000000" w:themeColor="text1"/>
                              <w:kern w:val="24"/>
                              <w:sz w:val="24"/>
                              <w:szCs w:val="56"/>
                            </w:rPr>
                            <m:t>Present Value=</m:t>
                          </m:r>
                          <m:f>
                            <m:fPr>
                              <m:ctrlPr>
                                <w:rPr>
                                  <w:rFonts w:ascii="Cambria Math" w:eastAsiaTheme="minorEastAsia" w:hAnsi="Cambria Math"/>
                                  <w:i/>
                                  <w:iCs/>
                                  <w:color w:val="000000" w:themeColor="text1"/>
                                  <w:kern w:val="24"/>
                                  <w:sz w:val="24"/>
                                  <w:szCs w:val="56"/>
                                </w:rPr>
                              </m:ctrlPr>
                            </m:fPr>
                            <m:num>
                              <m:r>
                                <w:rPr>
                                  <w:rFonts w:ascii="Cambria Math" w:hAnsi="Cambria Math"/>
                                  <w:color w:val="000000" w:themeColor="text1"/>
                                  <w:kern w:val="24"/>
                                  <w:sz w:val="24"/>
                                  <w:szCs w:val="56"/>
                                </w:rPr>
                                <m:t>1</m:t>
                              </m:r>
                            </m:num>
                            <m:den>
                              <m:sSup>
                                <m:sSupPr>
                                  <m:ctrlPr>
                                    <w:rPr>
                                      <w:rFonts w:ascii="Cambria Math" w:eastAsiaTheme="minorEastAsia" w:hAnsi="Cambria Math"/>
                                      <w:i/>
                                      <w:iCs/>
                                      <w:color w:val="000000" w:themeColor="text1"/>
                                      <w:kern w:val="24"/>
                                      <w:sz w:val="24"/>
                                      <w:szCs w:val="56"/>
                                    </w:rPr>
                                  </m:ctrlPr>
                                </m:sSupPr>
                                <m:e>
                                  <m:r>
                                    <w:rPr>
                                      <w:rFonts w:ascii="Cambria Math" w:hAnsi="Cambria Math"/>
                                      <w:color w:val="000000" w:themeColor="text1"/>
                                      <w:kern w:val="24"/>
                                      <w:sz w:val="24"/>
                                      <w:szCs w:val="56"/>
                                    </w:rPr>
                                    <m:t>(1+r)</m:t>
                                  </m:r>
                                </m:e>
                                <m:sup>
                                  <m:r>
                                    <w:rPr>
                                      <w:rFonts w:ascii="Cambria Math" w:hAnsi="Cambria Math"/>
                                      <w:color w:val="000000" w:themeColor="text1"/>
                                      <w:kern w:val="24"/>
                                      <w:sz w:val="24"/>
                                      <w:szCs w:val="56"/>
                                    </w:rPr>
                                    <m:t>n</m:t>
                                  </m:r>
                                </m:sup>
                              </m:sSup>
                            </m:den>
                          </m:f>
                        </m:oMath>
                      </m:oMathPara>
                    </w:p>
                  </w:txbxContent>
                </v:textbox>
                <w10:wrap type="topAndBottom" anchorx="margin"/>
              </v:shape>
            </w:pict>
          </mc:Fallback>
        </mc:AlternateContent>
      </w:r>
      <w:r w:rsidR="00090566">
        <w:t xml:space="preserve">What is free cash flow and why is it discounted? Free cash flow is cash that is available to an organisation’s financial stakeholders (e.g. creditors and shareholders) after accounting for all capital expenditures such as buildings or property, plant, and equipment. Free cash flow is used by heritage organisations to expand, develop new </w:t>
      </w:r>
      <w:r w:rsidR="00885557">
        <w:t xml:space="preserve">services, make acquisitions, pay dividends, and reduce debt. Discounting is a way to account for the </w:t>
      </w:r>
      <w:r w:rsidR="00683EFA">
        <w:t>‘</w:t>
      </w:r>
      <w:r w:rsidR="00885557">
        <w:t>time value</w:t>
      </w:r>
      <w:r w:rsidR="00683EFA">
        <w:t>’</w:t>
      </w:r>
      <w:r w:rsidR="00885557">
        <w:t xml:space="preserve"> of money. A pound today doesn’t have the same value as a pound five years from now. The value </w:t>
      </w:r>
      <w:r>
        <w:t xml:space="preserve">today </w:t>
      </w:r>
      <w:r w:rsidR="00885557">
        <w:t xml:space="preserve">of a </w:t>
      </w:r>
      <w:r>
        <w:t xml:space="preserve">future amount of money (such as the payment made at the end of an archaeological project) is called the present value and is calculated as </w:t>
      </w:r>
    </w:p>
    <w:p w14:paraId="614C6C8E" w14:textId="77777777" w:rsidR="00497F8D" w:rsidRDefault="00D1539A">
      <w:r>
        <w:rPr>
          <w:noProof/>
        </w:rPr>
        <mc:AlternateContent>
          <mc:Choice Requires="wps">
            <w:drawing>
              <wp:anchor distT="0" distB="0" distL="114300" distR="114300" simplePos="0" relativeHeight="251661312" behindDoc="0" locked="0" layoutInCell="1" allowOverlap="1" wp14:anchorId="722A31AF" wp14:editId="57C10DE5">
                <wp:simplePos x="0" y="0"/>
                <wp:positionH relativeFrom="margin">
                  <wp:align>left</wp:align>
                </wp:positionH>
                <wp:positionV relativeFrom="paragraph">
                  <wp:posOffset>1071245</wp:posOffset>
                </wp:positionV>
                <wp:extent cx="5724525" cy="552450"/>
                <wp:effectExtent l="0" t="0" r="0" b="0"/>
                <wp:wrapTopAndBottom/>
                <wp:docPr id="1" name="TextBox 4"/>
                <wp:cNvGraphicFramePr xmlns:a="http://schemas.openxmlformats.org/drawingml/2006/main"/>
                <a:graphic xmlns:a="http://schemas.openxmlformats.org/drawingml/2006/main">
                  <a:graphicData uri="http://schemas.microsoft.com/office/word/2010/wordprocessingShape">
                    <wps:wsp>
                      <wps:cNvSpPr txBox="1"/>
                      <wps:spPr>
                        <a:xfrm>
                          <a:off x="0" y="0"/>
                          <a:ext cx="5724525" cy="552450"/>
                        </a:xfrm>
                        <a:prstGeom prst="rect">
                          <a:avLst/>
                        </a:prstGeom>
                        <a:noFill/>
                      </wps:spPr>
                      <wps:txbx>
                        <w:txbxContent>
                          <w:p w14:paraId="2F98CE39" w14:textId="77777777" w:rsidR="00D1539A" w:rsidRPr="00497F8D" w:rsidRDefault="00D1539A" w:rsidP="00D1539A">
                            <w:pPr>
                              <w:rPr>
                                <w:sz w:val="8"/>
                                <w:szCs w:val="24"/>
                              </w:rPr>
                            </w:pPr>
                            <m:oMathPara>
                              <m:oMathParaPr>
                                <m:jc m:val="centerGroup"/>
                              </m:oMathParaPr>
                              <m:oMath>
                                <m:r>
                                  <w:rPr>
                                    <w:rFonts w:ascii="Cambria Math" w:hAnsi="Cambria Math"/>
                                    <w:color w:val="000000" w:themeColor="text1"/>
                                    <w:kern w:val="24"/>
                                    <w:sz w:val="24"/>
                                    <w:szCs w:val="56"/>
                                  </w:rPr>
                                  <m:t>£129.39=</m:t>
                                </m:r>
                                <m:f>
                                  <m:fPr>
                                    <m:ctrlPr>
                                      <w:rPr>
                                        <w:rFonts w:ascii="Cambria Math" w:eastAsiaTheme="minorEastAsia" w:hAnsi="Cambria Math"/>
                                        <w:i/>
                                        <w:iCs/>
                                        <w:color w:val="000000" w:themeColor="text1"/>
                                        <w:kern w:val="24"/>
                                        <w:sz w:val="24"/>
                                        <w:szCs w:val="56"/>
                                      </w:rPr>
                                    </m:ctrlPr>
                                  </m:fPr>
                                  <m:num>
                                    <m:r>
                                      <w:rPr>
                                        <w:rFonts w:ascii="Cambria Math" w:hAnsi="Cambria Math"/>
                                        <w:color w:val="000000" w:themeColor="text1"/>
                                        <w:kern w:val="24"/>
                                        <w:sz w:val="24"/>
                                        <w:szCs w:val="56"/>
                                      </w:rPr>
                                      <m:t>£150</m:t>
                                    </m:r>
                                  </m:num>
                                  <m:den>
                                    <m:sSup>
                                      <m:sSupPr>
                                        <m:ctrlPr>
                                          <w:rPr>
                                            <w:rFonts w:ascii="Cambria Math" w:eastAsiaTheme="minorEastAsia" w:hAnsi="Cambria Math"/>
                                            <w:i/>
                                            <w:iCs/>
                                            <w:color w:val="000000" w:themeColor="text1"/>
                                            <w:kern w:val="24"/>
                                            <w:sz w:val="24"/>
                                            <w:szCs w:val="56"/>
                                          </w:rPr>
                                        </m:ctrlPr>
                                      </m:sSupPr>
                                      <m:e>
                                        <m:r>
                                          <w:rPr>
                                            <w:rFonts w:ascii="Cambria Math" w:hAnsi="Cambria Math"/>
                                            <w:color w:val="000000" w:themeColor="text1"/>
                                            <w:kern w:val="24"/>
                                            <w:sz w:val="24"/>
                                            <w:szCs w:val="56"/>
                                          </w:rPr>
                                          <m:t>(1+.03)</m:t>
                                        </m:r>
                                      </m:e>
                                      <m:sup>
                                        <m:r>
                                          <w:rPr>
                                            <w:rFonts w:ascii="Cambria Math" w:hAnsi="Cambria Math"/>
                                            <w:color w:val="000000" w:themeColor="text1"/>
                                            <w:kern w:val="24"/>
                                            <w:sz w:val="24"/>
                                            <w:szCs w:val="56"/>
                                          </w:rPr>
                                          <m:t>5</m:t>
                                        </m:r>
                                      </m:sup>
                                    </m:sSup>
                                  </m:den>
                                </m:f>
                              </m:oMath>
                            </m:oMathPara>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22A31AF" id="_x0000_s1027" type="#_x0000_t202" style="position:absolute;margin-left:0;margin-top:84.35pt;width:450.75pt;height:4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" filled="f" stroked="f">
                <v:textbox inset="0,0,0,0">
                  <w:txbxContent>
                    <w:p w14:paraId="2F98CE39" w14:textId="77777777" w:rsidR="00D1539A" w:rsidRPr="00497F8D" w:rsidRDefault="00D1539A" w:rsidP="00D1539A">
                      <w:pPr>
                        <w:rPr>
                          <w:sz w:val="8"/>
                          <w:szCs w:val="24"/>
                        </w:rPr>
                      </w:pPr>
                      <m:oMathPara>
                        <m:oMathParaPr>
                          <m:jc m:val="centerGroup"/>
                        </m:oMathParaPr>
                        <m:oMath>
                          <m:r>
                            <w:rPr>
                              <w:rFonts w:ascii="Cambria Math" w:hAnsi="Cambria Math"/>
                              <w:color w:val="000000" w:themeColor="text1"/>
                              <w:kern w:val="24"/>
                              <w:sz w:val="24"/>
                              <w:szCs w:val="56"/>
                            </w:rPr>
                            <m:t>£129.39=</m:t>
                          </m:r>
                          <m:f>
                            <m:fPr>
                              <m:ctrlPr>
                                <w:rPr>
                                  <w:rFonts w:ascii="Cambria Math" w:eastAsiaTheme="minorEastAsia" w:hAnsi="Cambria Math"/>
                                  <w:i/>
                                  <w:iCs/>
                                  <w:color w:val="000000" w:themeColor="text1"/>
                                  <w:kern w:val="24"/>
                                  <w:sz w:val="24"/>
                                  <w:szCs w:val="56"/>
                                </w:rPr>
                              </m:ctrlPr>
                            </m:fPr>
                            <m:num>
                              <m:r>
                                <w:rPr>
                                  <w:rFonts w:ascii="Cambria Math" w:hAnsi="Cambria Math"/>
                                  <w:color w:val="000000" w:themeColor="text1"/>
                                  <w:kern w:val="24"/>
                                  <w:sz w:val="24"/>
                                  <w:szCs w:val="56"/>
                                </w:rPr>
                                <m:t>£150</m:t>
                              </m:r>
                            </m:num>
                            <m:den>
                              <m:sSup>
                                <m:sSupPr>
                                  <m:ctrlPr>
                                    <w:rPr>
                                      <w:rFonts w:ascii="Cambria Math" w:eastAsiaTheme="minorEastAsia" w:hAnsi="Cambria Math"/>
                                      <w:i/>
                                      <w:iCs/>
                                      <w:color w:val="000000" w:themeColor="text1"/>
                                      <w:kern w:val="24"/>
                                      <w:sz w:val="24"/>
                                      <w:szCs w:val="56"/>
                                    </w:rPr>
                                  </m:ctrlPr>
                                </m:sSupPr>
                                <m:e>
                                  <m:r>
                                    <w:rPr>
                                      <w:rFonts w:ascii="Cambria Math" w:hAnsi="Cambria Math"/>
                                      <w:color w:val="000000" w:themeColor="text1"/>
                                      <w:kern w:val="24"/>
                                      <w:sz w:val="24"/>
                                      <w:szCs w:val="56"/>
                                    </w:rPr>
                                    <m:t>(1+.03)</m:t>
                                  </m:r>
                                </m:e>
                                <m:sup>
                                  <m:r>
                                    <w:rPr>
                                      <w:rFonts w:ascii="Cambria Math" w:hAnsi="Cambria Math"/>
                                      <w:color w:val="000000" w:themeColor="text1"/>
                                      <w:kern w:val="24"/>
                                      <w:sz w:val="24"/>
                                      <w:szCs w:val="56"/>
                                    </w:rPr>
                                    <m:t>5</m:t>
                                  </m:r>
                                </m:sup>
                              </m:sSup>
                            </m:den>
                          </m:f>
                        </m:oMath>
                      </m:oMathPara>
                    </w:p>
                  </w:txbxContent>
                </v:textbox>
                <w10:wrap type="topAndBottom" anchorx="margin"/>
              </v:shape>
            </w:pict>
          </mc:Fallback>
        </mc:AlternateContent>
      </w:r>
      <w:r w:rsidR="00497F8D">
        <w:t xml:space="preserve">where </w:t>
      </w:r>
      <w:r w:rsidR="00497F8D">
        <w:rPr>
          <w:i/>
        </w:rPr>
        <w:t>r</w:t>
      </w:r>
      <w:r w:rsidR="00497F8D">
        <w:t xml:space="preserve"> is the discount rate and </w:t>
      </w:r>
      <w:r w:rsidR="00497F8D">
        <w:rPr>
          <w:i/>
        </w:rPr>
        <w:t>n</w:t>
      </w:r>
      <w:r w:rsidR="00497F8D">
        <w:t xml:space="preserve"> is the number of periods (typically years). Thus</w:t>
      </w:r>
      <w:r>
        <w:t xml:space="preserve">, if someone gave you </w:t>
      </w:r>
      <w:r>
        <w:rPr>
          <w:rFonts w:cstheme="minorHAnsi"/>
        </w:rPr>
        <w:t>£</w:t>
      </w:r>
      <w:r>
        <w:t xml:space="preserve">150 five years from now, assuming an annual inflation rate of 3 percent, the present value would be </w:t>
      </w:r>
    </w:p>
    <w:p w14:paraId="4BED5F86" w14:textId="0ED797BA" w:rsidR="00D1539A" w:rsidRDefault="00D1539A">
      <w:r>
        <w:t xml:space="preserve">We can use this approach to look at the value growth (called </w:t>
      </w:r>
      <w:r w:rsidRPr="005B3174">
        <w:rPr>
          <w:b/>
          <w:bCs/>
          <w:u w:val="single"/>
        </w:rPr>
        <w:t>real growth</w:t>
      </w:r>
      <w:r>
        <w:t xml:space="preserve">) versus the growth in today’s </w:t>
      </w:r>
      <w:r w:rsidR="00683EFA">
        <w:t>pound</w:t>
      </w:r>
      <w:r w:rsidR="00683EFA">
        <w:t xml:space="preserve">s </w:t>
      </w:r>
      <w:r>
        <w:t>(</w:t>
      </w:r>
      <w:r w:rsidRPr="005B3174">
        <w:rPr>
          <w:b/>
          <w:bCs/>
          <w:u w:val="single"/>
        </w:rPr>
        <w:t>nominal growth</w:t>
      </w:r>
      <w:r>
        <w:t>) for commercial archaeology in the U.K.</w:t>
      </w:r>
    </w:p>
    <w:p w14:paraId="6C766CA5" w14:textId="77777777" w:rsidR="00D1539A" w:rsidRDefault="00D1539A"/>
    <w:p w14:paraId="1632F566" w14:textId="77777777" w:rsidR="00D1539A" w:rsidRDefault="00693675">
      <w:r w:rsidRPr="00D1539A">
        <w:rPr>
          <w:noProof/>
        </w:rPr>
        <w:lastRenderedPageBreak/>
        <w:drawing>
          <wp:inline distT="0" distB="0" distL="0" distR="0" wp14:anchorId="243EE5D5" wp14:editId="1C03D57A">
            <wp:extent cx="5572125" cy="382547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572125" cy="3825479"/>
                    </a:xfrm>
                    <a:prstGeom prst="rect">
                      <a:avLst/>
                    </a:prstGeom>
                  </pic:spPr>
                </pic:pic>
              </a:graphicData>
            </a:graphic>
          </wp:inline>
        </w:drawing>
      </w:r>
    </w:p>
    <w:p w14:paraId="3BFCFC7B" w14:textId="77777777" w:rsidR="00D1539A" w:rsidRDefault="00D1539A">
      <w:r>
        <w:t xml:space="preserve">In Figure 1, the blue line represents </w:t>
      </w:r>
      <w:r w:rsidR="00693675">
        <w:t xml:space="preserve">real </w:t>
      </w:r>
      <w:r>
        <w:t xml:space="preserve">growth </w:t>
      </w:r>
      <w:r w:rsidR="00693675">
        <w:t>(</w:t>
      </w:r>
      <w:r>
        <w:t xml:space="preserve">inflation </w:t>
      </w:r>
      <w:r w:rsidR="00693675">
        <w:t xml:space="preserve">accounted for) and, </w:t>
      </w:r>
      <w:r>
        <w:t xml:space="preserve">thus, everything above the blue line is simply inflation. </w:t>
      </w:r>
    </w:p>
    <w:p w14:paraId="736EDDE3" w14:textId="7EBFB1F6" w:rsidR="00D1539A" w:rsidRDefault="00004F53">
      <w:r>
        <w:rPr>
          <w:noProof/>
        </w:rPr>
        <mc:AlternateContent>
          <mc:Choice Requires="wps">
            <w:drawing>
              <wp:anchor distT="0" distB="0" distL="114300" distR="114300" simplePos="0" relativeHeight="251663360" behindDoc="0" locked="0" layoutInCell="1" allowOverlap="1" wp14:anchorId="5A216C88" wp14:editId="4F4D749F">
                <wp:simplePos x="0" y="0"/>
                <wp:positionH relativeFrom="margin">
                  <wp:align>center</wp:align>
                </wp:positionH>
                <wp:positionV relativeFrom="paragraph">
                  <wp:posOffset>1539240</wp:posOffset>
                </wp:positionV>
                <wp:extent cx="5624425" cy="697627"/>
                <wp:effectExtent l="0" t="0" r="0" b="0"/>
                <wp:wrapTopAndBottom/>
                <wp:docPr id="3" name="TextBox 4"/>
                <wp:cNvGraphicFramePr xmlns:a="http://schemas.openxmlformats.org/drawingml/2006/main"/>
                <a:graphic xmlns:a="http://schemas.openxmlformats.org/drawingml/2006/main">
                  <a:graphicData uri="http://schemas.microsoft.com/office/word/2010/wordprocessingShape">
                    <wps:wsp>
                      <wps:cNvSpPr txBox="1"/>
                      <wps:spPr>
                        <a:xfrm>
                          <a:off x="0" y="0"/>
                          <a:ext cx="5624425" cy="697627"/>
                        </a:xfrm>
                        <a:prstGeom prst="rect">
                          <a:avLst/>
                        </a:prstGeom>
                        <a:noFill/>
                      </wps:spPr>
                      <wps:txbx>
                        <w:txbxContent>
                          <w:p w14:paraId="7F78A268" w14:textId="77777777" w:rsidR="00004F53" w:rsidRPr="00004F53" w:rsidRDefault="00004F53" w:rsidP="00004F53">
                            <w:pPr>
                              <w:jc w:val="center"/>
                              <w:rPr>
                                <w:sz w:val="24"/>
                                <w:szCs w:val="24"/>
                              </w:rPr>
                            </w:pPr>
                            <m:oMathPara>
                              <m:oMathParaPr>
                                <m:jc m:val="centerGroup"/>
                              </m:oMathParaPr>
                              <m:oMath>
                                <m:r>
                                  <w:rPr>
                                    <w:rFonts w:ascii="Cambria Math" w:hAnsi="Cambria Math"/>
                                    <w:color w:val="000000" w:themeColor="text1"/>
                                    <w:kern w:val="24"/>
                                    <w:sz w:val="24"/>
                                    <w:szCs w:val="24"/>
                                  </w:rPr>
                                  <m:t>WACC=</m:t>
                                </m:r>
                                <m:f>
                                  <m:fPr>
                                    <m:ctrlPr>
                                      <w:rPr>
                                        <w:rFonts w:ascii="Cambria Math" w:eastAsiaTheme="minorEastAsia" w:hAnsi="Cambria Math"/>
                                        <w:i/>
                                        <w:iCs/>
                                        <w:color w:val="000000" w:themeColor="text1"/>
                                        <w:kern w:val="24"/>
                                        <w:sz w:val="24"/>
                                        <w:szCs w:val="24"/>
                                      </w:rPr>
                                    </m:ctrlPr>
                                  </m:fPr>
                                  <m:num>
                                    <m:r>
                                      <w:rPr>
                                        <w:rFonts w:ascii="Cambria Math" w:hAnsi="Cambria Math"/>
                                        <w:color w:val="000000" w:themeColor="text1"/>
                                        <w:kern w:val="24"/>
                                        <w:sz w:val="24"/>
                                        <w:szCs w:val="24"/>
                                      </w:rPr>
                                      <m:t>E</m:t>
                                    </m:r>
                                  </m:num>
                                  <m:den>
                                    <m:r>
                                      <w:rPr>
                                        <w:rFonts w:ascii="Cambria Math" w:hAnsi="Cambria Math"/>
                                        <w:color w:val="000000" w:themeColor="text1"/>
                                        <w:kern w:val="24"/>
                                        <w:sz w:val="24"/>
                                        <w:szCs w:val="24"/>
                                      </w:rPr>
                                      <m:t>E+D</m:t>
                                    </m:r>
                                  </m:den>
                                </m:f>
                                <m:d>
                                  <m:dPr>
                                    <m:ctrlPr>
                                      <w:rPr>
                                        <w:rFonts w:ascii="Cambria Math" w:eastAsiaTheme="minorEastAsia" w:hAnsi="Cambria Math"/>
                                        <w:i/>
                                        <w:iCs/>
                                        <w:color w:val="000000" w:themeColor="text1"/>
                                        <w:kern w:val="24"/>
                                        <w:sz w:val="24"/>
                                        <w:szCs w:val="24"/>
                                      </w:rPr>
                                    </m:ctrlPr>
                                  </m:dPr>
                                  <m:e>
                                    <m:r>
                                      <w:rPr>
                                        <w:rFonts w:ascii="Cambria Math" w:hAnsi="Cambria Math"/>
                                        <w:color w:val="000000" w:themeColor="text1"/>
                                        <w:kern w:val="24"/>
                                        <w:sz w:val="24"/>
                                        <w:szCs w:val="24"/>
                                      </w:rPr>
                                      <m:t>Re</m:t>
                                    </m:r>
                                  </m:e>
                                </m:d>
                                <m:r>
                                  <w:rPr>
                                    <w:rFonts w:ascii="Cambria Math" w:hAnsi="Cambria Math"/>
                                    <w:color w:val="000000" w:themeColor="text1"/>
                                    <w:kern w:val="24"/>
                                    <w:sz w:val="24"/>
                                    <w:szCs w:val="24"/>
                                  </w:rPr>
                                  <m:t>+</m:t>
                                </m:r>
                                <m:f>
                                  <m:fPr>
                                    <m:ctrlPr>
                                      <w:rPr>
                                        <w:rFonts w:ascii="Cambria Math" w:eastAsiaTheme="minorEastAsia" w:hAnsi="Cambria Math"/>
                                        <w:i/>
                                        <w:iCs/>
                                        <w:color w:val="000000" w:themeColor="text1"/>
                                        <w:kern w:val="24"/>
                                        <w:sz w:val="24"/>
                                        <w:szCs w:val="24"/>
                                      </w:rPr>
                                    </m:ctrlPr>
                                  </m:fPr>
                                  <m:num>
                                    <m:r>
                                      <w:rPr>
                                        <w:rFonts w:ascii="Cambria Math" w:hAnsi="Cambria Math"/>
                                        <w:color w:val="000000" w:themeColor="text1"/>
                                        <w:kern w:val="24"/>
                                        <w:sz w:val="24"/>
                                        <w:szCs w:val="24"/>
                                      </w:rPr>
                                      <m:t>D</m:t>
                                    </m:r>
                                  </m:num>
                                  <m:den>
                                    <m:r>
                                      <w:rPr>
                                        <w:rFonts w:ascii="Cambria Math" w:hAnsi="Cambria Math"/>
                                        <w:color w:val="000000" w:themeColor="text1"/>
                                        <w:kern w:val="24"/>
                                        <w:sz w:val="24"/>
                                        <w:szCs w:val="24"/>
                                      </w:rPr>
                                      <m:t>E+D</m:t>
                                    </m:r>
                                  </m:den>
                                </m:f>
                                <m:r>
                                  <w:rPr>
                                    <w:rFonts w:ascii="Cambria Math" w:hAnsi="Cambria Math"/>
                                    <w:color w:val="000000" w:themeColor="text1"/>
                                    <w:kern w:val="24"/>
                                    <w:sz w:val="24"/>
                                    <w:szCs w:val="24"/>
                                  </w:rPr>
                                  <m:t>(Rd)(1-T)</m:t>
                                </m:r>
                              </m:oMath>
                            </m:oMathPara>
                          </w:p>
                        </w:txbxContent>
                      </wps:txbx>
                      <wps:bodyPr wrap="none" lIns="0" tIns="0" rIns="0" bIns="0" rtlCol="0">
                        <a:spAutoFit/>
                      </wps:bodyPr>
                    </wps:wsp>
                  </a:graphicData>
                </a:graphic>
              </wp:anchor>
            </w:drawing>
          </mc:Choice>
          <mc:Fallback>
            <w:pict>
              <v:shape w14:anchorId="5A216C88" id="_x0000_s1028" type="#_x0000_t202" style="position:absolute;margin-left:0;margin-top:121.2pt;width:442.85pt;height:54.9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" filled="f" stroked="f">
                <v:textbox style="mso-fit-shape-to-text:t" inset="0,0,0,0">
                  <w:txbxContent>
                    <w:p w14:paraId="7F78A268" w14:textId="77777777" w:rsidR="00004F53" w:rsidRPr="00004F53" w:rsidRDefault="00004F53" w:rsidP="00004F53">
                      <w:pPr>
                        <w:jc w:val="center"/>
                        <w:rPr>
                          <w:sz w:val="24"/>
                          <w:szCs w:val="24"/>
                        </w:rPr>
                      </w:pPr>
                      <m:oMathPara>
                        <m:oMathParaPr>
                          <m:jc m:val="centerGroup"/>
                        </m:oMathParaPr>
                        <m:oMath>
                          <m:r>
                            <w:rPr>
                              <w:rFonts w:ascii="Cambria Math" w:hAnsi="Cambria Math"/>
                              <w:color w:val="000000" w:themeColor="text1"/>
                              <w:kern w:val="24"/>
                              <w:sz w:val="24"/>
                              <w:szCs w:val="24"/>
                            </w:rPr>
                            <m:t>WACC=</m:t>
                          </m:r>
                          <m:f>
                            <m:fPr>
                              <m:ctrlPr>
                                <w:rPr>
                                  <w:rFonts w:ascii="Cambria Math" w:eastAsiaTheme="minorEastAsia" w:hAnsi="Cambria Math"/>
                                  <w:i/>
                                  <w:iCs/>
                                  <w:color w:val="000000" w:themeColor="text1"/>
                                  <w:kern w:val="24"/>
                                  <w:sz w:val="24"/>
                                  <w:szCs w:val="24"/>
                                </w:rPr>
                              </m:ctrlPr>
                            </m:fPr>
                            <m:num>
                              <m:r>
                                <w:rPr>
                                  <w:rFonts w:ascii="Cambria Math" w:hAnsi="Cambria Math"/>
                                  <w:color w:val="000000" w:themeColor="text1"/>
                                  <w:kern w:val="24"/>
                                  <w:sz w:val="24"/>
                                  <w:szCs w:val="24"/>
                                </w:rPr>
                                <m:t>E</m:t>
                              </m:r>
                            </m:num>
                            <m:den>
                              <m:r>
                                <w:rPr>
                                  <w:rFonts w:ascii="Cambria Math" w:hAnsi="Cambria Math"/>
                                  <w:color w:val="000000" w:themeColor="text1"/>
                                  <w:kern w:val="24"/>
                                  <w:sz w:val="24"/>
                                  <w:szCs w:val="24"/>
                                </w:rPr>
                                <m:t>E+D</m:t>
                              </m:r>
                            </m:den>
                          </m:f>
                          <m:d>
                            <m:dPr>
                              <m:ctrlPr>
                                <w:rPr>
                                  <w:rFonts w:ascii="Cambria Math" w:eastAsiaTheme="minorEastAsia" w:hAnsi="Cambria Math"/>
                                  <w:i/>
                                  <w:iCs/>
                                  <w:color w:val="000000" w:themeColor="text1"/>
                                  <w:kern w:val="24"/>
                                  <w:sz w:val="24"/>
                                  <w:szCs w:val="24"/>
                                </w:rPr>
                              </m:ctrlPr>
                            </m:dPr>
                            <m:e>
                              <m:r>
                                <w:rPr>
                                  <w:rFonts w:ascii="Cambria Math" w:hAnsi="Cambria Math"/>
                                  <w:color w:val="000000" w:themeColor="text1"/>
                                  <w:kern w:val="24"/>
                                  <w:sz w:val="24"/>
                                  <w:szCs w:val="24"/>
                                </w:rPr>
                                <m:t>Re</m:t>
                              </m:r>
                            </m:e>
                          </m:d>
                          <m:r>
                            <w:rPr>
                              <w:rFonts w:ascii="Cambria Math" w:hAnsi="Cambria Math"/>
                              <w:color w:val="000000" w:themeColor="text1"/>
                              <w:kern w:val="24"/>
                              <w:sz w:val="24"/>
                              <w:szCs w:val="24"/>
                            </w:rPr>
                            <m:t>+</m:t>
                          </m:r>
                          <m:f>
                            <m:fPr>
                              <m:ctrlPr>
                                <w:rPr>
                                  <w:rFonts w:ascii="Cambria Math" w:eastAsiaTheme="minorEastAsia" w:hAnsi="Cambria Math"/>
                                  <w:i/>
                                  <w:iCs/>
                                  <w:color w:val="000000" w:themeColor="text1"/>
                                  <w:kern w:val="24"/>
                                  <w:sz w:val="24"/>
                                  <w:szCs w:val="24"/>
                                </w:rPr>
                              </m:ctrlPr>
                            </m:fPr>
                            <m:num>
                              <m:r>
                                <w:rPr>
                                  <w:rFonts w:ascii="Cambria Math" w:hAnsi="Cambria Math"/>
                                  <w:color w:val="000000" w:themeColor="text1"/>
                                  <w:kern w:val="24"/>
                                  <w:sz w:val="24"/>
                                  <w:szCs w:val="24"/>
                                </w:rPr>
                                <m:t>D</m:t>
                              </m:r>
                            </m:num>
                            <m:den>
                              <m:r>
                                <w:rPr>
                                  <w:rFonts w:ascii="Cambria Math" w:hAnsi="Cambria Math"/>
                                  <w:color w:val="000000" w:themeColor="text1"/>
                                  <w:kern w:val="24"/>
                                  <w:sz w:val="24"/>
                                  <w:szCs w:val="24"/>
                                </w:rPr>
                                <m:t>E+D</m:t>
                              </m:r>
                            </m:den>
                          </m:f>
                          <m:r>
                            <w:rPr>
                              <w:rFonts w:ascii="Cambria Math" w:hAnsi="Cambria Math"/>
                              <w:color w:val="000000" w:themeColor="text1"/>
                              <w:kern w:val="24"/>
                              <w:sz w:val="24"/>
                              <w:szCs w:val="24"/>
                            </w:rPr>
                            <m:t>(Rd)(1-T)</m:t>
                          </m:r>
                        </m:oMath>
                      </m:oMathPara>
                    </w:p>
                  </w:txbxContent>
                </v:textbox>
                <w10:wrap type="topAndBottom" anchorx="margin"/>
              </v:shape>
            </w:pict>
          </mc:Fallback>
        </mc:AlternateContent>
      </w:r>
      <w:r w:rsidR="00693675">
        <w:t xml:space="preserve">Commercial archaeological </w:t>
      </w:r>
      <w:r w:rsidR="00683EFA">
        <w:t>organi</w:t>
      </w:r>
      <w:r w:rsidR="00683EFA">
        <w:t>s</w:t>
      </w:r>
      <w:r w:rsidR="00683EFA">
        <w:t xml:space="preserve">ations </w:t>
      </w:r>
      <w:r w:rsidR="00693675">
        <w:t>need capital to undertake projects. Typically, clients pay at the end of a project and</w:t>
      </w:r>
      <w:r w:rsidR="00683EFA">
        <w:t>,</w:t>
      </w:r>
      <w:r w:rsidR="00693675">
        <w:t xml:space="preserve"> between the start of the project and getting paid by the client, there are a lot of expenses that </w:t>
      </w:r>
      <w:r w:rsidR="002118E1">
        <w:t>must</w:t>
      </w:r>
      <w:r w:rsidR="00683EFA">
        <w:t xml:space="preserve"> </w:t>
      </w:r>
      <w:r w:rsidR="00693675">
        <w:t xml:space="preserve">be paid. Not least of these are the salaries of the archaeologists doing the work. Thus, capital must be obtained prior to starting the project. </w:t>
      </w:r>
      <w:r w:rsidR="00874B83">
        <w:t>Most heritage companies will borrow this money (purchase debt), issue stock</w:t>
      </w:r>
      <w:r w:rsidR="00265B83">
        <w:t xml:space="preserve"> (sell an ownership stake in the firm), or use retained earnings. Regardless of the source of capital, there is a cost to using it. When all sources of capital are considered, their cost is called the </w:t>
      </w:r>
      <w:r w:rsidR="00265B83" w:rsidRPr="005B3174">
        <w:rPr>
          <w:b/>
          <w:bCs/>
          <w:u w:val="single"/>
        </w:rPr>
        <w:t>Weighted Average Cost of Capital</w:t>
      </w:r>
      <w:r w:rsidR="00265B83">
        <w:t xml:space="preserve"> (WACC). For value purposes, the WACC is what is used for the discount rate in the present value (or net present value) calculation</w:t>
      </w:r>
    </w:p>
    <w:p w14:paraId="7F433A2F" w14:textId="1337D065" w:rsidR="00004F53" w:rsidRDefault="00004F53">
      <w:r>
        <w:t xml:space="preserve">where </w:t>
      </w:r>
      <w:r>
        <w:rPr>
          <w:i/>
        </w:rPr>
        <w:t>Re</w:t>
      </w:r>
      <w:r>
        <w:t xml:space="preserve"> = </w:t>
      </w:r>
      <w:r w:rsidRPr="005B3174">
        <w:rPr>
          <w:i/>
          <w:iCs/>
        </w:rPr>
        <w:t>Cost of Equity</w:t>
      </w:r>
      <w:r>
        <w:t xml:space="preserve"> (%), </w:t>
      </w:r>
      <w:r>
        <w:rPr>
          <w:i/>
        </w:rPr>
        <w:t>Rd</w:t>
      </w:r>
      <w:r>
        <w:t xml:space="preserve"> = </w:t>
      </w:r>
      <w:r w:rsidRPr="005B3174">
        <w:rPr>
          <w:i/>
          <w:iCs/>
        </w:rPr>
        <w:t>Cost of Debt</w:t>
      </w:r>
      <w:r>
        <w:t xml:space="preserve"> (%), </w:t>
      </w:r>
      <w:r>
        <w:rPr>
          <w:i/>
        </w:rPr>
        <w:t>E</w:t>
      </w:r>
      <w:r>
        <w:t xml:space="preserve"> = </w:t>
      </w:r>
      <w:r w:rsidRPr="005B3174">
        <w:rPr>
          <w:i/>
          <w:iCs/>
        </w:rPr>
        <w:t>Market Value of Equity</w:t>
      </w:r>
      <w:r>
        <w:t xml:space="preserve"> (</w:t>
      </w:r>
      <w:r>
        <w:rPr>
          <w:rFonts w:cstheme="minorHAnsi"/>
        </w:rPr>
        <w:t>£</w:t>
      </w:r>
      <w:r>
        <w:t xml:space="preserve">), </w:t>
      </w:r>
      <w:r>
        <w:rPr>
          <w:i/>
        </w:rPr>
        <w:t>D</w:t>
      </w:r>
      <w:r>
        <w:t xml:space="preserve"> = </w:t>
      </w:r>
      <w:r w:rsidRPr="005B3174">
        <w:rPr>
          <w:i/>
          <w:iCs/>
        </w:rPr>
        <w:t>Market Value of Debt</w:t>
      </w:r>
      <w:r>
        <w:t xml:space="preserve"> (</w:t>
      </w:r>
      <w:r>
        <w:rPr>
          <w:rFonts w:cstheme="minorHAnsi"/>
        </w:rPr>
        <w:t>£</w:t>
      </w:r>
      <w:r>
        <w:t xml:space="preserve">), and </w:t>
      </w:r>
      <w:r>
        <w:rPr>
          <w:i/>
        </w:rPr>
        <w:t>T</w:t>
      </w:r>
      <w:r>
        <w:t xml:space="preserve"> = </w:t>
      </w:r>
      <w:r w:rsidRPr="005B3174">
        <w:rPr>
          <w:i/>
          <w:iCs/>
        </w:rPr>
        <w:t>Corporate</w:t>
      </w:r>
      <w:r w:rsidR="004D07AE">
        <w:t xml:space="preserve"> (</w:t>
      </w:r>
      <w:r w:rsidR="00683EFA">
        <w:t>Corporat</w:t>
      </w:r>
      <w:r w:rsidR="00683EFA">
        <w:t>ion</w:t>
      </w:r>
      <w:r w:rsidR="004D07AE">
        <w:t>)</w:t>
      </w:r>
      <w:r w:rsidR="00683EFA">
        <w:t xml:space="preserve"> </w:t>
      </w:r>
      <w:r w:rsidRPr="005B3174">
        <w:rPr>
          <w:i/>
          <w:iCs/>
        </w:rPr>
        <w:t>Tax Rate</w:t>
      </w:r>
      <w:r>
        <w:t xml:space="preserve"> (%)</w:t>
      </w:r>
      <w:r w:rsidR="00683EFA">
        <w:t xml:space="preserve"> (</w:t>
      </w:r>
      <w:r w:rsidR="002118E1">
        <w:t>the fact</w:t>
      </w:r>
      <w:r w:rsidR="00683EFA">
        <w:t xml:space="preserve"> that some heritage organisations are constituted to not pay Corporation Tax</w:t>
      </w:r>
      <w:r w:rsidR="002118E1">
        <w:t xml:space="preserve"> is discussed below</w:t>
      </w:r>
      <w:r w:rsidR="00683EFA">
        <w:t>)</w:t>
      </w:r>
      <w:r>
        <w:t>.</w:t>
      </w:r>
    </w:p>
    <w:p w14:paraId="511C0C7E" w14:textId="77777777" w:rsidR="00004F53" w:rsidRDefault="00004F53">
      <w:r>
        <w:t xml:space="preserve">Let’s start with debt, and in this case it is long-term (more than a year) debt that is of </w:t>
      </w:r>
      <w:r w:rsidR="006B6A1A">
        <w:t>interest</w:t>
      </w:r>
      <w:r>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6B6A1A" w14:paraId="4F7CB47D" w14:textId="77777777" w:rsidTr="006B6A1A">
        <w:tc>
          <w:tcPr>
            <w:tcW w:w="1870" w:type="dxa"/>
          </w:tcPr>
          <w:p w14:paraId="3C181B82" w14:textId="77777777" w:rsidR="006B6A1A" w:rsidRDefault="006B6A1A">
            <w:r>
              <w:t>Debt</w:t>
            </w:r>
          </w:p>
        </w:tc>
        <w:tc>
          <w:tcPr>
            <w:tcW w:w="1870" w:type="dxa"/>
          </w:tcPr>
          <w:p w14:paraId="03E42CFC" w14:textId="77777777" w:rsidR="006B6A1A" w:rsidRDefault="006B6A1A">
            <w:r>
              <w:t>Amount</w:t>
            </w:r>
          </w:p>
        </w:tc>
        <w:tc>
          <w:tcPr>
            <w:tcW w:w="1870" w:type="dxa"/>
          </w:tcPr>
          <w:p w14:paraId="639E8275" w14:textId="77777777" w:rsidR="006B6A1A" w:rsidRDefault="006B6A1A">
            <w:r>
              <w:t>Cost (Interest)</w:t>
            </w:r>
          </w:p>
        </w:tc>
        <w:tc>
          <w:tcPr>
            <w:tcW w:w="1870" w:type="dxa"/>
          </w:tcPr>
          <w:p w14:paraId="52FFA436" w14:textId="77777777" w:rsidR="006B6A1A" w:rsidRDefault="006B6A1A">
            <w:r>
              <w:t>Cost (Pounds)</w:t>
            </w:r>
          </w:p>
        </w:tc>
        <w:tc>
          <w:tcPr>
            <w:tcW w:w="1870" w:type="dxa"/>
          </w:tcPr>
          <w:p w14:paraId="344B8010" w14:textId="77777777" w:rsidR="006B6A1A" w:rsidRDefault="006B6A1A">
            <w:r>
              <w:t>Weighted Percent</w:t>
            </w:r>
          </w:p>
        </w:tc>
      </w:tr>
      <w:tr w:rsidR="006B6A1A" w14:paraId="4D68988A" w14:textId="77777777" w:rsidTr="006B6A1A">
        <w:tc>
          <w:tcPr>
            <w:tcW w:w="1870" w:type="dxa"/>
          </w:tcPr>
          <w:p w14:paraId="7E24EE9B" w14:textId="77777777" w:rsidR="006B6A1A" w:rsidRDefault="006B6A1A">
            <w:r>
              <w:t>Bank Loan 1</w:t>
            </w:r>
          </w:p>
        </w:tc>
        <w:tc>
          <w:tcPr>
            <w:tcW w:w="1870" w:type="dxa"/>
          </w:tcPr>
          <w:p w14:paraId="69E2B049" w14:textId="77777777" w:rsidR="006B6A1A" w:rsidRDefault="006B6A1A" w:rsidP="002F1283">
            <w:pPr>
              <w:jc w:val="right"/>
            </w:pPr>
            <w:r>
              <w:rPr>
                <w:rFonts w:cstheme="minorHAnsi"/>
              </w:rPr>
              <w:t>£21,734</w:t>
            </w:r>
          </w:p>
        </w:tc>
        <w:tc>
          <w:tcPr>
            <w:tcW w:w="1870" w:type="dxa"/>
          </w:tcPr>
          <w:p w14:paraId="3891C3A7" w14:textId="77777777" w:rsidR="006B6A1A" w:rsidRDefault="006B6A1A" w:rsidP="002F1283">
            <w:pPr>
              <w:jc w:val="right"/>
            </w:pPr>
            <w:r>
              <w:t>6.50%</w:t>
            </w:r>
          </w:p>
        </w:tc>
        <w:tc>
          <w:tcPr>
            <w:tcW w:w="1870" w:type="dxa"/>
          </w:tcPr>
          <w:p w14:paraId="4B0B9D0F" w14:textId="77777777" w:rsidR="006B6A1A" w:rsidRDefault="006B6A1A" w:rsidP="002F1283">
            <w:pPr>
              <w:jc w:val="right"/>
            </w:pPr>
            <w:r>
              <w:rPr>
                <w:rFonts w:cstheme="minorHAnsi"/>
              </w:rPr>
              <w:t>£1,413</w:t>
            </w:r>
          </w:p>
        </w:tc>
        <w:tc>
          <w:tcPr>
            <w:tcW w:w="1870" w:type="dxa"/>
          </w:tcPr>
          <w:p w14:paraId="1795158E" w14:textId="77777777" w:rsidR="006B6A1A" w:rsidRDefault="006B6A1A" w:rsidP="002F1283">
            <w:pPr>
              <w:jc w:val="right"/>
            </w:pPr>
          </w:p>
        </w:tc>
      </w:tr>
      <w:tr w:rsidR="006B6A1A" w14:paraId="7557FE8C" w14:textId="77777777" w:rsidTr="006B6A1A">
        <w:tc>
          <w:tcPr>
            <w:tcW w:w="1870" w:type="dxa"/>
          </w:tcPr>
          <w:p w14:paraId="40B0C990" w14:textId="77777777" w:rsidR="006B6A1A" w:rsidRDefault="006B6A1A">
            <w:r>
              <w:t>Bank Loat 2</w:t>
            </w:r>
          </w:p>
        </w:tc>
        <w:tc>
          <w:tcPr>
            <w:tcW w:w="1870" w:type="dxa"/>
          </w:tcPr>
          <w:p w14:paraId="59317493" w14:textId="77777777" w:rsidR="006B6A1A" w:rsidRDefault="006B6A1A" w:rsidP="002F1283">
            <w:pPr>
              <w:jc w:val="right"/>
            </w:pPr>
            <w:r>
              <w:rPr>
                <w:rFonts w:cstheme="minorHAnsi"/>
              </w:rPr>
              <w:t>£7,569</w:t>
            </w:r>
          </w:p>
        </w:tc>
        <w:tc>
          <w:tcPr>
            <w:tcW w:w="1870" w:type="dxa"/>
          </w:tcPr>
          <w:p w14:paraId="59520E62" w14:textId="77777777" w:rsidR="006B6A1A" w:rsidRDefault="006B6A1A" w:rsidP="002F1283">
            <w:pPr>
              <w:jc w:val="right"/>
            </w:pPr>
            <w:r>
              <w:t>5.50%</w:t>
            </w:r>
          </w:p>
        </w:tc>
        <w:tc>
          <w:tcPr>
            <w:tcW w:w="1870" w:type="dxa"/>
          </w:tcPr>
          <w:p w14:paraId="3BFE9D6B" w14:textId="77777777" w:rsidR="006B6A1A" w:rsidRDefault="006B6A1A" w:rsidP="002F1283">
            <w:pPr>
              <w:jc w:val="right"/>
            </w:pPr>
            <w:r>
              <w:rPr>
                <w:rFonts w:cstheme="minorHAnsi"/>
              </w:rPr>
              <w:t>£416</w:t>
            </w:r>
          </w:p>
        </w:tc>
        <w:tc>
          <w:tcPr>
            <w:tcW w:w="1870" w:type="dxa"/>
          </w:tcPr>
          <w:p w14:paraId="31E9E737" w14:textId="77777777" w:rsidR="006B6A1A" w:rsidRDefault="006B6A1A" w:rsidP="002F1283">
            <w:pPr>
              <w:jc w:val="right"/>
            </w:pPr>
          </w:p>
        </w:tc>
      </w:tr>
      <w:tr w:rsidR="006B6A1A" w14:paraId="11D1FD52" w14:textId="77777777" w:rsidTr="006B6A1A">
        <w:tc>
          <w:tcPr>
            <w:tcW w:w="1870" w:type="dxa"/>
          </w:tcPr>
          <w:p w14:paraId="4BCD2B55" w14:textId="77777777" w:rsidR="006B6A1A" w:rsidRDefault="006B6A1A">
            <w:r>
              <w:t>Car Loan</w:t>
            </w:r>
          </w:p>
        </w:tc>
        <w:tc>
          <w:tcPr>
            <w:tcW w:w="1870" w:type="dxa"/>
          </w:tcPr>
          <w:p w14:paraId="19043A11" w14:textId="77777777" w:rsidR="006B6A1A" w:rsidRDefault="006B6A1A" w:rsidP="002F1283">
            <w:pPr>
              <w:jc w:val="right"/>
            </w:pPr>
            <w:r>
              <w:rPr>
                <w:rFonts w:cstheme="minorHAnsi"/>
              </w:rPr>
              <w:t>£15,468</w:t>
            </w:r>
          </w:p>
        </w:tc>
        <w:tc>
          <w:tcPr>
            <w:tcW w:w="1870" w:type="dxa"/>
          </w:tcPr>
          <w:p w14:paraId="52345E04" w14:textId="77777777" w:rsidR="006B6A1A" w:rsidRDefault="006B6A1A" w:rsidP="002F1283">
            <w:pPr>
              <w:jc w:val="right"/>
            </w:pPr>
            <w:r>
              <w:t>4.25%</w:t>
            </w:r>
          </w:p>
        </w:tc>
        <w:tc>
          <w:tcPr>
            <w:tcW w:w="1870" w:type="dxa"/>
          </w:tcPr>
          <w:p w14:paraId="3E079000" w14:textId="77777777" w:rsidR="006B6A1A" w:rsidRDefault="006B6A1A" w:rsidP="002F1283">
            <w:pPr>
              <w:jc w:val="right"/>
            </w:pPr>
            <w:r>
              <w:rPr>
                <w:rFonts w:cstheme="minorHAnsi"/>
              </w:rPr>
              <w:t>£657</w:t>
            </w:r>
          </w:p>
        </w:tc>
        <w:tc>
          <w:tcPr>
            <w:tcW w:w="1870" w:type="dxa"/>
          </w:tcPr>
          <w:p w14:paraId="432C33F4" w14:textId="77777777" w:rsidR="006B6A1A" w:rsidRDefault="006B6A1A" w:rsidP="002F1283">
            <w:pPr>
              <w:jc w:val="right"/>
            </w:pPr>
          </w:p>
        </w:tc>
      </w:tr>
      <w:tr w:rsidR="006B6A1A" w14:paraId="49C9F971" w14:textId="77777777" w:rsidTr="006B6A1A">
        <w:tc>
          <w:tcPr>
            <w:tcW w:w="1870" w:type="dxa"/>
          </w:tcPr>
          <w:p w14:paraId="3FEFF8EC" w14:textId="1B1B2195" w:rsidR="006B6A1A" w:rsidRDefault="006B6A1A">
            <w:r>
              <w:lastRenderedPageBreak/>
              <w:t xml:space="preserve">Loan from </w:t>
            </w:r>
            <w:r w:rsidR="00683EFA">
              <w:t>Director</w:t>
            </w:r>
          </w:p>
        </w:tc>
        <w:tc>
          <w:tcPr>
            <w:tcW w:w="1870" w:type="dxa"/>
          </w:tcPr>
          <w:p w14:paraId="742D502C" w14:textId="77777777" w:rsidR="006B6A1A" w:rsidRDefault="006B6A1A" w:rsidP="002F1283">
            <w:pPr>
              <w:jc w:val="right"/>
            </w:pPr>
            <w:r>
              <w:rPr>
                <w:rFonts w:cstheme="minorHAnsi"/>
              </w:rPr>
              <w:t>£10,000</w:t>
            </w:r>
          </w:p>
        </w:tc>
        <w:tc>
          <w:tcPr>
            <w:tcW w:w="1870" w:type="dxa"/>
          </w:tcPr>
          <w:p w14:paraId="09698B0B" w14:textId="77777777" w:rsidR="006B6A1A" w:rsidRDefault="006B6A1A" w:rsidP="002F1283">
            <w:pPr>
              <w:jc w:val="right"/>
            </w:pPr>
            <w:r>
              <w:t>2.35%</w:t>
            </w:r>
          </w:p>
        </w:tc>
        <w:tc>
          <w:tcPr>
            <w:tcW w:w="1870" w:type="dxa"/>
          </w:tcPr>
          <w:p w14:paraId="3107DD91" w14:textId="77777777" w:rsidR="006B6A1A" w:rsidRDefault="006B6A1A" w:rsidP="002F1283">
            <w:pPr>
              <w:jc w:val="right"/>
            </w:pPr>
            <w:r>
              <w:rPr>
                <w:rFonts w:cstheme="minorHAnsi"/>
              </w:rPr>
              <w:t>£235</w:t>
            </w:r>
          </w:p>
        </w:tc>
        <w:tc>
          <w:tcPr>
            <w:tcW w:w="1870" w:type="dxa"/>
          </w:tcPr>
          <w:p w14:paraId="15CBE2D6" w14:textId="77777777" w:rsidR="006B6A1A" w:rsidRDefault="006B6A1A" w:rsidP="002F1283">
            <w:pPr>
              <w:jc w:val="right"/>
            </w:pPr>
          </w:p>
        </w:tc>
      </w:tr>
      <w:tr w:rsidR="006B6A1A" w14:paraId="445E0AC6" w14:textId="77777777" w:rsidTr="006B6A1A">
        <w:tc>
          <w:tcPr>
            <w:tcW w:w="1870" w:type="dxa"/>
          </w:tcPr>
          <w:p w14:paraId="64734BC0" w14:textId="77777777" w:rsidR="006B6A1A" w:rsidRDefault="006B6A1A">
            <w:r>
              <w:t>TOTAL</w:t>
            </w:r>
          </w:p>
        </w:tc>
        <w:tc>
          <w:tcPr>
            <w:tcW w:w="1870" w:type="dxa"/>
          </w:tcPr>
          <w:p w14:paraId="362DED93" w14:textId="77777777" w:rsidR="006B6A1A" w:rsidRDefault="006B6A1A" w:rsidP="002F1283">
            <w:pPr>
              <w:jc w:val="right"/>
            </w:pPr>
            <w:r>
              <w:rPr>
                <w:rFonts w:cstheme="minorHAnsi"/>
              </w:rPr>
              <w:t>£54,771</w:t>
            </w:r>
          </w:p>
        </w:tc>
        <w:tc>
          <w:tcPr>
            <w:tcW w:w="1870" w:type="dxa"/>
          </w:tcPr>
          <w:p w14:paraId="1AFFFEAA" w14:textId="77777777" w:rsidR="006B6A1A" w:rsidRDefault="006B6A1A" w:rsidP="002F1283">
            <w:pPr>
              <w:jc w:val="right"/>
            </w:pPr>
          </w:p>
        </w:tc>
        <w:tc>
          <w:tcPr>
            <w:tcW w:w="1870" w:type="dxa"/>
          </w:tcPr>
          <w:p w14:paraId="69D98690" w14:textId="77777777" w:rsidR="006B6A1A" w:rsidRDefault="005A47DD" w:rsidP="002F1283">
            <w:pPr>
              <w:jc w:val="right"/>
            </w:pPr>
            <w:r>
              <w:rPr>
                <w:rFonts w:cstheme="minorHAnsi"/>
              </w:rPr>
              <w:t>£2,721</w:t>
            </w:r>
          </w:p>
        </w:tc>
        <w:tc>
          <w:tcPr>
            <w:tcW w:w="1870" w:type="dxa"/>
          </w:tcPr>
          <w:p w14:paraId="590C351A" w14:textId="77777777" w:rsidR="006B6A1A" w:rsidRDefault="005A47DD" w:rsidP="002F1283">
            <w:pPr>
              <w:jc w:val="right"/>
            </w:pPr>
            <w:r>
              <w:t>4.97%</w:t>
            </w:r>
          </w:p>
        </w:tc>
      </w:tr>
    </w:tbl>
    <w:p w14:paraId="66D03015" w14:textId="77777777" w:rsidR="006B6A1A" w:rsidRDefault="006B6A1A"/>
    <w:p w14:paraId="5BD193E2" w14:textId="77777777" w:rsidR="00FD6657" w:rsidRPr="00004F53" w:rsidRDefault="00FD6657">
      <w:r>
        <w:t>We now have two of the figures we need for the WACC equation:  market value of debt (</w:t>
      </w:r>
      <w:bookmarkStart w:id="1" w:name="_Hlk14937649"/>
      <w:r>
        <w:rPr>
          <w:rFonts w:cstheme="minorHAnsi"/>
        </w:rPr>
        <w:t>£54,771</w:t>
      </w:r>
      <w:bookmarkEnd w:id="1"/>
      <w:r>
        <w:rPr>
          <w:rFonts w:cstheme="minorHAnsi"/>
        </w:rPr>
        <w:t>) and the cost of debt (4.97%).</w:t>
      </w:r>
    </w:p>
    <w:p w14:paraId="1223216B" w14:textId="1D3B5A06" w:rsidR="00004F53" w:rsidRDefault="00E62B55" w:rsidP="00E62B55">
      <w:pPr>
        <w:spacing w:before="240"/>
      </w:pPr>
      <w:r>
        <w:rPr>
          <w:noProof/>
        </w:rPr>
        <mc:AlternateContent>
          <mc:Choice Requires="wps">
            <w:drawing>
              <wp:anchor distT="0" distB="0" distL="114300" distR="114300" simplePos="0" relativeHeight="251667456" behindDoc="0" locked="0" layoutInCell="1" allowOverlap="1" wp14:anchorId="697FE215" wp14:editId="6A11362A">
                <wp:simplePos x="0" y="0"/>
                <wp:positionH relativeFrom="margin">
                  <wp:align>center</wp:align>
                </wp:positionH>
                <wp:positionV relativeFrom="paragraph">
                  <wp:posOffset>2128520</wp:posOffset>
                </wp:positionV>
                <wp:extent cx="5541010" cy="464820"/>
                <wp:effectExtent l="0" t="0" r="0" b="0"/>
                <wp:wrapTopAndBottom/>
                <wp:docPr id="6" name="TextBox 4"/>
                <wp:cNvGraphicFramePr xmlns:a="http://schemas.openxmlformats.org/drawingml/2006/main"/>
                <a:graphic xmlns:a="http://schemas.openxmlformats.org/drawingml/2006/main">
                  <a:graphicData uri="http://schemas.microsoft.com/office/word/2010/wordprocessingShape">
                    <wps:wsp>
                      <wps:cNvSpPr txBox="1"/>
                      <wps:spPr>
                        <a:xfrm>
                          <a:off x="0" y="0"/>
                          <a:ext cx="5541010" cy="464820"/>
                        </a:xfrm>
                        <a:prstGeom prst="rect">
                          <a:avLst/>
                        </a:prstGeom>
                        <a:noFill/>
                      </wps:spPr>
                      <wps:txbx>
                        <w:txbxContent>
                          <w:p w14:paraId="373A5A54" w14:textId="77777777" w:rsidR="00E62B55" w:rsidRPr="00E62B55" w:rsidRDefault="00BB15F7" w:rsidP="00E62B55">
                            <w:pPr>
                              <w:rPr>
                                <w:sz w:val="24"/>
                                <w:szCs w:val="24"/>
                              </w:rPr>
                            </w:pPr>
                            <m:oMathPara>
                              <m:oMathParaPr>
                                <m:jc m:val="left"/>
                              </m:oMathParaPr>
                              <m:oMath>
                                <m:r>
                                  <w:rPr>
                                    <w:rFonts w:ascii="Cambria Math" w:hAnsi="Cambria Math"/>
                                    <w:color w:val="000000" w:themeColor="text1"/>
                                    <w:kern w:val="24"/>
                                    <w:sz w:val="24"/>
                                    <w:szCs w:val="24"/>
                                  </w:rPr>
                                  <m:t>5.91=3.7+1.19</m:t>
                                </m:r>
                                <m:r>
                                  <w:rPr>
                                    <w:rFonts w:ascii="Cambria Math" w:eastAsia="Cambria Math" w:hAnsi="Cambria Math"/>
                                    <w:color w:val="000000" w:themeColor="text1"/>
                                    <w:kern w:val="24"/>
                                    <w:sz w:val="24"/>
                                    <w:szCs w:val="24"/>
                                  </w:rPr>
                                  <m:t>(5.56-3.7)</m:t>
                                </m:r>
                              </m:oMath>
                            </m:oMathPara>
                          </w:p>
                        </w:txbxContent>
                      </wps:txbx>
                      <wps:bodyPr wrap="none" lIns="0" tIns="0" rIns="0" bIns="0" rtlCol="0">
                        <a:spAutoFit/>
                      </wps:bodyPr>
                    </wps:wsp>
                  </a:graphicData>
                </a:graphic>
              </wp:anchor>
            </w:drawing>
          </mc:Choice>
          <mc:Fallback>
            <w:pict>
              <v:shape w14:anchorId="697FE215" id="_x0000_s1029" type="#_x0000_t202" style="position:absolute;margin-left:0;margin-top:167.6pt;width:436.3pt;height:36.6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" filled="f" stroked="f">
                <v:textbox style="mso-fit-shape-to-text:t" inset="0,0,0,0">
                  <w:txbxContent>
                    <w:p w14:paraId="373A5A54" w14:textId="77777777" w:rsidR="00E62B55" w:rsidRPr="00E62B55" w:rsidRDefault="00BB15F7" w:rsidP="00E62B55">
                      <w:pPr>
                        <w:rPr>
                          <w:sz w:val="24"/>
                          <w:szCs w:val="24"/>
                        </w:rPr>
                      </w:pPr>
                      <m:oMathPara>
                        <m:oMathParaPr>
                          <m:jc m:val="left"/>
                        </m:oMathParaPr>
                        <m:oMath>
                          <m:r>
                            <w:rPr>
                              <w:rFonts w:ascii="Cambria Math" w:hAnsi="Cambria Math"/>
                              <w:color w:val="000000" w:themeColor="text1"/>
                              <w:kern w:val="24"/>
                              <w:sz w:val="24"/>
                              <w:szCs w:val="24"/>
                            </w:rPr>
                            <m:t>5.91=3.7+1.19</m:t>
                          </m:r>
                          <m:r>
                            <w:rPr>
                              <w:rFonts w:ascii="Cambria Math" w:eastAsia="Cambria Math" w:hAnsi="Cambria Math"/>
                              <w:color w:val="000000" w:themeColor="text1"/>
                              <w:kern w:val="24"/>
                              <w:sz w:val="24"/>
                              <w:szCs w:val="24"/>
                            </w:rPr>
                            <m:t>(5.56-3.7)</m:t>
                          </m:r>
                        </m:oMath>
                      </m:oMathPara>
                    </w:p>
                  </w:txbxContent>
                </v:textbox>
                <w10:wrap type="topAndBottom" anchorx="margin"/>
              </v:shape>
            </w:pict>
          </mc:Fallback>
        </mc:AlternateContent>
      </w:r>
      <w:r>
        <w:rPr>
          <w:noProof/>
        </w:rPr>
        <mc:AlternateContent>
          <mc:Choice Requires="wps">
            <w:drawing>
              <wp:anchor distT="0" distB="0" distL="114300" distR="114300" simplePos="0" relativeHeight="251665408" behindDoc="0" locked="0" layoutInCell="1" allowOverlap="1" wp14:anchorId="3157D0BC" wp14:editId="10EF9038">
                <wp:simplePos x="0" y="0"/>
                <wp:positionH relativeFrom="margin">
                  <wp:align>center</wp:align>
                </wp:positionH>
                <wp:positionV relativeFrom="paragraph">
                  <wp:posOffset>1757045</wp:posOffset>
                </wp:positionV>
                <wp:extent cx="5541582" cy="465384"/>
                <wp:effectExtent l="0" t="0" r="0" b="0"/>
                <wp:wrapTopAndBottom/>
                <wp:docPr id="4" name="TextBox 4"/>
                <wp:cNvGraphicFramePr xmlns:a="http://schemas.openxmlformats.org/drawingml/2006/main"/>
                <a:graphic xmlns:a="http://schemas.openxmlformats.org/drawingml/2006/main">
                  <a:graphicData uri="http://schemas.microsoft.com/office/word/2010/wordprocessingShape">
                    <wps:wsp>
                      <wps:cNvSpPr txBox="1"/>
                      <wps:spPr>
                        <a:xfrm>
                          <a:off x="0" y="0"/>
                          <a:ext cx="5541582" cy="465384"/>
                        </a:xfrm>
                        <a:prstGeom prst="rect">
                          <a:avLst/>
                        </a:prstGeom>
                        <a:noFill/>
                      </wps:spPr>
                      <wps:txbx>
                        <w:txbxContent>
                          <w:p w14:paraId="4EBF8B50" w14:textId="77777777" w:rsidR="00E62B55" w:rsidRPr="00E62B55" w:rsidRDefault="00E62B55" w:rsidP="00E62B55">
                            <w:pPr>
                              <w:rPr>
                                <w:sz w:val="24"/>
                                <w:szCs w:val="24"/>
                              </w:rPr>
                            </w:pPr>
                            <m:oMathPara>
                              <m:oMathParaPr>
                                <m:jc m:val="left"/>
                              </m:oMathParaPr>
                              <m:oMath>
                                <m:r>
                                  <w:rPr>
                                    <w:rFonts w:ascii="Cambria Math" w:hAnsi="Cambria Math"/>
                                    <w:color w:val="000000" w:themeColor="text1"/>
                                    <w:kern w:val="24"/>
                                    <w:sz w:val="24"/>
                                    <w:szCs w:val="24"/>
                                  </w:rPr>
                                  <m:t>Cost of Equity=</m:t>
                                </m:r>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R</m:t>
                                    </m:r>
                                  </m:e>
                                  <m:sub>
                                    <m:r>
                                      <w:rPr>
                                        <w:rFonts w:ascii="Cambria Math" w:hAnsi="Cambria Math"/>
                                        <w:color w:val="000000" w:themeColor="text1"/>
                                        <w:kern w:val="24"/>
                                        <w:sz w:val="24"/>
                                        <w:szCs w:val="24"/>
                                      </w:rPr>
                                      <m:t>f</m:t>
                                    </m:r>
                                  </m:sub>
                                </m:sSub>
                                <m:r>
                                  <w:rPr>
                                    <w:rFonts w:ascii="Cambria Math" w:hAnsi="Cambria Math"/>
                                    <w:color w:val="000000" w:themeColor="text1"/>
                                    <w:kern w:val="24"/>
                                    <w:sz w:val="24"/>
                                    <w:szCs w:val="24"/>
                                  </w:rPr>
                                  <m:t>+</m:t>
                                </m:r>
                                <m:r>
                                  <w:rPr>
                                    <w:rFonts w:ascii="Cambria Math" w:eastAsia="Cambria Math" w:hAnsi="Cambria Math"/>
                                    <w:color w:val="000000" w:themeColor="text1"/>
                                    <w:kern w:val="24"/>
                                    <w:sz w:val="24"/>
                                    <w:szCs w:val="24"/>
                                  </w:rPr>
                                  <m:t>β(</m:t>
                                </m:r>
                                <m:sSub>
                                  <m:sSubPr>
                                    <m:ctrlPr>
                                      <w:rPr>
                                        <w:rFonts w:ascii="Cambria Math" w:eastAsia="Cambria Math" w:hAnsi="Cambria Math"/>
                                        <w:i/>
                                        <w:iCs/>
                                        <w:color w:val="000000" w:themeColor="text1"/>
                                        <w:kern w:val="24"/>
                                        <w:sz w:val="24"/>
                                        <w:szCs w:val="24"/>
                                      </w:rPr>
                                    </m:ctrlPr>
                                  </m:sSubPr>
                                  <m:e>
                                    <m:r>
                                      <w:rPr>
                                        <w:rFonts w:ascii="Cambria Math" w:eastAsia="Cambria Math" w:hAnsi="Cambria Math"/>
                                        <w:color w:val="000000" w:themeColor="text1"/>
                                        <w:kern w:val="24"/>
                                        <w:sz w:val="24"/>
                                        <w:szCs w:val="24"/>
                                      </w:rPr>
                                      <m:t>R</m:t>
                                    </m:r>
                                  </m:e>
                                  <m:sub>
                                    <m:r>
                                      <w:rPr>
                                        <w:rFonts w:ascii="Cambria Math" w:eastAsia="Cambria Math" w:hAnsi="Cambria Math"/>
                                        <w:color w:val="000000" w:themeColor="text1"/>
                                        <w:kern w:val="24"/>
                                        <w:sz w:val="24"/>
                                        <w:szCs w:val="24"/>
                                      </w:rPr>
                                      <m:t>m</m:t>
                                    </m:r>
                                  </m:sub>
                                </m:sSub>
                                <m:r>
                                  <w:rPr>
                                    <w:rFonts w:ascii="Cambria Math" w:eastAsia="Cambria Math" w:hAnsi="Cambria Math"/>
                                    <w:color w:val="000000" w:themeColor="text1"/>
                                    <w:kern w:val="24"/>
                                    <w:sz w:val="24"/>
                                    <w:szCs w:val="24"/>
                                  </w:rPr>
                                  <m:t>-</m:t>
                                </m:r>
                                <m:sSub>
                                  <m:sSubPr>
                                    <m:ctrlPr>
                                      <w:rPr>
                                        <w:rFonts w:ascii="Cambria Math" w:eastAsia="Cambria Math" w:hAnsi="Cambria Math"/>
                                        <w:i/>
                                        <w:iCs/>
                                        <w:color w:val="000000" w:themeColor="text1"/>
                                        <w:kern w:val="24"/>
                                        <w:sz w:val="24"/>
                                        <w:szCs w:val="24"/>
                                      </w:rPr>
                                    </m:ctrlPr>
                                  </m:sSubPr>
                                  <m:e>
                                    <m:r>
                                      <w:rPr>
                                        <w:rFonts w:ascii="Cambria Math" w:eastAsia="Cambria Math" w:hAnsi="Cambria Math"/>
                                        <w:color w:val="000000" w:themeColor="text1"/>
                                        <w:kern w:val="24"/>
                                        <w:sz w:val="24"/>
                                        <w:szCs w:val="24"/>
                                      </w:rPr>
                                      <m:t>R</m:t>
                                    </m:r>
                                  </m:e>
                                  <m:sub>
                                    <m:r>
                                      <w:rPr>
                                        <w:rFonts w:ascii="Cambria Math" w:eastAsia="Cambria Math" w:hAnsi="Cambria Math"/>
                                        <w:color w:val="000000" w:themeColor="text1"/>
                                        <w:kern w:val="24"/>
                                        <w:sz w:val="24"/>
                                        <w:szCs w:val="24"/>
                                      </w:rPr>
                                      <m:t>f</m:t>
                                    </m:r>
                                  </m:sub>
                                </m:sSub>
                                <m:r>
                                  <w:rPr>
                                    <w:rFonts w:ascii="Cambria Math" w:eastAsia="Cambria Math" w:hAnsi="Cambria Math"/>
                                    <w:color w:val="000000" w:themeColor="text1"/>
                                    <w:kern w:val="24"/>
                                    <w:sz w:val="24"/>
                                    <w:szCs w:val="24"/>
                                  </w:rPr>
                                  <m:t>)</m:t>
                                </m:r>
                              </m:oMath>
                            </m:oMathPara>
                          </w:p>
                        </w:txbxContent>
                      </wps:txbx>
                      <wps:bodyPr wrap="none" lIns="0" tIns="0" rIns="0" bIns="0" rtlCol="0">
                        <a:spAutoFit/>
                      </wps:bodyPr>
                    </wps:wsp>
                  </a:graphicData>
                </a:graphic>
              </wp:anchor>
            </w:drawing>
          </mc:Choice>
          <mc:Fallback>
            <w:pict>
              <v:shape w14:anchorId="3157D0BC" id="_x0000_s1030" type="#_x0000_t202" style="position:absolute;margin-left:0;margin-top:138.35pt;width:436.35pt;height:36.6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" filled="f" stroked="f">
                <v:textbox style="mso-fit-shape-to-text:t" inset="0,0,0,0">
                  <w:txbxContent>
                    <w:p w14:paraId="4EBF8B50" w14:textId="77777777" w:rsidR="00E62B55" w:rsidRPr="00E62B55" w:rsidRDefault="00E62B55" w:rsidP="00E62B55">
                      <w:pPr>
                        <w:rPr>
                          <w:sz w:val="24"/>
                          <w:szCs w:val="24"/>
                        </w:rPr>
                      </w:pPr>
                      <m:oMathPara>
                        <m:oMathParaPr>
                          <m:jc m:val="left"/>
                        </m:oMathParaPr>
                        <m:oMath>
                          <m:r>
                            <w:rPr>
                              <w:rFonts w:ascii="Cambria Math" w:hAnsi="Cambria Math"/>
                              <w:color w:val="000000" w:themeColor="text1"/>
                              <w:kern w:val="24"/>
                              <w:sz w:val="24"/>
                              <w:szCs w:val="24"/>
                            </w:rPr>
                            <m:t>Cost of Equity=</m:t>
                          </m:r>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R</m:t>
                              </m:r>
                            </m:e>
                            <m:sub>
                              <m:r>
                                <w:rPr>
                                  <w:rFonts w:ascii="Cambria Math" w:hAnsi="Cambria Math"/>
                                  <w:color w:val="000000" w:themeColor="text1"/>
                                  <w:kern w:val="24"/>
                                  <w:sz w:val="24"/>
                                  <w:szCs w:val="24"/>
                                </w:rPr>
                                <m:t>f</m:t>
                              </m:r>
                            </m:sub>
                          </m:sSub>
                          <m:r>
                            <w:rPr>
                              <w:rFonts w:ascii="Cambria Math" w:hAnsi="Cambria Math"/>
                              <w:color w:val="000000" w:themeColor="text1"/>
                              <w:kern w:val="24"/>
                              <w:sz w:val="24"/>
                              <w:szCs w:val="24"/>
                            </w:rPr>
                            <m:t>+</m:t>
                          </m:r>
                          <m:r>
                            <w:rPr>
                              <w:rFonts w:ascii="Cambria Math" w:eastAsia="Cambria Math" w:hAnsi="Cambria Math"/>
                              <w:color w:val="000000" w:themeColor="text1"/>
                              <w:kern w:val="24"/>
                              <w:sz w:val="24"/>
                              <w:szCs w:val="24"/>
                            </w:rPr>
                            <m:t>β(</m:t>
                          </m:r>
                          <m:sSub>
                            <m:sSubPr>
                              <m:ctrlPr>
                                <w:rPr>
                                  <w:rFonts w:ascii="Cambria Math" w:eastAsia="Cambria Math" w:hAnsi="Cambria Math"/>
                                  <w:i/>
                                  <w:iCs/>
                                  <w:color w:val="000000" w:themeColor="text1"/>
                                  <w:kern w:val="24"/>
                                  <w:sz w:val="24"/>
                                  <w:szCs w:val="24"/>
                                </w:rPr>
                              </m:ctrlPr>
                            </m:sSubPr>
                            <m:e>
                              <m:r>
                                <w:rPr>
                                  <w:rFonts w:ascii="Cambria Math" w:eastAsia="Cambria Math" w:hAnsi="Cambria Math"/>
                                  <w:color w:val="000000" w:themeColor="text1"/>
                                  <w:kern w:val="24"/>
                                  <w:sz w:val="24"/>
                                  <w:szCs w:val="24"/>
                                </w:rPr>
                                <m:t>R</m:t>
                              </m:r>
                            </m:e>
                            <m:sub>
                              <m:r>
                                <w:rPr>
                                  <w:rFonts w:ascii="Cambria Math" w:eastAsia="Cambria Math" w:hAnsi="Cambria Math"/>
                                  <w:color w:val="000000" w:themeColor="text1"/>
                                  <w:kern w:val="24"/>
                                  <w:sz w:val="24"/>
                                  <w:szCs w:val="24"/>
                                </w:rPr>
                                <m:t>m</m:t>
                              </m:r>
                            </m:sub>
                          </m:sSub>
                          <m:r>
                            <w:rPr>
                              <w:rFonts w:ascii="Cambria Math" w:eastAsia="Cambria Math" w:hAnsi="Cambria Math"/>
                              <w:color w:val="000000" w:themeColor="text1"/>
                              <w:kern w:val="24"/>
                              <w:sz w:val="24"/>
                              <w:szCs w:val="24"/>
                            </w:rPr>
                            <m:t>-</m:t>
                          </m:r>
                          <m:sSub>
                            <m:sSubPr>
                              <m:ctrlPr>
                                <w:rPr>
                                  <w:rFonts w:ascii="Cambria Math" w:eastAsia="Cambria Math" w:hAnsi="Cambria Math"/>
                                  <w:i/>
                                  <w:iCs/>
                                  <w:color w:val="000000" w:themeColor="text1"/>
                                  <w:kern w:val="24"/>
                                  <w:sz w:val="24"/>
                                  <w:szCs w:val="24"/>
                                </w:rPr>
                              </m:ctrlPr>
                            </m:sSubPr>
                            <m:e>
                              <m:r>
                                <w:rPr>
                                  <w:rFonts w:ascii="Cambria Math" w:eastAsia="Cambria Math" w:hAnsi="Cambria Math"/>
                                  <w:color w:val="000000" w:themeColor="text1"/>
                                  <w:kern w:val="24"/>
                                  <w:sz w:val="24"/>
                                  <w:szCs w:val="24"/>
                                </w:rPr>
                                <m:t>R</m:t>
                              </m:r>
                            </m:e>
                            <m:sub>
                              <m:r>
                                <w:rPr>
                                  <w:rFonts w:ascii="Cambria Math" w:eastAsia="Cambria Math" w:hAnsi="Cambria Math"/>
                                  <w:color w:val="000000" w:themeColor="text1"/>
                                  <w:kern w:val="24"/>
                                  <w:sz w:val="24"/>
                                  <w:szCs w:val="24"/>
                                </w:rPr>
                                <m:t>f</m:t>
                              </m:r>
                            </m:sub>
                          </m:sSub>
                          <m:r>
                            <w:rPr>
                              <w:rFonts w:ascii="Cambria Math" w:eastAsia="Cambria Math" w:hAnsi="Cambria Math"/>
                              <w:color w:val="000000" w:themeColor="text1"/>
                              <w:kern w:val="24"/>
                              <w:sz w:val="24"/>
                              <w:szCs w:val="24"/>
                            </w:rPr>
                            <m:t>)</m:t>
                          </m:r>
                        </m:oMath>
                      </m:oMathPara>
                    </w:p>
                  </w:txbxContent>
                </v:textbox>
                <w10:wrap type="topAndBottom" anchorx="margin"/>
              </v:shape>
            </w:pict>
          </mc:Fallback>
        </mc:AlternateContent>
      </w:r>
      <w:r w:rsidR="005A47DD">
        <w:t xml:space="preserve">The cost of equity is calculated using the </w:t>
      </w:r>
      <w:r w:rsidR="005A47DD" w:rsidRPr="005B3174">
        <w:rPr>
          <w:b/>
          <w:bCs/>
          <w:u w:val="single"/>
        </w:rPr>
        <w:t>Capital Asset Pricing Model</w:t>
      </w:r>
      <w:r w:rsidR="005A47DD">
        <w:t xml:space="preserve"> (CAPM). The CAPM describes the relationship between systematic risk and return for assets. (Systematic risk is the risk inherent in the overall market system.)</w:t>
      </w:r>
      <w:r w:rsidR="00E6138E">
        <w:t xml:space="preserve"> Three inputs are required:  an estimate of the </w:t>
      </w:r>
      <w:r w:rsidR="00E6138E" w:rsidRPr="005B3174">
        <w:rPr>
          <w:i/>
          <w:iCs/>
        </w:rPr>
        <w:t>risk-free interest rate</w:t>
      </w:r>
      <w:r>
        <w:t xml:space="preserve"> (</w:t>
      </w:r>
      <w:r w:rsidRPr="00E62B55">
        <w:rPr>
          <w:i/>
        </w:rPr>
        <w:t>R</w:t>
      </w:r>
      <w:r w:rsidRPr="00E62B55">
        <w:rPr>
          <w:i/>
          <w:vertAlign w:val="subscript"/>
        </w:rPr>
        <w:t>f</w:t>
      </w:r>
      <w:r>
        <w:t>),</w:t>
      </w:r>
      <w:r w:rsidR="00E6138E">
        <w:t xml:space="preserve"> an estimate of the </w:t>
      </w:r>
      <w:r w:rsidR="00E6138E" w:rsidRPr="005B3174">
        <w:rPr>
          <w:i/>
          <w:iCs/>
        </w:rPr>
        <w:t>market risk premium</w:t>
      </w:r>
      <w:r>
        <w:t xml:space="preserve"> (</w:t>
      </w:r>
      <w:r>
        <w:rPr>
          <w:i/>
        </w:rPr>
        <w:t>R</w:t>
      </w:r>
      <w:r w:rsidRPr="00E62B55">
        <w:rPr>
          <w:i/>
          <w:vertAlign w:val="subscript"/>
        </w:rPr>
        <w:t>m</w:t>
      </w:r>
      <w:r w:rsidRPr="00E62B55">
        <w:t>)</w:t>
      </w:r>
      <w:r w:rsidR="00E6138E">
        <w:t xml:space="preserve">, and an estimate of </w:t>
      </w:r>
      <w:r w:rsidR="00E6138E" w:rsidRPr="005B3174">
        <w:rPr>
          <w:i/>
          <w:iCs/>
        </w:rPr>
        <w:t>beta</w:t>
      </w:r>
      <w:r>
        <w:t xml:space="preserve"> (</w:t>
      </w:r>
      <m:oMath>
        <m:r>
          <w:rPr>
            <w:rFonts w:ascii="Cambria Math" w:eastAsia="Cambria Math" w:hAnsi="Cambria Math"/>
            <w:color w:val="000000" w:themeColor="text1"/>
            <w:kern w:val="24"/>
            <w:sz w:val="24"/>
            <w:szCs w:val="24"/>
          </w:rPr>
          <m:t>β</m:t>
        </m:r>
      </m:oMath>
      <w:r>
        <w:t>)</w:t>
      </w:r>
      <w:r w:rsidR="00E6138E">
        <w:t xml:space="preserve">. Typically, the 30-year bond yield is used for the risk-free rate and the mean over the past </w:t>
      </w:r>
      <w:r w:rsidR="0006398F">
        <w:t>twenty</w:t>
      </w:r>
      <w:r w:rsidR="00E6138E">
        <w:t xml:space="preserve"> years is </w:t>
      </w:r>
      <w:r w:rsidR="0006398F">
        <w:t>3.7 percent. The market risk premium is the expected return for the overall market</w:t>
      </w:r>
      <w:r w:rsidR="00B501AC">
        <w:t xml:space="preserve"> and can be estimated by </w:t>
      </w:r>
      <w:r w:rsidR="004D07AE">
        <w:t xml:space="preserve">using </w:t>
      </w:r>
      <w:r w:rsidR="00B501AC">
        <w:t xml:space="preserve">the FTSE 100. The </w:t>
      </w:r>
      <w:r w:rsidR="00570827">
        <w:t>average annual return for the past 30 years is 5.56 percent. Beta is a measure of the volatility in the value of an individual firm in comparison to the market as a whole. A 2018 beta for U.K. professional services firms is 1.19 (Duff &amp; Phelps 2019).</w:t>
      </w:r>
    </w:p>
    <w:p w14:paraId="68C5B0F4" w14:textId="77777777" w:rsidR="00E62B55" w:rsidRPr="00004F53" w:rsidRDefault="00775916">
      <w:r>
        <w:rPr>
          <w:noProof/>
        </w:rPr>
        <mc:AlternateContent>
          <mc:Choice Requires="wps">
            <w:drawing>
              <wp:anchor distT="0" distB="0" distL="114300" distR="114300" simplePos="0" relativeHeight="251669504" behindDoc="0" locked="0" layoutInCell="1" allowOverlap="1" wp14:anchorId="517C789A" wp14:editId="2F2B97FE">
                <wp:simplePos x="0" y="0"/>
                <wp:positionH relativeFrom="margin">
                  <wp:align>center</wp:align>
                </wp:positionH>
                <wp:positionV relativeFrom="paragraph">
                  <wp:posOffset>1331595</wp:posOffset>
                </wp:positionV>
                <wp:extent cx="5624425" cy="697627"/>
                <wp:effectExtent l="0" t="0" r="0" b="0"/>
                <wp:wrapTopAndBottom/>
                <wp:docPr id="7" name="TextBox 4"/>
                <wp:cNvGraphicFramePr xmlns:a="http://schemas.openxmlformats.org/drawingml/2006/main"/>
                <a:graphic xmlns:a="http://schemas.openxmlformats.org/drawingml/2006/main">
                  <a:graphicData uri="http://schemas.microsoft.com/office/word/2010/wordprocessingShape">
                    <wps:wsp>
                      <wps:cNvSpPr txBox="1"/>
                      <wps:spPr>
                        <a:xfrm>
                          <a:off x="0" y="0"/>
                          <a:ext cx="5624425" cy="697627"/>
                        </a:xfrm>
                        <a:prstGeom prst="rect">
                          <a:avLst/>
                        </a:prstGeom>
                        <a:noFill/>
                      </wps:spPr>
                      <wps:txbx>
                        <w:txbxContent>
                          <w:p w14:paraId="146CC292" w14:textId="77777777" w:rsidR="004A6C49" w:rsidRPr="00004F53" w:rsidRDefault="00775916" w:rsidP="004A6C49">
                            <w:pPr>
                              <w:jc w:val="center"/>
                              <w:rPr>
                                <w:sz w:val="24"/>
                                <w:szCs w:val="24"/>
                              </w:rPr>
                            </w:pPr>
                            <m:oMathPara>
                              <m:oMathParaPr>
                                <m:jc m:val="centerGroup"/>
                              </m:oMathParaPr>
                              <m:oMath>
                                <m:r>
                                  <w:rPr>
                                    <w:rFonts w:ascii="Cambria Math" w:hAnsi="Cambria Math"/>
                                    <w:color w:val="000000" w:themeColor="text1"/>
                                    <w:kern w:val="24"/>
                                    <w:sz w:val="24"/>
                                    <w:szCs w:val="24"/>
                                  </w:rPr>
                                  <m:t>4.75%=</m:t>
                                </m:r>
                                <m:f>
                                  <m:fPr>
                                    <m:ctrlPr>
                                      <w:rPr>
                                        <w:rFonts w:ascii="Cambria Math" w:eastAsiaTheme="minorEastAsia" w:hAnsi="Cambria Math"/>
                                        <w:i/>
                                        <w:iCs/>
                                        <w:color w:val="000000" w:themeColor="text1"/>
                                        <w:kern w:val="24"/>
                                        <w:sz w:val="24"/>
                                        <w:szCs w:val="24"/>
                                      </w:rPr>
                                    </m:ctrlPr>
                                  </m:fPr>
                                  <m:num>
                                    <m:r>
                                      <w:rPr>
                                        <w:rFonts w:ascii="Cambria Math" w:hAnsi="Cambria Math"/>
                                        <w:color w:val="000000" w:themeColor="text1"/>
                                        <w:kern w:val="24"/>
                                        <w:sz w:val="24"/>
                                        <w:szCs w:val="24"/>
                                      </w:rPr>
                                      <m:t>£2,000,000</m:t>
                                    </m:r>
                                  </m:num>
                                  <m:den>
                                    <m:r>
                                      <w:rPr>
                                        <w:rFonts w:ascii="Cambria Math" w:hAnsi="Cambria Math"/>
                                        <w:color w:val="000000" w:themeColor="text1"/>
                                        <w:kern w:val="24"/>
                                        <w:sz w:val="24"/>
                                        <w:szCs w:val="24"/>
                                      </w:rPr>
                                      <m:t>£2,000,000+£54,771</m:t>
                                    </m:r>
                                  </m:den>
                                </m:f>
                                <m:d>
                                  <m:dPr>
                                    <m:ctrlPr>
                                      <w:rPr>
                                        <w:rFonts w:ascii="Cambria Math" w:eastAsiaTheme="minorEastAsia" w:hAnsi="Cambria Math"/>
                                        <w:i/>
                                        <w:iCs/>
                                        <w:color w:val="000000" w:themeColor="text1"/>
                                        <w:kern w:val="24"/>
                                        <w:sz w:val="24"/>
                                        <w:szCs w:val="24"/>
                                      </w:rPr>
                                    </m:ctrlPr>
                                  </m:dPr>
                                  <m:e>
                                    <m:r>
                                      <w:rPr>
                                        <w:rFonts w:ascii="Cambria Math" w:hAnsi="Cambria Math"/>
                                        <w:color w:val="000000" w:themeColor="text1"/>
                                        <w:kern w:val="24"/>
                                        <w:sz w:val="24"/>
                                        <w:szCs w:val="24"/>
                                      </w:rPr>
                                      <m:t>5.91%</m:t>
                                    </m:r>
                                  </m:e>
                                </m:d>
                                <m:r>
                                  <w:rPr>
                                    <w:rFonts w:ascii="Cambria Math" w:hAnsi="Cambria Math"/>
                                    <w:color w:val="000000" w:themeColor="text1"/>
                                    <w:kern w:val="24"/>
                                    <w:sz w:val="24"/>
                                    <w:szCs w:val="24"/>
                                  </w:rPr>
                                  <m:t>+</m:t>
                                </m:r>
                                <m:f>
                                  <m:fPr>
                                    <m:ctrlPr>
                                      <w:rPr>
                                        <w:rFonts w:ascii="Cambria Math" w:eastAsiaTheme="minorEastAsia" w:hAnsi="Cambria Math"/>
                                        <w:i/>
                                        <w:iCs/>
                                        <w:color w:val="000000" w:themeColor="text1"/>
                                        <w:kern w:val="24"/>
                                        <w:sz w:val="24"/>
                                        <w:szCs w:val="24"/>
                                      </w:rPr>
                                    </m:ctrlPr>
                                  </m:fPr>
                                  <m:num>
                                    <m:r>
                                      <w:rPr>
                                        <w:rFonts w:ascii="Cambria Math" w:hAnsi="Cambria Math"/>
                                        <w:color w:val="000000" w:themeColor="text1"/>
                                        <w:kern w:val="24"/>
                                        <w:sz w:val="24"/>
                                        <w:szCs w:val="24"/>
                                      </w:rPr>
                                      <m:t>54,771</m:t>
                                    </m:r>
                                  </m:num>
                                  <m:den>
                                    <m:r>
                                      <w:rPr>
                                        <w:rFonts w:ascii="Cambria Math" w:hAnsi="Cambria Math"/>
                                        <w:color w:val="000000" w:themeColor="text1"/>
                                        <w:kern w:val="24"/>
                                        <w:sz w:val="24"/>
                                        <w:szCs w:val="24"/>
                                      </w:rPr>
                                      <m:t>£2,000,000+£54,771</m:t>
                                    </m:r>
                                  </m:den>
                                </m:f>
                                <m:r>
                                  <w:rPr>
                                    <w:rFonts w:ascii="Cambria Math" w:hAnsi="Cambria Math"/>
                                    <w:color w:val="000000" w:themeColor="text1"/>
                                    <w:kern w:val="24"/>
                                    <w:sz w:val="24"/>
                                    <w:szCs w:val="24"/>
                                  </w:rPr>
                                  <m:t>(4.97%)(1-0.19%)</m:t>
                                </m:r>
                              </m:oMath>
                            </m:oMathPara>
                          </w:p>
                        </w:txbxContent>
                      </wps:txbx>
                      <wps:bodyPr wrap="none" lIns="0" tIns="0" rIns="0" bIns="0" rtlCol="0">
                        <a:spAutoFit/>
                      </wps:bodyPr>
                    </wps:wsp>
                  </a:graphicData>
                </a:graphic>
              </wp:anchor>
            </w:drawing>
          </mc:Choice>
          <mc:Fallback>
            <w:pict>
              <v:shape w14:anchorId="517C789A" id="_x0000_s1031" type="#_x0000_t202" style="position:absolute;margin-left:0;margin-top:104.85pt;width:442.85pt;height:54.9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" filled="f" stroked="f">
                <v:textbox style="mso-fit-shape-to-text:t" inset="0,0,0,0">
                  <w:txbxContent>
                    <w:p w14:paraId="146CC292" w14:textId="77777777" w:rsidR="004A6C49" w:rsidRPr="00004F53" w:rsidRDefault="00775916" w:rsidP="004A6C49">
                      <w:pPr>
                        <w:jc w:val="center"/>
                        <w:rPr>
                          <w:sz w:val="24"/>
                          <w:szCs w:val="24"/>
                        </w:rPr>
                      </w:pPr>
                      <m:oMathPara>
                        <m:oMathParaPr>
                          <m:jc m:val="centerGroup"/>
                        </m:oMathParaPr>
                        <m:oMath>
                          <m:r>
                            <w:rPr>
                              <w:rFonts w:ascii="Cambria Math" w:hAnsi="Cambria Math"/>
                              <w:color w:val="000000" w:themeColor="text1"/>
                              <w:kern w:val="24"/>
                              <w:sz w:val="24"/>
                              <w:szCs w:val="24"/>
                            </w:rPr>
                            <m:t>4.75%=</m:t>
                          </m:r>
                          <m:f>
                            <m:fPr>
                              <m:ctrlPr>
                                <w:rPr>
                                  <w:rFonts w:ascii="Cambria Math" w:eastAsiaTheme="minorEastAsia" w:hAnsi="Cambria Math"/>
                                  <w:i/>
                                  <w:iCs/>
                                  <w:color w:val="000000" w:themeColor="text1"/>
                                  <w:kern w:val="24"/>
                                  <w:sz w:val="24"/>
                                  <w:szCs w:val="24"/>
                                </w:rPr>
                              </m:ctrlPr>
                            </m:fPr>
                            <m:num>
                              <m:r>
                                <w:rPr>
                                  <w:rFonts w:ascii="Cambria Math" w:hAnsi="Cambria Math"/>
                                  <w:color w:val="000000" w:themeColor="text1"/>
                                  <w:kern w:val="24"/>
                                  <w:sz w:val="24"/>
                                  <w:szCs w:val="24"/>
                                </w:rPr>
                                <m:t>£2,000,000</m:t>
                              </m:r>
                            </m:num>
                            <m:den>
                              <m:r>
                                <w:rPr>
                                  <w:rFonts w:ascii="Cambria Math" w:hAnsi="Cambria Math"/>
                                  <w:color w:val="000000" w:themeColor="text1"/>
                                  <w:kern w:val="24"/>
                                  <w:sz w:val="24"/>
                                  <w:szCs w:val="24"/>
                                </w:rPr>
                                <m:t>£2,000,000+£54,771</m:t>
                              </m:r>
                            </m:den>
                          </m:f>
                          <m:d>
                            <m:dPr>
                              <m:ctrlPr>
                                <w:rPr>
                                  <w:rFonts w:ascii="Cambria Math" w:eastAsiaTheme="minorEastAsia" w:hAnsi="Cambria Math"/>
                                  <w:i/>
                                  <w:iCs/>
                                  <w:color w:val="000000" w:themeColor="text1"/>
                                  <w:kern w:val="24"/>
                                  <w:sz w:val="24"/>
                                  <w:szCs w:val="24"/>
                                </w:rPr>
                              </m:ctrlPr>
                            </m:dPr>
                            <m:e>
                              <m:r>
                                <w:rPr>
                                  <w:rFonts w:ascii="Cambria Math" w:hAnsi="Cambria Math"/>
                                  <w:color w:val="000000" w:themeColor="text1"/>
                                  <w:kern w:val="24"/>
                                  <w:sz w:val="24"/>
                                  <w:szCs w:val="24"/>
                                </w:rPr>
                                <m:t>5.91%</m:t>
                              </m:r>
                            </m:e>
                          </m:d>
                          <m:r>
                            <w:rPr>
                              <w:rFonts w:ascii="Cambria Math" w:hAnsi="Cambria Math"/>
                              <w:color w:val="000000" w:themeColor="text1"/>
                              <w:kern w:val="24"/>
                              <w:sz w:val="24"/>
                              <w:szCs w:val="24"/>
                            </w:rPr>
                            <m:t>+</m:t>
                          </m:r>
                          <m:f>
                            <m:fPr>
                              <m:ctrlPr>
                                <w:rPr>
                                  <w:rFonts w:ascii="Cambria Math" w:eastAsiaTheme="minorEastAsia" w:hAnsi="Cambria Math"/>
                                  <w:i/>
                                  <w:iCs/>
                                  <w:color w:val="000000" w:themeColor="text1"/>
                                  <w:kern w:val="24"/>
                                  <w:sz w:val="24"/>
                                  <w:szCs w:val="24"/>
                                </w:rPr>
                              </m:ctrlPr>
                            </m:fPr>
                            <m:num>
                              <m:r>
                                <w:rPr>
                                  <w:rFonts w:ascii="Cambria Math" w:hAnsi="Cambria Math"/>
                                  <w:color w:val="000000" w:themeColor="text1"/>
                                  <w:kern w:val="24"/>
                                  <w:sz w:val="24"/>
                                  <w:szCs w:val="24"/>
                                </w:rPr>
                                <m:t>54,771</m:t>
                              </m:r>
                            </m:num>
                            <m:den>
                              <m:r>
                                <w:rPr>
                                  <w:rFonts w:ascii="Cambria Math" w:hAnsi="Cambria Math"/>
                                  <w:color w:val="000000" w:themeColor="text1"/>
                                  <w:kern w:val="24"/>
                                  <w:sz w:val="24"/>
                                  <w:szCs w:val="24"/>
                                </w:rPr>
                                <m:t>£2,000,000+£54,771</m:t>
                              </m:r>
                            </m:den>
                          </m:f>
                          <m:r>
                            <w:rPr>
                              <w:rFonts w:ascii="Cambria Math" w:hAnsi="Cambria Math"/>
                              <w:color w:val="000000" w:themeColor="text1"/>
                              <w:kern w:val="24"/>
                              <w:sz w:val="24"/>
                              <w:szCs w:val="24"/>
                            </w:rPr>
                            <m:t>(4.97%)(1-0.19%)</m:t>
                          </m:r>
                        </m:oMath>
                      </m:oMathPara>
                    </w:p>
                  </w:txbxContent>
                </v:textbox>
                <w10:wrap type="topAndBottom" anchorx="margin"/>
              </v:shape>
            </w:pict>
          </mc:Fallback>
        </mc:AlternateContent>
      </w:r>
      <w:r w:rsidR="00BB15F7">
        <w:t xml:space="preserve">The two numbers that are </w:t>
      </w:r>
      <w:r w:rsidR="002041BB">
        <w:t xml:space="preserve">still </w:t>
      </w:r>
      <w:r w:rsidR="00BB15F7">
        <w:t>needed for the WACC</w:t>
      </w:r>
      <w:r w:rsidR="002041BB">
        <w:t>,</w:t>
      </w:r>
      <w:r w:rsidR="00BB15F7">
        <w:t xml:space="preserve"> but have yet to be calculated</w:t>
      </w:r>
      <w:r w:rsidR="002041BB">
        <w:t>,</w:t>
      </w:r>
      <w:r w:rsidR="00BB15F7">
        <w:t xml:space="preserve"> are the </w:t>
      </w:r>
      <w:r w:rsidR="00BB15F7" w:rsidRPr="005B3174">
        <w:rPr>
          <w:i/>
          <w:iCs/>
        </w:rPr>
        <w:t>Market Value of the Equity</w:t>
      </w:r>
      <w:r w:rsidR="00BB15F7">
        <w:t xml:space="preserve"> and the </w:t>
      </w:r>
      <w:r w:rsidR="00BB15F7" w:rsidRPr="005B3174">
        <w:rPr>
          <w:i/>
          <w:iCs/>
        </w:rPr>
        <w:t>Corporate Tax Rate</w:t>
      </w:r>
      <w:r w:rsidR="00BB15F7">
        <w:t xml:space="preserve">. For these, we will assume the corporate tax rate to be 19.0 percent and the market value of this example firm to be </w:t>
      </w:r>
      <w:bookmarkStart w:id="2" w:name="_Hlk14937620"/>
      <w:r w:rsidR="00BB15F7">
        <w:rPr>
          <w:rFonts w:cstheme="minorHAnsi"/>
        </w:rPr>
        <w:t>£2,000,000</w:t>
      </w:r>
      <w:bookmarkEnd w:id="2"/>
      <w:r w:rsidR="00BB15F7">
        <w:rPr>
          <w:rFonts w:cstheme="minorHAnsi"/>
        </w:rPr>
        <w:t>.</w:t>
      </w:r>
      <w:r>
        <w:rPr>
          <w:rFonts w:cstheme="minorHAnsi"/>
        </w:rPr>
        <w:t xml:space="preserve"> The formula may now be completed.</w:t>
      </w:r>
    </w:p>
    <w:p w14:paraId="03226B7E" w14:textId="7AE4044D" w:rsidR="00364128" w:rsidRDefault="00775916">
      <w:r>
        <w:t xml:space="preserve">So, what does this mean? It means that the value break-even for this </w:t>
      </w:r>
      <w:r w:rsidR="004D07AE">
        <w:t>organi</w:t>
      </w:r>
      <w:r w:rsidR="004D07AE">
        <w:t>s</w:t>
      </w:r>
      <w:r w:rsidR="004D07AE">
        <w:t xml:space="preserve">ation </w:t>
      </w:r>
      <w:r>
        <w:t>is 4.75 percent profit. Thus, if year-end profits for this firm are positive, but below 4.75, the firm is losing value. When firms lose financial value, they are not sustainable. When profits are above 4.75 percent, the firm gains value.</w:t>
      </w:r>
      <w:r w:rsidR="00364128">
        <w:t xml:space="preserve"> The WACC is the discount rate that is used on future free cash flows to calculate their present, or net present, value.</w:t>
      </w:r>
    </w:p>
    <w:p w14:paraId="5A8274FF" w14:textId="62CFE98E" w:rsidR="00693675" w:rsidRPr="00364128" w:rsidRDefault="00364128">
      <w:r>
        <w:t xml:space="preserve">The WACC is powerful because it can be scaled. </w:t>
      </w:r>
      <w:r w:rsidR="004D07AE">
        <w:t>T</w:t>
      </w:r>
      <w:r>
        <w:t xml:space="preserve">his technique can be used to value any financial asset:  a firm, a department, a project, a person, </w:t>
      </w:r>
      <w:r w:rsidRPr="005B3174">
        <w:rPr>
          <w:i/>
          <w:iCs/>
        </w:rPr>
        <w:t>etc</w:t>
      </w:r>
      <w:r>
        <w:t xml:space="preserve">. We advocate that firms substitute </w:t>
      </w:r>
      <w:r w:rsidR="00E863D3">
        <w:t>“</w:t>
      </w:r>
      <w:r>
        <w:t>value</w:t>
      </w:r>
      <w:r w:rsidR="00E863D3">
        <w:t>”</w:t>
      </w:r>
      <w:r>
        <w:t xml:space="preserve"> for </w:t>
      </w:r>
      <w:r w:rsidR="00E863D3">
        <w:t>“</w:t>
      </w:r>
      <w:r>
        <w:t>profit</w:t>
      </w:r>
      <w:r w:rsidR="00E863D3">
        <w:t>”</w:t>
      </w:r>
      <w:r>
        <w:t xml:space="preserve"> in day-to-day decision making. </w:t>
      </w:r>
      <w:r w:rsidR="00E863D3">
        <w:t xml:space="preserve">This requires, though, a significant change </w:t>
      </w:r>
      <w:r w:rsidR="00C678CA">
        <w:t xml:space="preserve">in the frame </w:t>
      </w:r>
      <w:r w:rsidR="00E863D3">
        <w:t xml:space="preserve">of reference for how we think about the business of commercial archaeology. </w:t>
      </w:r>
      <w:r w:rsidR="00C678CA">
        <w:t>For example, s</w:t>
      </w:r>
      <w:r>
        <w:t xml:space="preserve">hould a firm bid on a particular job? Use the WACC to discount the future free cash flows and calculate the net present value. If the net present value is greater than or equal to zero, then the project will return value to the </w:t>
      </w:r>
      <w:r w:rsidR="004D07AE">
        <w:t>organi</w:t>
      </w:r>
      <w:r w:rsidR="004D07AE">
        <w:t>s</w:t>
      </w:r>
      <w:r w:rsidR="004D07AE">
        <w:t>ation</w:t>
      </w:r>
      <w:r>
        <w:t xml:space="preserve">. The formula for net present value is simply the formula for present value calculated and summed on a year-by-year basis. In this example, the </w:t>
      </w:r>
      <w:r>
        <w:rPr>
          <w:i/>
        </w:rPr>
        <w:t>r</w:t>
      </w:r>
      <w:r>
        <w:t xml:space="preserve"> would be the WACC of 4.75 percent. </w:t>
      </w:r>
      <w:r w:rsidRPr="00364128">
        <w:rPr>
          <w:i/>
        </w:rPr>
        <w:t>C</w:t>
      </w:r>
      <w:r w:rsidRPr="00E863D3">
        <w:rPr>
          <w:i/>
          <w:vertAlign w:val="subscript"/>
        </w:rPr>
        <w:t>t</w:t>
      </w:r>
      <w:r>
        <w:t xml:space="preserve"> is the free cash flow; </w:t>
      </w:r>
      <w:r w:rsidRPr="00364128">
        <w:rPr>
          <w:i/>
        </w:rPr>
        <w:t>C</w:t>
      </w:r>
      <w:r w:rsidRPr="00E863D3">
        <w:rPr>
          <w:i/>
          <w:vertAlign w:val="subscript"/>
        </w:rPr>
        <w:t>o</w:t>
      </w:r>
      <w:r>
        <w:rPr>
          <w:i/>
        </w:rPr>
        <w:t xml:space="preserve"> </w:t>
      </w:r>
      <w:r>
        <w:t xml:space="preserve">is the total investment costs—for a job it would be the marketing, sales, and proposal costs. </w:t>
      </w:r>
    </w:p>
    <w:p w14:paraId="59CF4BA1" w14:textId="77777777" w:rsidR="00693675" w:rsidRDefault="00364128">
      <w:r>
        <w:rPr>
          <w:noProof/>
        </w:rPr>
        <mc:AlternateContent>
          <mc:Choice Requires="wps">
            <w:drawing>
              <wp:anchor distT="0" distB="0" distL="114300" distR="114300" simplePos="0" relativeHeight="251671552" behindDoc="0" locked="0" layoutInCell="1" allowOverlap="1" wp14:anchorId="3672C244" wp14:editId="6B93801E">
                <wp:simplePos x="0" y="0"/>
                <wp:positionH relativeFrom="margin">
                  <wp:align>center</wp:align>
                </wp:positionH>
                <wp:positionV relativeFrom="paragraph">
                  <wp:posOffset>9525</wp:posOffset>
                </wp:positionV>
                <wp:extent cx="6072240" cy="1211550"/>
                <wp:effectExtent l="0" t="0" r="0" b="0"/>
                <wp:wrapNone/>
                <wp:docPr id="8" name="TextBox 3"/>
                <wp:cNvGraphicFramePr xmlns:a="http://schemas.openxmlformats.org/drawingml/2006/main"/>
                <a:graphic xmlns:a="http://schemas.openxmlformats.org/drawingml/2006/main">
                  <a:graphicData uri="http://schemas.microsoft.com/office/word/2010/wordprocessingShape">
                    <wps:wsp>
                      <wps:cNvSpPr txBox="1"/>
                      <wps:spPr>
                        <a:xfrm>
                          <a:off x="0" y="0"/>
                          <a:ext cx="6072240" cy="1211550"/>
                        </a:xfrm>
                        <a:prstGeom prst="rect">
                          <a:avLst/>
                        </a:prstGeom>
                        <a:noFill/>
                      </wps:spPr>
                      <wps:txbx>
                        <w:txbxContent>
                          <w:p w14:paraId="2AD0D4EE" w14:textId="77777777" w:rsidR="00364128" w:rsidRPr="00364128" w:rsidRDefault="00364128" w:rsidP="00364128">
                            <w:pPr>
                              <w:rPr>
                                <w:sz w:val="24"/>
                                <w:szCs w:val="24"/>
                              </w:rPr>
                            </w:pPr>
                            <m:oMathPara>
                              <m:oMathParaPr>
                                <m:jc m:val="centerGroup"/>
                              </m:oMathParaPr>
                              <m:oMath>
                                <m:r>
                                  <w:rPr>
                                    <w:rFonts w:ascii="Cambria Math" w:hAnsi="Cambria Math"/>
                                    <w:color w:val="000000" w:themeColor="text1"/>
                                    <w:kern w:val="24"/>
                                    <w:sz w:val="24"/>
                                    <w:szCs w:val="24"/>
                                  </w:rPr>
                                  <m:t>Net Present Value=</m:t>
                                </m:r>
                                <m:nary>
                                  <m:naryPr>
                                    <m:chr m:val="∑"/>
                                    <m:ctrlPr>
                                      <w:rPr>
                                        <w:rFonts w:ascii="Cambria Math" w:eastAsiaTheme="minorEastAsia" w:hAnsi="Cambria Math"/>
                                        <w:i/>
                                        <w:iCs/>
                                        <w:color w:val="000000" w:themeColor="text1"/>
                                        <w:kern w:val="24"/>
                                        <w:sz w:val="24"/>
                                        <w:szCs w:val="24"/>
                                      </w:rPr>
                                    </m:ctrlPr>
                                  </m:naryPr>
                                  <m:sub>
                                    <m:r>
                                      <w:rPr>
                                        <w:rFonts w:ascii="Cambria Math" w:hAnsi="Cambria Math"/>
                                        <w:color w:val="000000" w:themeColor="text1"/>
                                        <w:kern w:val="24"/>
                                        <w:sz w:val="24"/>
                                        <w:szCs w:val="24"/>
                                      </w:rPr>
                                      <m:t>t-1</m:t>
                                    </m:r>
                                  </m:sub>
                                  <m:sup>
                                    <m:r>
                                      <w:rPr>
                                        <w:rFonts w:ascii="Cambria Math" w:hAnsi="Cambria Math"/>
                                        <w:color w:val="000000" w:themeColor="text1"/>
                                        <w:kern w:val="24"/>
                                        <w:sz w:val="24"/>
                                        <w:szCs w:val="24"/>
                                      </w:rPr>
                                      <m:t>T</m:t>
                                    </m:r>
                                  </m:sup>
                                  <m:e>
                                    <m:f>
                                      <m:fPr>
                                        <m:ctrlPr>
                                          <w:rPr>
                                            <w:rFonts w:ascii="Cambria Math" w:eastAsiaTheme="minorEastAsia" w:hAnsi="Cambria Math"/>
                                            <w:i/>
                                            <w:iCs/>
                                            <w:color w:val="000000" w:themeColor="text1"/>
                                            <w:kern w:val="24"/>
                                            <w:sz w:val="24"/>
                                            <w:szCs w:val="24"/>
                                          </w:rPr>
                                        </m:ctrlPr>
                                      </m:fPr>
                                      <m:num>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C</m:t>
                                            </m:r>
                                          </m:e>
                                          <m:sub>
                                            <m:r>
                                              <w:rPr>
                                                <w:rFonts w:ascii="Cambria Math" w:hAnsi="Cambria Math"/>
                                                <w:color w:val="000000" w:themeColor="text1"/>
                                                <w:kern w:val="24"/>
                                                <w:sz w:val="24"/>
                                                <w:szCs w:val="24"/>
                                              </w:rPr>
                                              <m:t>t</m:t>
                                            </m:r>
                                          </m:sub>
                                        </m:sSub>
                                      </m:num>
                                      <m:den>
                                        <m:sSup>
                                          <m:sSupPr>
                                            <m:ctrlPr>
                                              <w:rPr>
                                                <w:rFonts w:ascii="Cambria Math" w:eastAsiaTheme="minorEastAsia" w:hAnsi="Cambria Math"/>
                                                <w:i/>
                                                <w:iCs/>
                                                <w:color w:val="000000" w:themeColor="text1"/>
                                                <w:kern w:val="24"/>
                                                <w:sz w:val="24"/>
                                                <w:szCs w:val="24"/>
                                              </w:rPr>
                                            </m:ctrlPr>
                                          </m:sSupPr>
                                          <m:e>
                                            <m:r>
                                              <w:rPr>
                                                <w:rFonts w:ascii="Cambria Math" w:hAnsi="Cambria Math"/>
                                                <w:color w:val="000000" w:themeColor="text1"/>
                                                <w:kern w:val="24"/>
                                                <w:sz w:val="24"/>
                                                <w:szCs w:val="24"/>
                                              </w:rPr>
                                              <m:t>(1+</m:t>
                                            </m:r>
                                            <m:r>
                                              <m:rPr>
                                                <m:sty m:val="bi"/>
                                              </m:rPr>
                                              <w:rPr>
                                                <w:rFonts w:ascii="Cambria Math" w:hAnsi="Cambria Math"/>
                                                <w:color w:val="000000" w:themeColor="text1"/>
                                                <w:kern w:val="24"/>
                                                <w:sz w:val="24"/>
                                                <w:szCs w:val="24"/>
                                              </w:rPr>
                                              <m:t>r</m:t>
                                            </m:r>
                                            <m:r>
                                              <w:rPr>
                                                <w:rFonts w:ascii="Cambria Math" w:hAnsi="Cambria Math"/>
                                                <w:color w:val="000000" w:themeColor="text1"/>
                                                <w:kern w:val="24"/>
                                                <w:sz w:val="24"/>
                                                <w:szCs w:val="24"/>
                                              </w:rPr>
                                              <m:t>)</m:t>
                                            </m:r>
                                          </m:e>
                                          <m:sup>
                                            <m:r>
                                              <w:rPr>
                                                <w:rFonts w:ascii="Cambria Math" w:hAnsi="Cambria Math"/>
                                                <w:color w:val="000000" w:themeColor="text1"/>
                                                <w:kern w:val="24"/>
                                                <w:sz w:val="24"/>
                                                <w:szCs w:val="24"/>
                                              </w:rPr>
                                              <m:t>t</m:t>
                                            </m:r>
                                          </m:sup>
                                        </m:sSup>
                                      </m:den>
                                    </m:f>
                                    <m:r>
                                      <w:rPr>
                                        <w:rFonts w:ascii="Cambria Math" w:hAnsi="Cambria Math"/>
                                        <w:color w:val="000000" w:themeColor="text1"/>
                                        <w:kern w:val="24"/>
                                        <w:sz w:val="24"/>
                                        <w:szCs w:val="24"/>
                                      </w:rPr>
                                      <m:t>-</m:t>
                                    </m:r>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C</m:t>
                                        </m:r>
                                      </m:e>
                                      <m:sub>
                                        <m:r>
                                          <w:rPr>
                                            <w:rFonts w:ascii="Cambria Math" w:hAnsi="Cambria Math"/>
                                            <w:color w:val="000000" w:themeColor="text1"/>
                                            <w:kern w:val="24"/>
                                            <w:sz w:val="24"/>
                                            <w:szCs w:val="24"/>
                                          </w:rPr>
                                          <m:t>o</m:t>
                                        </m:r>
                                      </m:sub>
                                    </m:sSub>
                                  </m:e>
                                </m:nary>
                              </m:oMath>
                            </m:oMathPara>
                          </w:p>
                        </w:txbxContent>
                      </wps:txbx>
                      <wps:bodyPr wrap="none" lIns="0" tIns="0" rIns="0" bIns="0" rtlCol="0">
                        <a:spAutoFit/>
                      </wps:bodyPr>
                    </wps:wsp>
                  </a:graphicData>
                </a:graphic>
              </wp:anchor>
            </w:drawing>
          </mc:Choice>
          <mc:Fallback>
            <w:pict>
              <v:shape w14:anchorId="3672C244" id="TextBox 3" o:spid="_x0000_s1032" type="#_x0000_t202" style="position:absolute;margin-left:0;margin-top:.75pt;width:478.15pt;height:95.4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" filled="f" stroked="f">
                <v:textbox style="mso-fit-shape-to-text:t" inset="0,0,0,0">
                  <w:txbxContent>
                    <w:p w14:paraId="2AD0D4EE" w14:textId="77777777" w:rsidR="00364128" w:rsidRPr="00364128" w:rsidRDefault="00364128" w:rsidP="00364128">
                      <w:pPr>
                        <w:rPr>
                          <w:sz w:val="24"/>
                          <w:szCs w:val="24"/>
                        </w:rPr>
                      </w:pPr>
                      <m:oMathPara>
                        <m:oMathParaPr>
                          <m:jc m:val="centerGroup"/>
                        </m:oMathParaPr>
                        <m:oMath>
                          <m:r>
                            <w:rPr>
                              <w:rFonts w:ascii="Cambria Math" w:hAnsi="Cambria Math"/>
                              <w:color w:val="000000" w:themeColor="text1"/>
                              <w:kern w:val="24"/>
                              <w:sz w:val="24"/>
                              <w:szCs w:val="24"/>
                            </w:rPr>
                            <m:t>Net Present Value=</m:t>
                          </m:r>
                          <m:nary>
                            <m:naryPr>
                              <m:chr m:val="∑"/>
                              <m:ctrlPr>
                                <w:rPr>
                                  <w:rFonts w:ascii="Cambria Math" w:eastAsiaTheme="minorEastAsia" w:hAnsi="Cambria Math"/>
                                  <w:i/>
                                  <w:iCs/>
                                  <w:color w:val="000000" w:themeColor="text1"/>
                                  <w:kern w:val="24"/>
                                  <w:sz w:val="24"/>
                                  <w:szCs w:val="24"/>
                                </w:rPr>
                              </m:ctrlPr>
                            </m:naryPr>
                            <m:sub>
                              <m:r>
                                <w:rPr>
                                  <w:rFonts w:ascii="Cambria Math" w:hAnsi="Cambria Math"/>
                                  <w:color w:val="000000" w:themeColor="text1"/>
                                  <w:kern w:val="24"/>
                                  <w:sz w:val="24"/>
                                  <w:szCs w:val="24"/>
                                </w:rPr>
                                <m:t>t-1</m:t>
                              </m:r>
                            </m:sub>
                            <m:sup>
                              <m:r>
                                <w:rPr>
                                  <w:rFonts w:ascii="Cambria Math" w:hAnsi="Cambria Math"/>
                                  <w:color w:val="000000" w:themeColor="text1"/>
                                  <w:kern w:val="24"/>
                                  <w:sz w:val="24"/>
                                  <w:szCs w:val="24"/>
                                </w:rPr>
                                <m:t>T</m:t>
                              </m:r>
                            </m:sup>
                            <m:e>
                              <m:f>
                                <m:fPr>
                                  <m:ctrlPr>
                                    <w:rPr>
                                      <w:rFonts w:ascii="Cambria Math" w:eastAsiaTheme="minorEastAsia" w:hAnsi="Cambria Math"/>
                                      <w:i/>
                                      <w:iCs/>
                                      <w:color w:val="000000" w:themeColor="text1"/>
                                      <w:kern w:val="24"/>
                                      <w:sz w:val="24"/>
                                      <w:szCs w:val="24"/>
                                    </w:rPr>
                                  </m:ctrlPr>
                                </m:fPr>
                                <m:num>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C</m:t>
                                      </m:r>
                                    </m:e>
                                    <m:sub>
                                      <m:r>
                                        <w:rPr>
                                          <w:rFonts w:ascii="Cambria Math" w:hAnsi="Cambria Math"/>
                                          <w:color w:val="000000" w:themeColor="text1"/>
                                          <w:kern w:val="24"/>
                                          <w:sz w:val="24"/>
                                          <w:szCs w:val="24"/>
                                        </w:rPr>
                                        <m:t>t</m:t>
                                      </m:r>
                                    </m:sub>
                                  </m:sSub>
                                </m:num>
                                <m:den>
                                  <m:sSup>
                                    <m:sSupPr>
                                      <m:ctrlPr>
                                        <w:rPr>
                                          <w:rFonts w:ascii="Cambria Math" w:eastAsiaTheme="minorEastAsia" w:hAnsi="Cambria Math"/>
                                          <w:i/>
                                          <w:iCs/>
                                          <w:color w:val="000000" w:themeColor="text1"/>
                                          <w:kern w:val="24"/>
                                          <w:sz w:val="24"/>
                                          <w:szCs w:val="24"/>
                                        </w:rPr>
                                      </m:ctrlPr>
                                    </m:sSupPr>
                                    <m:e>
                                      <m:r>
                                        <w:rPr>
                                          <w:rFonts w:ascii="Cambria Math" w:hAnsi="Cambria Math"/>
                                          <w:color w:val="000000" w:themeColor="text1"/>
                                          <w:kern w:val="24"/>
                                          <w:sz w:val="24"/>
                                          <w:szCs w:val="24"/>
                                        </w:rPr>
                                        <m:t>(1+</m:t>
                                      </m:r>
                                      <m:r>
                                        <m:rPr>
                                          <m:sty m:val="bi"/>
                                        </m:rPr>
                                        <w:rPr>
                                          <w:rFonts w:ascii="Cambria Math" w:hAnsi="Cambria Math"/>
                                          <w:color w:val="000000" w:themeColor="text1"/>
                                          <w:kern w:val="24"/>
                                          <w:sz w:val="24"/>
                                          <w:szCs w:val="24"/>
                                        </w:rPr>
                                        <m:t>r</m:t>
                                      </m:r>
                                      <m:r>
                                        <w:rPr>
                                          <w:rFonts w:ascii="Cambria Math" w:hAnsi="Cambria Math"/>
                                          <w:color w:val="000000" w:themeColor="text1"/>
                                          <w:kern w:val="24"/>
                                          <w:sz w:val="24"/>
                                          <w:szCs w:val="24"/>
                                        </w:rPr>
                                        <m:t>)</m:t>
                                      </m:r>
                                    </m:e>
                                    <m:sup>
                                      <m:r>
                                        <w:rPr>
                                          <w:rFonts w:ascii="Cambria Math" w:hAnsi="Cambria Math"/>
                                          <w:color w:val="000000" w:themeColor="text1"/>
                                          <w:kern w:val="24"/>
                                          <w:sz w:val="24"/>
                                          <w:szCs w:val="24"/>
                                        </w:rPr>
                                        <m:t>t</m:t>
                                      </m:r>
                                    </m:sup>
                                  </m:sSup>
                                </m:den>
                              </m:f>
                              <m:r>
                                <w:rPr>
                                  <w:rFonts w:ascii="Cambria Math" w:hAnsi="Cambria Math"/>
                                  <w:color w:val="000000" w:themeColor="text1"/>
                                  <w:kern w:val="24"/>
                                  <w:sz w:val="24"/>
                                  <w:szCs w:val="24"/>
                                </w:rPr>
                                <m:t>-</m:t>
                              </m:r>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C</m:t>
                                  </m:r>
                                </m:e>
                                <m:sub>
                                  <m:r>
                                    <w:rPr>
                                      <w:rFonts w:ascii="Cambria Math" w:hAnsi="Cambria Math"/>
                                      <w:color w:val="000000" w:themeColor="text1"/>
                                      <w:kern w:val="24"/>
                                      <w:sz w:val="24"/>
                                      <w:szCs w:val="24"/>
                                    </w:rPr>
                                    <m:t>o</m:t>
                                  </m:r>
                                </m:sub>
                              </m:sSub>
                            </m:e>
                          </m:nary>
                        </m:oMath>
                      </m:oMathPara>
                    </w:p>
                  </w:txbxContent>
                </v:textbox>
                <w10:wrap anchorx="margin"/>
              </v:shape>
            </w:pict>
          </mc:Fallback>
        </mc:AlternateContent>
      </w:r>
    </w:p>
    <w:p w14:paraId="00954D0A" w14:textId="77777777" w:rsidR="00693675" w:rsidRDefault="00693675"/>
    <w:p w14:paraId="7AB91B2C" w14:textId="5D3FE48B" w:rsidR="00693675" w:rsidRDefault="00E863D3">
      <w:r>
        <w:t xml:space="preserve">Why are we advocating a reconsideration of value in commercial archaeology? </w:t>
      </w:r>
      <w:r w:rsidR="006C12F2">
        <w:t xml:space="preserve">Because, as a whole, the commercial archaeology industry in the U.K. does not appear to be financially sustainable. Landward Research (2019) reports that the mean profit for commercial archaeology organisations was 7.5 percent in 2018. On the surface, that seems like a reasonable profit. However, Duff &amp; Phelps (2019) reports that for U.K. professional service firms, </w:t>
      </w:r>
      <w:r w:rsidR="004D07AE">
        <w:t>which</w:t>
      </w:r>
      <w:r w:rsidR="004D07AE">
        <w:t xml:space="preserve"> </w:t>
      </w:r>
      <w:r w:rsidR="006C12F2">
        <w:t>includes commercial archaeology, the WACC was 8.5 percent in 2018. Thus, overall for 2018, the industry lost one percent value and, hence, was not sustainable.</w:t>
      </w:r>
    </w:p>
    <w:p w14:paraId="2A545D13" w14:textId="430F7113" w:rsidR="006C12F2" w:rsidRDefault="006C12F2">
      <w:r>
        <w:t xml:space="preserve">Approximately </w:t>
      </w:r>
      <w:r w:rsidR="004D07AE">
        <w:t>52</w:t>
      </w:r>
      <w:r w:rsidR="004D07AE">
        <w:t xml:space="preserve"> </w:t>
      </w:r>
      <w:r>
        <w:t xml:space="preserve">percent of </w:t>
      </w:r>
      <w:r w:rsidR="004D07AE">
        <w:t xml:space="preserve">people working in </w:t>
      </w:r>
      <w:r>
        <w:t xml:space="preserve">commercial archaeology in the U.K. </w:t>
      </w:r>
      <w:r w:rsidR="004D07AE">
        <w:t>work for</w:t>
      </w:r>
      <w:r w:rsidR="004D07AE">
        <w:t xml:space="preserve"> </w:t>
      </w:r>
      <w:r>
        <w:t>not-for-profit charities</w:t>
      </w:r>
      <w:r w:rsidR="004D07AE">
        <w:t xml:space="preserve"> (calculated from Landward Research 2019)</w:t>
      </w:r>
      <w:r>
        <w:t xml:space="preserve">. Charities don’t have equity and, thus, don’t have a cost of equity. </w:t>
      </w:r>
      <w:r w:rsidR="00762904">
        <w:t xml:space="preserve">As well, they </w:t>
      </w:r>
      <w:r w:rsidR="004D07AE">
        <w:t>are generally exempt from</w:t>
      </w:r>
      <w:r w:rsidR="00762904">
        <w:t xml:space="preserve"> </w:t>
      </w:r>
      <w:r w:rsidR="004D07AE">
        <w:t xml:space="preserve">corporation </w:t>
      </w:r>
      <w:r w:rsidR="00762904">
        <w:t xml:space="preserve">tax. </w:t>
      </w:r>
      <w:r>
        <w:t>Thus, technically, the WACC approach to valuation isn’t applicable. In concept, though, it has merit. Charities also need to be profitable and return a certain level of value</w:t>
      </w:r>
      <w:r w:rsidR="00044B51">
        <w:t>. One technique for substituting the cost of equity, discussed by Essaides (2016), is to use the required return on investment capital:  “</w:t>
      </w:r>
      <w:r w:rsidR="00044B51" w:rsidRPr="00044B51">
        <w:t>If a nonprofit board of directors has a mandate that an organization annually return $1 million of its assets through scholarships or other various charitable avenues and its assets base (i.e. invested capital) is $10 million, requiring a 10 percent annual return</w:t>
      </w:r>
      <w:r w:rsidR="00044B51">
        <w:t>”. An internet search for WACC and non-profits will provide a number of resources for archaeological charities interested in adapting a financial value approach.</w:t>
      </w:r>
    </w:p>
    <w:p w14:paraId="01836B1D" w14:textId="4271CA02" w:rsidR="00044B51" w:rsidRDefault="00044B51">
      <w:r>
        <w:t xml:space="preserve">Archaeology as a discipline continues to evolve. The </w:t>
      </w:r>
      <w:r w:rsidR="002118E1">
        <w:t>privati</w:t>
      </w:r>
      <w:r w:rsidR="002118E1">
        <w:t>s</w:t>
      </w:r>
      <w:r w:rsidR="002118E1">
        <w:t xml:space="preserve">ation </w:t>
      </w:r>
      <w:r>
        <w:t xml:space="preserve">of our discipline over the last generation of practitioners now requires a different, and more sophisticated, method of </w:t>
      </w:r>
      <w:r w:rsidR="00C678CA">
        <w:t>evaluating financial value. If archaeological organisations are going to have a significant heritage impact, they must be sustainable. To be sustainable, they must return value. The WACC method provides a relatively easy, and scalable, solution for organisations to use to measure, monitor, and ensure business decisions are made in a way that returns value to the organisation.</w:t>
      </w:r>
    </w:p>
    <w:p w14:paraId="29B0D668" w14:textId="77777777" w:rsidR="00044B51" w:rsidRDefault="00044B51"/>
    <w:p w14:paraId="001E2755" w14:textId="77777777" w:rsidR="00044B51" w:rsidRDefault="00044B51" w:rsidP="00044B51">
      <w:pPr>
        <w:pStyle w:val="NoSpacing"/>
      </w:pPr>
      <w:r>
        <w:t>References</w:t>
      </w:r>
    </w:p>
    <w:p w14:paraId="1FD794CD" w14:textId="77777777" w:rsidR="00044B51" w:rsidRDefault="00044B51" w:rsidP="00044B51">
      <w:pPr>
        <w:pStyle w:val="NoSpacing"/>
      </w:pPr>
    </w:p>
    <w:p w14:paraId="5855D9CE" w14:textId="1C6D244B" w:rsidR="00570827" w:rsidRDefault="00570827" w:rsidP="00044B51">
      <w:pPr>
        <w:pStyle w:val="NoSpacing"/>
      </w:pPr>
      <w:r>
        <w:t>Duff &amp; Phelps</w:t>
      </w:r>
      <w:r w:rsidR="005B3174">
        <w:t xml:space="preserve">. </w:t>
      </w:r>
      <w:r>
        <w:t>2019</w:t>
      </w:r>
      <w:r w:rsidR="005B3174">
        <w:t xml:space="preserve">. </w:t>
      </w:r>
      <w:r w:rsidRPr="00570827">
        <w:rPr>
          <w:i/>
        </w:rPr>
        <w:t>Valuation Handbook 2018:  International Industry Cost of Capital, United Kingdom.</w:t>
      </w:r>
      <w:r>
        <w:t xml:space="preserve"> Duff &amp; Phelps, Chicago.</w:t>
      </w:r>
    </w:p>
    <w:p w14:paraId="70918F36" w14:textId="77777777" w:rsidR="00044B51" w:rsidRDefault="00044B51" w:rsidP="00044B51">
      <w:pPr>
        <w:pStyle w:val="NoSpacing"/>
      </w:pPr>
    </w:p>
    <w:p w14:paraId="31F33928" w14:textId="77C6B07A" w:rsidR="002118E1" w:rsidRDefault="00044B51" w:rsidP="00044B51">
      <w:pPr>
        <w:pStyle w:val="NoSpacing"/>
      </w:pPr>
      <w:r>
        <w:t xml:space="preserve">Essaides, </w:t>
      </w:r>
      <w:r w:rsidR="002118E1">
        <w:t>N</w:t>
      </w:r>
      <w:r w:rsidR="002118E1">
        <w:t>.</w:t>
      </w:r>
      <w:r w:rsidR="005B3174">
        <w:t xml:space="preserve"> </w:t>
      </w:r>
      <w:r>
        <w:t>2016</w:t>
      </w:r>
      <w:r w:rsidR="005B3174">
        <w:t xml:space="preserve">. </w:t>
      </w:r>
      <w:r w:rsidRPr="005B3174">
        <w:rPr>
          <w:i/>
          <w:iCs/>
        </w:rPr>
        <w:t>FP&amp;A for Nonprofits:  Making Investment Decisions</w:t>
      </w:r>
      <w:r>
        <w:t xml:space="preserve">. </w:t>
      </w:r>
    </w:p>
    <w:p w14:paraId="044F430B" w14:textId="34D78E95" w:rsidR="00044B51" w:rsidRDefault="005B3174" w:rsidP="00044B51">
      <w:pPr>
        <w:pStyle w:val="NoSpacing"/>
      </w:pPr>
      <w:hyperlink r:id="rId5" w:history="1">
        <w:r w:rsidRPr="004D711D">
          <w:rPr>
            <w:rStyle w:val="Hyperlink"/>
          </w:rPr>
          <w:t>https://www.afponline.org/ideas-inspiration/topics/articles/Details/fp-a-for-nonprofits-making-investment-decisions</w:t>
        </w:r>
      </w:hyperlink>
      <w:r>
        <w:t xml:space="preserve">. </w:t>
      </w:r>
      <w:r w:rsidR="00044B51">
        <w:t>Association for Financial Professionals</w:t>
      </w:r>
      <w:r>
        <w:t>, Bethesda</w:t>
      </w:r>
      <w:r w:rsidR="00044B51">
        <w:t>.</w:t>
      </w:r>
    </w:p>
    <w:p w14:paraId="6FCBB08B" w14:textId="77777777" w:rsidR="006C12F2" w:rsidRDefault="006C12F2" w:rsidP="00044B51">
      <w:pPr>
        <w:pStyle w:val="NoSpacing"/>
      </w:pPr>
    </w:p>
    <w:p w14:paraId="6AD03C3A" w14:textId="1066D187" w:rsidR="002118E1" w:rsidRDefault="006C12F2" w:rsidP="00044B51">
      <w:pPr>
        <w:pStyle w:val="NoSpacing"/>
      </w:pPr>
      <w:r w:rsidRPr="005B3174">
        <w:t xml:space="preserve">Landward </w:t>
      </w:r>
      <w:r w:rsidR="002118E1" w:rsidRPr="005B3174">
        <w:t>Re</w:t>
      </w:r>
      <w:r w:rsidR="002118E1" w:rsidRPr="005B3174">
        <w:t>search</w:t>
      </w:r>
      <w:r w:rsidR="005B3174">
        <w:t xml:space="preserve">. </w:t>
      </w:r>
      <w:r w:rsidR="002118E1">
        <w:t>2019</w:t>
      </w:r>
      <w:r w:rsidR="005B3174">
        <w:t xml:space="preserve">. </w:t>
      </w:r>
      <w:r w:rsidR="002118E1" w:rsidRPr="005B3174">
        <w:rPr>
          <w:i/>
          <w:iCs/>
        </w:rPr>
        <w:t>State of the Archaeological Market 2018</w:t>
      </w:r>
      <w:r w:rsidR="005B3174">
        <w:t>.</w:t>
      </w:r>
    </w:p>
    <w:p w14:paraId="1FFE98DD" w14:textId="460A0D7A" w:rsidR="002118E1" w:rsidRPr="00570827" w:rsidRDefault="005B3174" w:rsidP="00044B51">
      <w:pPr>
        <w:pStyle w:val="NoSpacing"/>
      </w:pPr>
      <w:hyperlink r:id="rId6" w:history="1">
        <w:r w:rsidRPr="004D711D">
          <w:rPr>
            <w:rStyle w:val="Hyperlink"/>
          </w:rPr>
          <w:t>https://landward.eu/wp-content/uploads/2019/03/Archaeological-Market-Survey-2017-18.pdf</w:t>
        </w:r>
      </w:hyperlink>
      <w:r>
        <w:t xml:space="preserve">. </w:t>
      </w:r>
      <w:r w:rsidR="002118E1">
        <w:t>Landward Research Ltd</w:t>
      </w:r>
      <w:r>
        <w:t>, Sheffield.</w:t>
      </w:r>
    </w:p>
    <w:sectPr w:rsidR="002118E1" w:rsidRPr="00570827" w:rsidSect="00A84DB3">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CD"/>
    <w:rsid w:val="00000A13"/>
    <w:rsid w:val="00001B7D"/>
    <w:rsid w:val="00002EEE"/>
    <w:rsid w:val="0000322E"/>
    <w:rsid w:val="000034F3"/>
    <w:rsid w:val="0000463F"/>
    <w:rsid w:val="0000464A"/>
    <w:rsid w:val="00004F53"/>
    <w:rsid w:val="000059F0"/>
    <w:rsid w:val="00006833"/>
    <w:rsid w:val="00006D8B"/>
    <w:rsid w:val="00010081"/>
    <w:rsid w:val="00010BD2"/>
    <w:rsid w:val="00011856"/>
    <w:rsid w:val="000120FA"/>
    <w:rsid w:val="00012138"/>
    <w:rsid w:val="0001678F"/>
    <w:rsid w:val="000210E3"/>
    <w:rsid w:val="0002331B"/>
    <w:rsid w:val="000238AA"/>
    <w:rsid w:val="00026EBD"/>
    <w:rsid w:val="000274DD"/>
    <w:rsid w:val="0002769F"/>
    <w:rsid w:val="00027F7E"/>
    <w:rsid w:val="00030592"/>
    <w:rsid w:val="00031D96"/>
    <w:rsid w:val="00032000"/>
    <w:rsid w:val="000325A1"/>
    <w:rsid w:val="000327D6"/>
    <w:rsid w:val="0003389E"/>
    <w:rsid w:val="000373B5"/>
    <w:rsid w:val="00041173"/>
    <w:rsid w:val="0004432F"/>
    <w:rsid w:val="0004480C"/>
    <w:rsid w:val="00044B51"/>
    <w:rsid w:val="0005440F"/>
    <w:rsid w:val="00055A7B"/>
    <w:rsid w:val="000562AE"/>
    <w:rsid w:val="00056B78"/>
    <w:rsid w:val="00056E69"/>
    <w:rsid w:val="0005712C"/>
    <w:rsid w:val="000627E0"/>
    <w:rsid w:val="0006398F"/>
    <w:rsid w:val="00067A6C"/>
    <w:rsid w:val="0007053A"/>
    <w:rsid w:val="000708B2"/>
    <w:rsid w:val="00071198"/>
    <w:rsid w:val="00071AE0"/>
    <w:rsid w:val="00073C30"/>
    <w:rsid w:val="00074178"/>
    <w:rsid w:val="00075A14"/>
    <w:rsid w:val="00075BD3"/>
    <w:rsid w:val="00077640"/>
    <w:rsid w:val="00077660"/>
    <w:rsid w:val="00081259"/>
    <w:rsid w:val="000846F8"/>
    <w:rsid w:val="00084B7A"/>
    <w:rsid w:val="0008630D"/>
    <w:rsid w:val="00086714"/>
    <w:rsid w:val="00086AA3"/>
    <w:rsid w:val="000871EA"/>
    <w:rsid w:val="00087796"/>
    <w:rsid w:val="00087DD7"/>
    <w:rsid w:val="000902A4"/>
    <w:rsid w:val="00090427"/>
    <w:rsid w:val="00090566"/>
    <w:rsid w:val="000937A1"/>
    <w:rsid w:val="000939CE"/>
    <w:rsid w:val="000957DB"/>
    <w:rsid w:val="000963C7"/>
    <w:rsid w:val="00096DE2"/>
    <w:rsid w:val="000A0C6A"/>
    <w:rsid w:val="000A2E38"/>
    <w:rsid w:val="000A44B7"/>
    <w:rsid w:val="000A461A"/>
    <w:rsid w:val="000A47FA"/>
    <w:rsid w:val="000A4BD9"/>
    <w:rsid w:val="000A5318"/>
    <w:rsid w:val="000A53BF"/>
    <w:rsid w:val="000A55AE"/>
    <w:rsid w:val="000A6099"/>
    <w:rsid w:val="000A6285"/>
    <w:rsid w:val="000A66CE"/>
    <w:rsid w:val="000A6D95"/>
    <w:rsid w:val="000B0F0A"/>
    <w:rsid w:val="000B2AA5"/>
    <w:rsid w:val="000B3D99"/>
    <w:rsid w:val="000B422C"/>
    <w:rsid w:val="000B4773"/>
    <w:rsid w:val="000B689A"/>
    <w:rsid w:val="000B759E"/>
    <w:rsid w:val="000B77A6"/>
    <w:rsid w:val="000C0918"/>
    <w:rsid w:val="000C1181"/>
    <w:rsid w:val="000C39CE"/>
    <w:rsid w:val="000C4F70"/>
    <w:rsid w:val="000C50E8"/>
    <w:rsid w:val="000D04A0"/>
    <w:rsid w:val="000D0560"/>
    <w:rsid w:val="000D1EF7"/>
    <w:rsid w:val="000D220A"/>
    <w:rsid w:val="000D3F4D"/>
    <w:rsid w:val="000D48B8"/>
    <w:rsid w:val="000D55CE"/>
    <w:rsid w:val="000D7833"/>
    <w:rsid w:val="000E03FF"/>
    <w:rsid w:val="000E082D"/>
    <w:rsid w:val="000E205F"/>
    <w:rsid w:val="000E304F"/>
    <w:rsid w:val="000E4C10"/>
    <w:rsid w:val="000F2DE6"/>
    <w:rsid w:val="000F59A2"/>
    <w:rsid w:val="000F67FB"/>
    <w:rsid w:val="000F7E07"/>
    <w:rsid w:val="001005D7"/>
    <w:rsid w:val="00101C36"/>
    <w:rsid w:val="00101E20"/>
    <w:rsid w:val="001049C7"/>
    <w:rsid w:val="0010533B"/>
    <w:rsid w:val="001053F6"/>
    <w:rsid w:val="00107CC7"/>
    <w:rsid w:val="0011152F"/>
    <w:rsid w:val="00116A91"/>
    <w:rsid w:val="00117F60"/>
    <w:rsid w:val="0012032C"/>
    <w:rsid w:val="00120781"/>
    <w:rsid w:val="001209C2"/>
    <w:rsid w:val="00121192"/>
    <w:rsid w:val="00121507"/>
    <w:rsid w:val="00123C76"/>
    <w:rsid w:val="001243B8"/>
    <w:rsid w:val="00125DFE"/>
    <w:rsid w:val="0012629D"/>
    <w:rsid w:val="0012672F"/>
    <w:rsid w:val="00127D8F"/>
    <w:rsid w:val="00136BB2"/>
    <w:rsid w:val="001371B4"/>
    <w:rsid w:val="00141775"/>
    <w:rsid w:val="00141D12"/>
    <w:rsid w:val="001512DD"/>
    <w:rsid w:val="001524C2"/>
    <w:rsid w:val="00154952"/>
    <w:rsid w:val="001609F5"/>
    <w:rsid w:val="00160B99"/>
    <w:rsid w:val="00160E2C"/>
    <w:rsid w:val="00162972"/>
    <w:rsid w:val="00163E97"/>
    <w:rsid w:val="001643C2"/>
    <w:rsid w:val="001652D3"/>
    <w:rsid w:val="001666DB"/>
    <w:rsid w:val="001721DD"/>
    <w:rsid w:val="0017241A"/>
    <w:rsid w:val="0017264A"/>
    <w:rsid w:val="00173D0D"/>
    <w:rsid w:val="001742C6"/>
    <w:rsid w:val="00177740"/>
    <w:rsid w:val="00177DD2"/>
    <w:rsid w:val="00180B75"/>
    <w:rsid w:val="0018111F"/>
    <w:rsid w:val="00182B46"/>
    <w:rsid w:val="00184697"/>
    <w:rsid w:val="00193643"/>
    <w:rsid w:val="00194D02"/>
    <w:rsid w:val="00194DAC"/>
    <w:rsid w:val="0019519F"/>
    <w:rsid w:val="001A0250"/>
    <w:rsid w:val="001A2597"/>
    <w:rsid w:val="001A2C26"/>
    <w:rsid w:val="001A5B05"/>
    <w:rsid w:val="001B19B4"/>
    <w:rsid w:val="001B2001"/>
    <w:rsid w:val="001B2E97"/>
    <w:rsid w:val="001B395F"/>
    <w:rsid w:val="001B53A3"/>
    <w:rsid w:val="001B5865"/>
    <w:rsid w:val="001B5E1E"/>
    <w:rsid w:val="001B72E8"/>
    <w:rsid w:val="001C21DF"/>
    <w:rsid w:val="001C2906"/>
    <w:rsid w:val="001C3EFC"/>
    <w:rsid w:val="001C63BC"/>
    <w:rsid w:val="001D084F"/>
    <w:rsid w:val="001D0CC9"/>
    <w:rsid w:val="001D0F65"/>
    <w:rsid w:val="001D21FF"/>
    <w:rsid w:val="001D2257"/>
    <w:rsid w:val="001D49AB"/>
    <w:rsid w:val="001D7018"/>
    <w:rsid w:val="001E03E2"/>
    <w:rsid w:val="001E291E"/>
    <w:rsid w:val="001E2D2A"/>
    <w:rsid w:val="001E3063"/>
    <w:rsid w:val="001E319D"/>
    <w:rsid w:val="001E502E"/>
    <w:rsid w:val="001F17B5"/>
    <w:rsid w:val="001F20EE"/>
    <w:rsid w:val="001F2164"/>
    <w:rsid w:val="001F43B7"/>
    <w:rsid w:val="001F488D"/>
    <w:rsid w:val="001F5223"/>
    <w:rsid w:val="001F6786"/>
    <w:rsid w:val="001F69B0"/>
    <w:rsid w:val="002006C9"/>
    <w:rsid w:val="0020282C"/>
    <w:rsid w:val="002041BB"/>
    <w:rsid w:val="002054ED"/>
    <w:rsid w:val="00205DB9"/>
    <w:rsid w:val="002071DF"/>
    <w:rsid w:val="00207505"/>
    <w:rsid w:val="00210110"/>
    <w:rsid w:val="0021130C"/>
    <w:rsid w:val="002118E1"/>
    <w:rsid w:val="0021445B"/>
    <w:rsid w:val="00215224"/>
    <w:rsid w:val="00215875"/>
    <w:rsid w:val="00217551"/>
    <w:rsid w:val="00217B84"/>
    <w:rsid w:val="0022079F"/>
    <w:rsid w:val="0022141D"/>
    <w:rsid w:val="002224C2"/>
    <w:rsid w:val="002226DE"/>
    <w:rsid w:val="00222941"/>
    <w:rsid w:val="00223DFB"/>
    <w:rsid w:val="0022400E"/>
    <w:rsid w:val="002241CF"/>
    <w:rsid w:val="00227A83"/>
    <w:rsid w:val="00231314"/>
    <w:rsid w:val="00231432"/>
    <w:rsid w:val="00231FF3"/>
    <w:rsid w:val="00235A77"/>
    <w:rsid w:val="0024111B"/>
    <w:rsid w:val="00241282"/>
    <w:rsid w:val="00242581"/>
    <w:rsid w:val="002431D2"/>
    <w:rsid w:val="002447F9"/>
    <w:rsid w:val="00247C80"/>
    <w:rsid w:val="0025156A"/>
    <w:rsid w:val="00253376"/>
    <w:rsid w:val="002536BF"/>
    <w:rsid w:val="00253715"/>
    <w:rsid w:val="00255075"/>
    <w:rsid w:val="00256EF9"/>
    <w:rsid w:val="002572BD"/>
    <w:rsid w:val="00260542"/>
    <w:rsid w:val="00260A48"/>
    <w:rsid w:val="00263515"/>
    <w:rsid w:val="00264F24"/>
    <w:rsid w:val="00265B83"/>
    <w:rsid w:val="00265DBB"/>
    <w:rsid w:val="00265F93"/>
    <w:rsid w:val="0027083C"/>
    <w:rsid w:val="00271881"/>
    <w:rsid w:val="00273CB9"/>
    <w:rsid w:val="0027474D"/>
    <w:rsid w:val="00274B36"/>
    <w:rsid w:val="0027670C"/>
    <w:rsid w:val="00281318"/>
    <w:rsid w:val="00283999"/>
    <w:rsid w:val="002845C5"/>
    <w:rsid w:val="00284E6D"/>
    <w:rsid w:val="002850F3"/>
    <w:rsid w:val="00285320"/>
    <w:rsid w:val="00286844"/>
    <w:rsid w:val="00286A16"/>
    <w:rsid w:val="00287046"/>
    <w:rsid w:val="002872DD"/>
    <w:rsid w:val="00290B26"/>
    <w:rsid w:val="00294AF8"/>
    <w:rsid w:val="0029543C"/>
    <w:rsid w:val="00295444"/>
    <w:rsid w:val="00295F40"/>
    <w:rsid w:val="00297C8A"/>
    <w:rsid w:val="00297F04"/>
    <w:rsid w:val="002A0BC8"/>
    <w:rsid w:val="002A120A"/>
    <w:rsid w:val="002A2353"/>
    <w:rsid w:val="002A23FC"/>
    <w:rsid w:val="002A5D2E"/>
    <w:rsid w:val="002A6965"/>
    <w:rsid w:val="002B03AA"/>
    <w:rsid w:val="002B06F5"/>
    <w:rsid w:val="002B1596"/>
    <w:rsid w:val="002B3214"/>
    <w:rsid w:val="002C0319"/>
    <w:rsid w:val="002C6538"/>
    <w:rsid w:val="002C65AF"/>
    <w:rsid w:val="002C732E"/>
    <w:rsid w:val="002C76EE"/>
    <w:rsid w:val="002C7722"/>
    <w:rsid w:val="002D2198"/>
    <w:rsid w:val="002D22F6"/>
    <w:rsid w:val="002D2443"/>
    <w:rsid w:val="002D3939"/>
    <w:rsid w:val="002D55A6"/>
    <w:rsid w:val="002D578A"/>
    <w:rsid w:val="002D737D"/>
    <w:rsid w:val="002E065D"/>
    <w:rsid w:val="002E0E98"/>
    <w:rsid w:val="002E1BEA"/>
    <w:rsid w:val="002E2162"/>
    <w:rsid w:val="002E3DC2"/>
    <w:rsid w:val="002E497D"/>
    <w:rsid w:val="002E4CEF"/>
    <w:rsid w:val="002E5F5A"/>
    <w:rsid w:val="002F0F47"/>
    <w:rsid w:val="002F1283"/>
    <w:rsid w:val="002F4056"/>
    <w:rsid w:val="002F6801"/>
    <w:rsid w:val="00300E40"/>
    <w:rsid w:val="00304630"/>
    <w:rsid w:val="00306555"/>
    <w:rsid w:val="00307D34"/>
    <w:rsid w:val="00307D71"/>
    <w:rsid w:val="003103E7"/>
    <w:rsid w:val="00310ED4"/>
    <w:rsid w:val="00312C6B"/>
    <w:rsid w:val="00315509"/>
    <w:rsid w:val="00316C20"/>
    <w:rsid w:val="00316DDD"/>
    <w:rsid w:val="00317F11"/>
    <w:rsid w:val="00321FAC"/>
    <w:rsid w:val="003228A0"/>
    <w:rsid w:val="00322F10"/>
    <w:rsid w:val="00324D22"/>
    <w:rsid w:val="00326C09"/>
    <w:rsid w:val="00326EE9"/>
    <w:rsid w:val="0033104F"/>
    <w:rsid w:val="00333DC9"/>
    <w:rsid w:val="003358D6"/>
    <w:rsid w:val="00335C70"/>
    <w:rsid w:val="003379B0"/>
    <w:rsid w:val="003410E2"/>
    <w:rsid w:val="00342250"/>
    <w:rsid w:val="003424BA"/>
    <w:rsid w:val="00342F73"/>
    <w:rsid w:val="003441D1"/>
    <w:rsid w:val="003450D2"/>
    <w:rsid w:val="0034678F"/>
    <w:rsid w:val="00350883"/>
    <w:rsid w:val="00352ACB"/>
    <w:rsid w:val="003535D0"/>
    <w:rsid w:val="003539A4"/>
    <w:rsid w:val="00355AE4"/>
    <w:rsid w:val="00356005"/>
    <w:rsid w:val="003561B6"/>
    <w:rsid w:val="00361D7D"/>
    <w:rsid w:val="0036404A"/>
    <w:rsid w:val="00364128"/>
    <w:rsid w:val="00364425"/>
    <w:rsid w:val="00366DE0"/>
    <w:rsid w:val="00367242"/>
    <w:rsid w:val="00371F78"/>
    <w:rsid w:val="00373203"/>
    <w:rsid w:val="00373DFF"/>
    <w:rsid w:val="00374E92"/>
    <w:rsid w:val="0038042B"/>
    <w:rsid w:val="003809B2"/>
    <w:rsid w:val="0038129D"/>
    <w:rsid w:val="00382721"/>
    <w:rsid w:val="00383B58"/>
    <w:rsid w:val="003848D3"/>
    <w:rsid w:val="00385C32"/>
    <w:rsid w:val="0038744B"/>
    <w:rsid w:val="00395D35"/>
    <w:rsid w:val="00396E4F"/>
    <w:rsid w:val="00397433"/>
    <w:rsid w:val="0039762B"/>
    <w:rsid w:val="00397B37"/>
    <w:rsid w:val="003A0758"/>
    <w:rsid w:val="003A1A29"/>
    <w:rsid w:val="003A37ED"/>
    <w:rsid w:val="003A3B17"/>
    <w:rsid w:val="003A3D54"/>
    <w:rsid w:val="003A3E75"/>
    <w:rsid w:val="003A7010"/>
    <w:rsid w:val="003A7566"/>
    <w:rsid w:val="003A759E"/>
    <w:rsid w:val="003A76BC"/>
    <w:rsid w:val="003A7C82"/>
    <w:rsid w:val="003A7EEE"/>
    <w:rsid w:val="003B0B73"/>
    <w:rsid w:val="003B0C52"/>
    <w:rsid w:val="003B1487"/>
    <w:rsid w:val="003B675D"/>
    <w:rsid w:val="003B6E7E"/>
    <w:rsid w:val="003B7040"/>
    <w:rsid w:val="003B769B"/>
    <w:rsid w:val="003B7A34"/>
    <w:rsid w:val="003C008C"/>
    <w:rsid w:val="003C76B9"/>
    <w:rsid w:val="003C76E3"/>
    <w:rsid w:val="003C7932"/>
    <w:rsid w:val="003D11F4"/>
    <w:rsid w:val="003D1B05"/>
    <w:rsid w:val="003D43EE"/>
    <w:rsid w:val="003D4E88"/>
    <w:rsid w:val="003D5A46"/>
    <w:rsid w:val="003D6081"/>
    <w:rsid w:val="003D6924"/>
    <w:rsid w:val="003D7B67"/>
    <w:rsid w:val="003E009E"/>
    <w:rsid w:val="003E1FC3"/>
    <w:rsid w:val="003E2804"/>
    <w:rsid w:val="003E3BC6"/>
    <w:rsid w:val="003E6AE0"/>
    <w:rsid w:val="003E7DB7"/>
    <w:rsid w:val="003F205F"/>
    <w:rsid w:val="003F3CDF"/>
    <w:rsid w:val="003F4142"/>
    <w:rsid w:val="003F62DE"/>
    <w:rsid w:val="003F6D57"/>
    <w:rsid w:val="003F70CA"/>
    <w:rsid w:val="003F72CF"/>
    <w:rsid w:val="0040008C"/>
    <w:rsid w:val="00400B3C"/>
    <w:rsid w:val="00400E18"/>
    <w:rsid w:val="00404198"/>
    <w:rsid w:val="00405C02"/>
    <w:rsid w:val="0040697E"/>
    <w:rsid w:val="00406E21"/>
    <w:rsid w:val="00407904"/>
    <w:rsid w:val="004079E8"/>
    <w:rsid w:val="004117BB"/>
    <w:rsid w:val="00412076"/>
    <w:rsid w:val="00412C4D"/>
    <w:rsid w:val="00414786"/>
    <w:rsid w:val="00416840"/>
    <w:rsid w:val="00416B9B"/>
    <w:rsid w:val="0042120F"/>
    <w:rsid w:val="0042274E"/>
    <w:rsid w:val="004228DF"/>
    <w:rsid w:val="00422FF9"/>
    <w:rsid w:val="00426619"/>
    <w:rsid w:val="00431447"/>
    <w:rsid w:val="004317B5"/>
    <w:rsid w:val="00433706"/>
    <w:rsid w:val="004338C9"/>
    <w:rsid w:val="00436725"/>
    <w:rsid w:val="00436DD4"/>
    <w:rsid w:val="0043793D"/>
    <w:rsid w:val="0044115A"/>
    <w:rsid w:val="00441E37"/>
    <w:rsid w:val="00442050"/>
    <w:rsid w:val="0044373F"/>
    <w:rsid w:val="004438BF"/>
    <w:rsid w:val="00444406"/>
    <w:rsid w:val="00446A8C"/>
    <w:rsid w:val="00447FEB"/>
    <w:rsid w:val="0045096A"/>
    <w:rsid w:val="004509B9"/>
    <w:rsid w:val="00450A5C"/>
    <w:rsid w:val="004516FF"/>
    <w:rsid w:val="0045203C"/>
    <w:rsid w:val="0045318B"/>
    <w:rsid w:val="00454CDE"/>
    <w:rsid w:val="0046056F"/>
    <w:rsid w:val="00460CBD"/>
    <w:rsid w:val="004622ED"/>
    <w:rsid w:val="00462895"/>
    <w:rsid w:val="004628B5"/>
    <w:rsid w:val="004632D3"/>
    <w:rsid w:val="004634A6"/>
    <w:rsid w:val="00463F60"/>
    <w:rsid w:val="00464E58"/>
    <w:rsid w:val="00464FCC"/>
    <w:rsid w:val="0046559B"/>
    <w:rsid w:val="00465A59"/>
    <w:rsid w:val="004670D9"/>
    <w:rsid w:val="00474336"/>
    <w:rsid w:val="004762BE"/>
    <w:rsid w:val="00477031"/>
    <w:rsid w:val="004774C6"/>
    <w:rsid w:val="00482D30"/>
    <w:rsid w:val="00485442"/>
    <w:rsid w:val="00486708"/>
    <w:rsid w:val="00490DB7"/>
    <w:rsid w:val="004915B3"/>
    <w:rsid w:val="0049212F"/>
    <w:rsid w:val="00494583"/>
    <w:rsid w:val="00494823"/>
    <w:rsid w:val="004949F5"/>
    <w:rsid w:val="00495358"/>
    <w:rsid w:val="0049552B"/>
    <w:rsid w:val="004957FC"/>
    <w:rsid w:val="00497F8D"/>
    <w:rsid w:val="004A0B64"/>
    <w:rsid w:val="004A14FE"/>
    <w:rsid w:val="004A1519"/>
    <w:rsid w:val="004A1E8E"/>
    <w:rsid w:val="004A2B94"/>
    <w:rsid w:val="004A306B"/>
    <w:rsid w:val="004A40CF"/>
    <w:rsid w:val="004A63AD"/>
    <w:rsid w:val="004A6C49"/>
    <w:rsid w:val="004B44A6"/>
    <w:rsid w:val="004B5C24"/>
    <w:rsid w:val="004B755F"/>
    <w:rsid w:val="004C02BF"/>
    <w:rsid w:val="004C06BD"/>
    <w:rsid w:val="004C1EA8"/>
    <w:rsid w:val="004C26B4"/>
    <w:rsid w:val="004C2A16"/>
    <w:rsid w:val="004C3BA5"/>
    <w:rsid w:val="004C4A4E"/>
    <w:rsid w:val="004C77B1"/>
    <w:rsid w:val="004D038C"/>
    <w:rsid w:val="004D07AE"/>
    <w:rsid w:val="004D2F39"/>
    <w:rsid w:val="004D368C"/>
    <w:rsid w:val="004D66B8"/>
    <w:rsid w:val="004D66FC"/>
    <w:rsid w:val="004D7EE9"/>
    <w:rsid w:val="004E18F4"/>
    <w:rsid w:val="004E3DF9"/>
    <w:rsid w:val="004E40A6"/>
    <w:rsid w:val="004E57DA"/>
    <w:rsid w:val="004F0619"/>
    <w:rsid w:val="004F2173"/>
    <w:rsid w:val="004F2ED9"/>
    <w:rsid w:val="004F3494"/>
    <w:rsid w:val="004F40F2"/>
    <w:rsid w:val="004F43ED"/>
    <w:rsid w:val="004F4E49"/>
    <w:rsid w:val="005005FF"/>
    <w:rsid w:val="00500E84"/>
    <w:rsid w:val="00501557"/>
    <w:rsid w:val="00502FC7"/>
    <w:rsid w:val="00503D49"/>
    <w:rsid w:val="00506D9B"/>
    <w:rsid w:val="00507A41"/>
    <w:rsid w:val="005118F5"/>
    <w:rsid w:val="005120EA"/>
    <w:rsid w:val="00512D3D"/>
    <w:rsid w:val="005131D9"/>
    <w:rsid w:val="00513B0A"/>
    <w:rsid w:val="00514E49"/>
    <w:rsid w:val="005226B7"/>
    <w:rsid w:val="00524DBE"/>
    <w:rsid w:val="00527C75"/>
    <w:rsid w:val="00533080"/>
    <w:rsid w:val="00533B2D"/>
    <w:rsid w:val="00534B59"/>
    <w:rsid w:val="00534C0B"/>
    <w:rsid w:val="00535435"/>
    <w:rsid w:val="00535B75"/>
    <w:rsid w:val="00536570"/>
    <w:rsid w:val="00536AD0"/>
    <w:rsid w:val="00540FB8"/>
    <w:rsid w:val="005414A2"/>
    <w:rsid w:val="005433F1"/>
    <w:rsid w:val="0054370D"/>
    <w:rsid w:val="0054424D"/>
    <w:rsid w:val="00546198"/>
    <w:rsid w:val="0055019F"/>
    <w:rsid w:val="00550810"/>
    <w:rsid w:val="00551440"/>
    <w:rsid w:val="00552333"/>
    <w:rsid w:val="00552E00"/>
    <w:rsid w:val="00553EB8"/>
    <w:rsid w:val="00554225"/>
    <w:rsid w:val="00554B58"/>
    <w:rsid w:val="00555102"/>
    <w:rsid w:val="0055536F"/>
    <w:rsid w:val="00556976"/>
    <w:rsid w:val="00557EC2"/>
    <w:rsid w:val="00561DDB"/>
    <w:rsid w:val="005631EE"/>
    <w:rsid w:val="0056570A"/>
    <w:rsid w:val="00570827"/>
    <w:rsid w:val="00571374"/>
    <w:rsid w:val="005714E5"/>
    <w:rsid w:val="00572BF6"/>
    <w:rsid w:val="005759D3"/>
    <w:rsid w:val="005765AF"/>
    <w:rsid w:val="0057786F"/>
    <w:rsid w:val="00577B34"/>
    <w:rsid w:val="00581640"/>
    <w:rsid w:val="005827D2"/>
    <w:rsid w:val="00586307"/>
    <w:rsid w:val="005A17FE"/>
    <w:rsid w:val="005A2050"/>
    <w:rsid w:val="005A2217"/>
    <w:rsid w:val="005A42AF"/>
    <w:rsid w:val="005A47DD"/>
    <w:rsid w:val="005A5B65"/>
    <w:rsid w:val="005A6FAE"/>
    <w:rsid w:val="005A793D"/>
    <w:rsid w:val="005A7D93"/>
    <w:rsid w:val="005B3174"/>
    <w:rsid w:val="005B585E"/>
    <w:rsid w:val="005B5CE7"/>
    <w:rsid w:val="005B6238"/>
    <w:rsid w:val="005B7940"/>
    <w:rsid w:val="005B7944"/>
    <w:rsid w:val="005C010C"/>
    <w:rsid w:val="005C012D"/>
    <w:rsid w:val="005C0801"/>
    <w:rsid w:val="005C0C43"/>
    <w:rsid w:val="005C12E5"/>
    <w:rsid w:val="005C2DB7"/>
    <w:rsid w:val="005C4082"/>
    <w:rsid w:val="005C4D68"/>
    <w:rsid w:val="005C5466"/>
    <w:rsid w:val="005C556D"/>
    <w:rsid w:val="005C5FAC"/>
    <w:rsid w:val="005C6D27"/>
    <w:rsid w:val="005D059C"/>
    <w:rsid w:val="005D0F0B"/>
    <w:rsid w:val="005D1AEA"/>
    <w:rsid w:val="005D1FC4"/>
    <w:rsid w:val="005D49BB"/>
    <w:rsid w:val="005D708F"/>
    <w:rsid w:val="005E1B52"/>
    <w:rsid w:val="005E1D1A"/>
    <w:rsid w:val="005E1DDD"/>
    <w:rsid w:val="005E3385"/>
    <w:rsid w:val="005E3396"/>
    <w:rsid w:val="005E357B"/>
    <w:rsid w:val="005E57A4"/>
    <w:rsid w:val="005F0A30"/>
    <w:rsid w:val="005F0C23"/>
    <w:rsid w:val="005F20B7"/>
    <w:rsid w:val="005F4ACA"/>
    <w:rsid w:val="006039EB"/>
    <w:rsid w:val="00610520"/>
    <w:rsid w:val="00611B9A"/>
    <w:rsid w:val="00612969"/>
    <w:rsid w:val="006131ED"/>
    <w:rsid w:val="0061451D"/>
    <w:rsid w:val="00614D5A"/>
    <w:rsid w:val="00615241"/>
    <w:rsid w:val="00616C5A"/>
    <w:rsid w:val="00617DC4"/>
    <w:rsid w:val="006206D3"/>
    <w:rsid w:val="0062218B"/>
    <w:rsid w:val="00623002"/>
    <w:rsid w:val="006242B8"/>
    <w:rsid w:val="006255E6"/>
    <w:rsid w:val="00625ED8"/>
    <w:rsid w:val="0062795E"/>
    <w:rsid w:val="00631AB6"/>
    <w:rsid w:val="0063323C"/>
    <w:rsid w:val="006374F9"/>
    <w:rsid w:val="00641006"/>
    <w:rsid w:val="0064183E"/>
    <w:rsid w:val="0064332D"/>
    <w:rsid w:val="00645A5B"/>
    <w:rsid w:val="00645E04"/>
    <w:rsid w:val="00647716"/>
    <w:rsid w:val="00647797"/>
    <w:rsid w:val="006479FE"/>
    <w:rsid w:val="0065030A"/>
    <w:rsid w:val="00650615"/>
    <w:rsid w:val="006524B1"/>
    <w:rsid w:val="00653095"/>
    <w:rsid w:val="00653881"/>
    <w:rsid w:val="00653D59"/>
    <w:rsid w:val="00655754"/>
    <w:rsid w:val="006566B8"/>
    <w:rsid w:val="0066192B"/>
    <w:rsid w:val="006634C0"/>
    <w:rsid w:val="00663CDE"/>
    <w:rsid w:val="006645A7"/>
    <w:rsid w:val="00664AB9"/>
    <w:rsid w:val="0066519C"/>
    <w:rsid w:val="006716E4"/>
    <w:rsid w:val="00672E71"/>
    <w:rsid w:val="006733F3"/>
    <w:rsid w:val="00674BBA"/>
    <w:rsid w:val="00674CED"/>
    <w:rsid w:val="00675C38"/>
    <w:rsid w:val="0067732E"/>
    <w:rsid w:val="006801E7"/>
    <w:rsid w:val="0068152A"/>
    <w:rsid w:val="00682D03"/>
    <w:rsid w:val="00683157"/>
    <w:rsid w:val="00683EFA"/>
    <w:rsid w:val="006840A6"/>
    <w:rsid w:val="00685F51"/>
    <w:rsid w:val="0068631E"/>
    <w:rsid w:val="00686DF4"/>
    <w:rsid w:val="00687E82"/>
    <w:rsid w:val="0069065C"/>
    <w:rsid w:val="00690D0A"/>
    <w:rsid w:val="00691D17"/>
    <w:rsid w:val="0069283F"/>
    <w:rsid w:val="00692862"/>
    <w:rsid w:val="00693675"/>
    <w:rsid w:val="00694C3C"/>
    <w:rsid w:val="0069683C"/>
    <w:rsid w:val="0069732E"/>
    <w:rsid w:val="006A056E"/>
    <w:rsid w:val="006A1C63"/>
    <w:rsid w:val="006A3E17"/>
    <w:rsid w:val="006A431C"/>
    <w:rsid w:val="006A4612"/>
    <w:rsid w:val="006A62C2"/>
    <w:rsid w:val="006A7B2E"/>
    <w:rsid w:val="006B6A1A"/>
    <w:rsid w:val="006B7479"/>
    <w:rsid w:val="006C1046"/>
    <w:rsid w:val="006C12F2"/>
    <w:rsid w:val="006C17C2"/>
    <w:rsid w:val="006C1C13"/>
    <w:rsid w:val="006C3356"/>
    <w:rsid w:val="006C38B3"/>
    <w:rsid w:val="006C4A45"/>
    <w:rsid w:val="006C4A6C"/>
    <w:rsid w:val="006C4BDA"/>
    <w:rsid w:val="006C6211"/>
    <w:rsid w:val="006D181A"/>
    <w:rsid w:val="006E0108"/>
    <w:rsid w:val="006E037A"/>
    <w:rsid w:val="006E5C3E"/>
    <w:rsid w:val="006E6289"/>
    <w:rsid w:val="006F0797"/>
    <w:rsid w:val="006F1D19"/>
    <w:rsid w:val="006F5215"/>
    <w:rsid w:val="006F55A9"/>
    <w:rsid w:val="006F66DB"/>
    <w:rsid w:val="006F71B0"/>
    <w:rsid w:val="006F7B85"/>
    <w:rsid w:val="006F7BAC"/>
    <w:rsid w:val="00700A3E"/>
    <w:rsid w:val="00701411"/>
    <w:rsid w:val="00701C5C"/>
    <w:rsid w:val="007028FE"/>
    <w:rsid w:val="00707530"/>
    <w:rsid w:val="00713B3F"/>
    <w:rsid w:val="007144B3"/>
    <w:rsid w:val="00715047"/>
    <w:rsid w:val="00715259"/>
    <w:rsid w:val="007153B9"/>
    <w:rsid w:val="0071613B"/>
    <w:rsid w:val="0071665D"/>
    <w:rsid w:val="00716985"/>
    <w:rsid w:val="00717510"/>
    <w:rsid w:val="007208F4"/>
    <w:rsid w:val="0072172C"/>
    <w:rsid w:val="00721EA9"/>
    <w:rsid w:val="0072258F"/>
    <w:rsid w:val="00723FE6"/>
    <w:rsid w:val="0073057E"/>
    <w:rsid w:val="00731683"/>
    <w:rsid w:val="00735DB9"/>
    <w:rsid w:val="007371CF"/>
    <w:rsid w:val="00737467"/>
    <w:rsid w:val="0073760A"/>
    <w:rsid w:val="00737758"/>
    <w:rsid w:val="00737BBD"/>
    <w:rsid w:val="00737FCC"/>
    <w:rsid w:val="00740CE3"/>
    <w:rsid w:val="00741493"/>
    <w:rsid w:val="007415F2"/>
    <w:rsid w:val="00741A41"/>
    <w:rsid w:val="00743A1E"/>
    <w:rsid w:val="00744180"/>
    <w:rsid w:val="00745264"/>
    <w:rsid w:val="00746890"/>
    <w:rsid w:val="00750EA1"/>
    <w:rsid w:val="007541DC"/>
    <w:rsid w:val="00755269"/>
    <w:rsid w:val="00755C17"/>
    <w:rsid w:val="00756F83"/>
    <w:rsid w:val="007578FC"/>
    <w:rsid w:val="00760B2C"/>
    <w:rsid w:val="0076129A"/>
    <w:rsid w:val="00761754"/>
    <w:rsid w:val="00762904"/>
    <w:rsid w:val="00762B00"/>
    <w:rsid w:val="007648A9"/>
    <w:rsid w:val="007652BF"/>
    <w:rsid w:val="007656F3"/>
    <w:rsid w:val="00765BE4"/>
    <w:rsid w:val="00766F93"/>
    <w:rsid w:val="007727C6"/>
    <w:rsid w:val="00773B08"/>
    <w:rsid w:val="00775916"/>
    <w:rsid w:val="00776A4D"/>
    <w:rsid w:val="0078108F"/>
    <w:rsid w:val="007810BE"/>
    <w:rsid w:val="00781F80"/>
    <w:rsid w:val="00782A5D"/>
    <w:rsid w:val="00784C98"/>
    <w:rsid w:val="00786CA8"/>
    <w:rsid w:val="007900E8"/>
    <w:rsid w:val="0079189D"/>
    <w:rsid w:val="007939C9"/>
    <w:rsid w:val="0079404E"/>
    <w:rsid w:val="0079419A"/>
    <w:rsid w:val="00794B31"/>
    <w:rsid w:val="00795234"/>
    <w:rsid w:val="007957FC"/>
    <w:rsid w:val="00796750"/>
    <w:rsid w:val="00796A74"/>
    <w:rsid w:val="00796B6C"/>
    <w:rsid w:val="007A0BD9"/>
    <w:rsid w:val="007A12F9"/>
    <w:rsid w:val="007A264B"/>
    <w:rsid w:val="007A27B0"/>
    <w:rsid w:val="007A3899"/>
    <w:rsid w:val="007A4C1E"/>
    <w:rsid w:val="007A62B6"/>
    <w:rsid w:val="007B0EA7"/>
    <w:rsid w:val="007B3DDC"/>
    <w:rsid w:val="007B4E33"/>
    <w:rsid w:val="007B5768"/>
    <w:rsid w:val="007B640E"/>
    <w:rsid w:val="007B7B36"/>
    <w:rsid w:val="007C2120"/>
    <w:rsid w:val="007C2CA7"/>
    <w:rsid w:val="007C4CF2"/>
    <w:rsid w:val="007C6542"/>
    <w:rsid w:val="007C65D5"/>
    <w:rsid w:val="007C794E"/>
    <w:rsid w:val="007D1111"/>
    <w:rsid w:val="007D1426"/>
    <w:rsid w:val="007D31B6"/>
    <w:rsid w:val="007D35BD"/>
    <w:rsid w:val="007D4A98"/>
    <w:rsid w:val="007D4F14"/>
    <w:rsid w:val="007D5117"/>
    <w:rsid w:val="007D5D4F"/>
    <w:rsid w:val="007D6155"/>
    <w:rsid w:val="007E05A9"/>
    <w:rsid w:val="007E0F43"/>
    <w:rsid w:val="007E4DBB"/>
    <w:rsid w:val="007E5432"/>
    <w:rsid w:val="007E6B0E"/>
    <w:rsid w:val="007E7820"/>
    <w:rsid w:val="007F01A0"/>
    <w:rsid w:val="007F1718"/>
    <w:rsid w:val="007F2C92"/>
    <w:rsid w:val="007F5A03"/>
    <w:rsid w:val="00801E68"/>
    <w:rsid w:val="00803A5A"/>
    <w:rsid w:val="00810B42"/>
    <w:rsid w:val="00811098"/>
    <w:rsid w:val="00812C5D"/>
    <w:rsid w:val="00813EC0"/>
    <w:rsid w:val="00814358"/>
    <w:rsid w:val="00814618"/>
    <w:rsid w:val="008165DB"/>
    <w:rsid w:val="00820A0C"/>
    <w:rsid w:val="00821386"/>
    <w:rsid w:val="00825BEE"/>
    <w:rsid w:val="0082647A"/>
    <w:rsid w:val="00827B31"/>
    <w:rsid w:val="00827D51"/>
    <w:rsid w:val="008322C9"/>
    <w:rsid w:val="00832D2D"/>
    <w:rsid w:val="00833A96"/>
    <w:rsid w:val="0083423E"/>
    <w:rsid w:val="008360D1"/>
    <w:rsid w:val="00836487"/>
    <w:rsid w:val="0084085B"/>
    <w:rsid w:val="008412FA"/>
    <w:rsid w:val="008437BA"/>
    <w:rsid w:val="00847377"/>
    <w:rsid w:val="008476DB"/>
    <w:rsid w:val="008511E6"/>
    <w:rsid w:val="008525DB"/>
    <w:rsid w:val="0085301B"/>
    <w:rsid w:val="00857017"/>
    <w:rsid w:val="0086078C"/>
    <w:rsid w:val="008609A4"/>
    <w:rsid w:val="00863242"/>
    <w:rsid w:val="008635FC"/>
    <w:rsid w:val="00864A0E"/>
    <w:rsid w:val="00864C35"/>
    <w:rsid w:val="008651B7"/>
    <w:rsid w:val="00866377"/>
    <w:rsid w:val="00866607"/>
    <w:rsid w:val="00867BA8"/>
    <w:rsid w:val="00870D03"/>
    <w:rsid w:val="00872325"/>
    <w:rsid w:val="0087337A"/>
    <w:rsid w:val="00873A52"/>
    <w:rsid w:val="00873ACD"/>
    <w:rsid w:val="00874101"/>
    <w:rsid w:val="00874995"/>
    <w:rsid w:val="00874B83"/>
    <w:rsid w:val="00876CED"/>
    <w:rsid w:val="00876D92"/>
    <w:rsid w:val="00876F47"/>
    <w:rsid w:val="00876F82"/>
    <w:rsid w:val="0087791F"/>
    <w:rsid w:val="00877FF8"/>
    <w:rsid w:val="00881D28"/>
    <w:rsid w:val="0088294C"/>
    <w:rsid w:val="00883700"/>
    <w:rsid w:val="0088440C"/>
    <w:rsid w:val="00885557"/>
    <w:rsid w:val="00885B12"/>
    <w:rsid w:val="00887055"/>
    <w:rsid w:val="00887625"/>
    <w:rsid w:val="00887690"/>
    <w:rsid w:val="00890304"/>
    <w:rsid w:val="0089317A"/>
    <w:rsid w:val="00895D6A"/>
    <w:rsid w:val="00895DE1"/>
    <w:rsid w:val="008A0796"/>
    <w:rsid w:val="008A0DDB"/>
    <w:rsid w:val="008A4A68"/>
    <w:rsid w:val="008A6DBD"/>
    <w:rsid w:val="008A7886"/>
    <w:rsid w:val="008B0059"/>
    <w:rsid w:val="008B02FB"/>
    <w:rsid w:val="008B0AAC"/>
    <w:rsid w:val="008B1CD1"/>
    <w:rsid w:val="008B25DF"/>
    <w:rsid w:val="008B6229"/>
    <w:rsid w:val="008C2D39"/>
    <w:rsid w:val="008C5471"/>
    <w:rsid w:val="008C71D8"/>
    <w:rsid w:val="008C7B32"/>
    <w:rsid w:val="008D027D"/>
    <w:rsid w:val="008D0FBA"/>
    <w:rsid w:val="008D1408"/>
    <w:rsid w:val="008D201B"/>
    <w:rsid w:val="008D2810"/>
    <w:rsid w:val="008D2908"/>
    <w:rsid w:val="008D2A7B"/>
    <w:rsid w:val="008D5560"/>
    <w:rsid w:val="008D5C88"/>
    <w:rsid w:val="008D5E6A"/>
    <w:rsid w:val="008D6AA3"/>
    <w:rsid w:val="008D73CC"/>
    <w:rsid w:val="008E368F"/>
    <w:rsid w:val="008E3708"/>
    <w:rsid w:val="008E5F9A"/>
    <w:rsid w:val="008E7678"/>
    <w:rsid w:val="008E7F22"/>
    <w:rsid w:val="009028FC"/>
    <w:rsid w:val="00903F5B"/>
    <w:rsid w:val="00904E55"/>
    <w:rsid w:val="00905057"/>
    <w:rsid w:val="00905BBF"/>
    <w:rsid w:val="00906406"/>
    <w:rsid w:val="00906649"/>
    <w:rsid w:val="009069E2"/>
    <w:rsid w:val="0091245E"/>
    <w:rsid w:val="00913468"/>
    <w:rsid w:val="00914227"/>
    <w:rsid w:val="009167F6"/>
    <w:rsid w:val="00920729"/>
    <w:rsid w:val="0092140E"/>
    <w:rsid w:val="00921549"/>
    <w:rsid w:val="009228D8"/>
    <w:rsid w:val="00923712"/>
    <w:rsid w:val="009241FC"/>
    <w:rsid w:val="00924604"/>
    <w:rsid w:val="0092476E"/>
    <w:rsid w:val="009263AB"/>
    <w:rsid w:val="00926E44"/>
    <w:rsid w:val="009310A9"/>
    <w:rsid w:val="00931752"/>
    <w:rsid w:val="009331CB"/>
    <w:rsid w:val="0093431D"/>
    <w:rsid w:val="0093557E"/>
    <w:rsid w:val="009379FB"/>
    <w:rsid w:val="009403CC"/>
    <w:rsid w:val="00941B77"/>
    <w:rsid w:val="00942277"/>
    <w:rsid w:val="009428DC"/>
    <w:rsid w:val="00945AA4"/>
    <w:rsid w:val="009463A9"/>
    <w:rsid w:val="00946969"/>
    <w:rsid w:val="009509C8"/>
    <w:rsid w:val="00956D84"/>
    <w:rsid w:val="00961617"/>
    <w:rsid w:val="00961B87"/>
    <w:rsid w:val="0096221C"/>
    <w:rsid w:val="00963867"/>
    <w:rsid w:val="009708C4"/>
    <w:rsid w:val="0097159B"/>
    <w:rsid w:val="00972122"/>
    <w:rsid w:val="0097273E"/>
    <w:rsid w:val="00974E83"/>
    <w:rsid w:val="009757AB"/>
    <w:rsid w:val="00977DB9"/>
    <w:rsid w:val="009834C0"/>
    <w:rsid w:val="00983B23"/>
    <w:rsid w:val="0098487B"/>
    <w:rsid w:val="00984A66"/>
    <w:rsid w:val="009913EF"/>
    <w:rsid w:val="00991F9A"/>
    <w:rsid w:val="00992732"/>
    <w:rsid w:val="009941CB"/>
    <w:rsid w:val="00995E6E"/>
    <w:rsid w:val="00996677"/>
    <w:rsid w:val="00996722"/>
    <w:rsid w:val="009971E1"/>
    <w:rsid w:val="009A35F5"/>
    <w:rsid w:val="009A38AE"/>
    <w:rsid w:val="009A7A88"/>
    <w:rsid w:val="009B2889"/>
    <w:rsid w:val="009B2B38"/>
    <w:rsid w:val="009C226F"/>
    <w:rsid w:val="009C2AE7"/>
    <w:rsid w:val="009C76D8"/>
    <w:rsid w:val="009D023E"/>
    <w:rsid w:val="009D07F5"/>
    <w:rsid w:val="009D2A55"/>
    <w:rsid w:val="009D3E61"/>
    <w:rsid w:val="009D47D8"/>
    <w:rsid w:val="009D6D76"/>
    <w:rsid w:val="009E2093"/>
    <w:rsid w:val="009E2E76"/>
    <w:rsid w:val="009E5F84"/>
    <w:rsid w:val="009E6918"/>
    <w:rsid w:val="009E7C28"/>
    <w:rsid w:val="009E7EB4"/>
    <w:rsid w:val="009F1A8C"/>
    <w:rsid w:val="009F1B46"/>
    <w:rsid w:val="009F2962"/>
    <w:rsid w:val="009F2E70"/>
    <w:rsid w:val="009F52FB"/>
    <w:rsid w:val="009F54F4"/>
    <w:rsid w:val="009F72CD"/>
    <w:rsid w:val="009F7389"/>
    <w:rsid w:val="00A0035D"/>
    <w:rsid w:val="00A04890"/>
    <w:rsid w:val="00A04B4B"/>
    <w:rsid w:val="00A05451"/>
    <w:rsid w:val="00A0625E"/>
    <w:rsid w:val="00A07FE0"/>
    <w:rsid w:val="00A10A4C"/>
    <w:rsid w:val="00A10B1F"/>
    <w:rsid w:val="00A10CFA"/>
    <w:rsid w:val="00A10F64"/>
    <w:rsid w:val="00A11A3B"/>
    <w:rsid w:val="00A123D5"/>
    <w:rsid w:val="00A17715"/>
    <w:rsid w:val="00A20023"/>
    <w:rsid w:val="00A21C34"/>
    <w:rsid w:val="00A22667"/>
    <w:rsid w:val="00A238E9"/>
    <w:rsid w:val="00A23BEB"/>
    <w:rsid w:val="00A2448D"/>
    <w:rsid w:val="00A31486"/>
    <w:rsid w:val="00A32DAB"/>
    <w:rsid w:val="00A36D47"/>
    <w:rsid w:val="00A371C7"/>
    <w:rsid w:val="00A3787B"/>
    <w:rsid w:val="00A37AE0"/>
    <w:rsid w:val="00A41391"/>
    <w:rsid w:val="00A43D9A"/>
    <w:rsid w:val="00A443B9"/>
    <w:rsid w:val="00A524C0"/>
    <w:rsid w:val="00A53DB7"/>
    <w:rsid w:val="00A54CBA"/>
    <w:rsid w:val="00A54CE5"/>
    <w:rsid w:val="00A611AD"/>
    <w:rsid w:val="00A61AA4"/>
    <w:rsid w:val="00A64F8F"/>
    <w:rsid w:val="00A652A7"/>
    <w:rsid w:val="00A65327"/>
    <w:rsid w:val="00A66AD1"/>
    <w:rsid w:val="00A67796"/>
    <w:rsid w:val="00A67813"/>
    <w:rsid w:val="00A7094F"/>
    <w:rsid w:val="00A711F6"/>
    <w:rsid w:val="00A7200E"/>
    <w:rsid w:val="00A72383"/>
    <w:rsid w:val="00A745B3"/>
    <w:rsid w:val="00A749BD"/>
    <w:rsid w:val="00A7559B"/>
    <w:rsid w:val="00A76B6D"/>
    <w:rsid w:val="00A77EFA"/>
    <w:rsid w:val="00A80D50"/>
    <w:rsid w:val="00A81309"/>
    <w:rsid w:val="00A8181F"/>
    <w:rsid w:val="00A83EED"/>
    <w:rsid w:val="00A84DB3"/>
    <w:rsid w:val="00A85987"/>
    <w:rsid w:val="00A85DD1"/>
    <w:rsid w:val="00A863B3"/>
    <w:rsid w:val="00A86D54"/>
    <w:rsid w:val="00A9297E"/>
    <w:rsid w:val="00A93617"/>
    <w:rsid w:val="00A96874"/>
    <w:rsid w:val="00A96D22"/>
    <w:rsid w:val="00AA0E85"/>
    <w:rsid w:val="00AA1A81"/>
    <w:rsid w:val="00AA1D30"/>
    <w:rsid w:val="00AA281F"/>
    <w:rsid w:val="00AA47BC"/>
    <w:rsid w:val="00AA49B0"/>
    <w:rsid w:val="00AA4A53"/>
    <w:rsid w:val="00AA6947"/>
    <w:rsid w:val="00AA6B59"/>
    <w:rsid w:val="00AB648F"/>
    <w:rsid w:val="00AB6979"/>
    <w:rsid w:val="00AC0249"/>
    <w:rsid w:val="00AC0F60"/>
    <w:rsid w:val="00AC1A4D"/>
    <w:rsid w:val="00AC1CAB"/>
    <w:rsid w:val="00AC1E1D"/>
    <w:rsid w:val="00AC2068"/>
    <w:rsid w:val="00AC2136"/>
    <w:rsid w:val="00AC2EFD"/>
    <w:rsid w:val="00AC37D4"/>
    <w:rsid w:val="00AC3C20"/>
    <w:rsid w:val="00AC59FC"/>
    <w:rsid w:val="00AC6174"/>
    <w:rsid w:val="00AD1234"/>
    <w:rsid w:val="00AD1305"/>
    <w:rsid w:val="00AD1E91"/>
    <w:rsid w:val="00AD7FB6"/>
    <w:rsid w:val="00AE0DE0"/>
    <w:rsid w:val="00AE1107"/>
    <w:rsid w:val="00AE2B5B"/>
    <w:rsid w:val="00AE3DEE"/>
    <w:rsid w:val="00AE4963"/>
    <w:rsid w:val="00AE778E"/>
    <w:rsid w:val="00AF00CA"/>
    <w:rsid w:val="00AF0F6F"/>
    <w:rsid w:val="00AF196E"/>
    <w:rsid w:val="00AF27B5"/>
    <w:rsid w:val="00AF283A"/>
    <w:rsid w:val="00AF364C"/>
    <w:rsid w:val="00AF3663"/>
    <w:rsid w:val="00AF3C90"/>
    <w:rsid w:val="00AF42CC"/>
    <w:rsid w:val="00AF4967"/>
    <w:rsid w:val="00AF5D34"/>
    <w:rsid w:val="00AF646E"/>
    <w:rsid w:val="00AF650A"/>
    <w:rsid w:val="00AF6DCA"/>
    <w:rsid w:val="00AF6E1B"/>
    <w:rsid w:val="00B01910"/>
    <w:rsid w:val="00B01B26"/>
    <w:rsid w:val="00B036CC"/>
    <w:rsid w:val="00B053AC"/>
    <w:rsid w:val="00B05701"/>
    <w:rsid w:val="00B078BD"/>
    <w:rsid w:val="00B07E45"/>
    <w:rsid w:val="00B10517"/>
    <w:rsid w:val="00B10A3C"/>
    <w:rsid w:val="00B10CC9"/>
    <w:rsid w:val="00B119A3"/>
    <w:rsid w:val="00B1637D"/>
    <w:rsid w:val="00B20607"/>
    <w:rsid w:val="00B221A8"/>
    <w:rsid w:val="00B221E2"/>
    <w:rsid w:val="00B22545"/>
    <w:rsid w:val="00B2277A"/>
    <w:rsid w:val="00B2324F"/>
    <w:rsid w:val="00B23C63"/>
    <w:rsid w:val="00B24ED1"/>
    <w:rsid w:val="00B26CDA"/>
    <w:rsid w:val="00B2731E"/>
    <w:rsid w:val="00B2786C"/>
    <w:rsid w:val="00B27E00"/>
    <w:rsid w:val="00B316EB"/>
    <w:rsid w:val="00B319B8"/>
    <w:rsid w:val="00B40FBB"/>
    <w:rsid w:val="00B4242F"/>
    <w:rsid w:val="00B4557B"/>
    <w:rsid w:val="00B456F6"/>
    <w:rsid w:val="00B4658B"/>
    <w:rsid w:val="00B4685F"/>
    <w:rsid w:val="00B501AC"/>
    <w:rsid w:val="00B5052F"/>
    <w:rsid w:val="00B5106F"/>
    <w:rsid w:val="00B540E8"/>
    <w:rsid w:val="00B54172"/>
    <w:rsid w:val="00B559CD"/>
    <w:rsid w:val="00B628D9"/>
    <w:rsid w:val="00B62D3B"/>
    <w:rsid w:val="00B636BF"/>
    <w:rsid w:val="00B63B3F"/>
    <w:rsid w:val="00B64E72"/>
    <w:rsid w:val="00B654DE"/>
    <w:rsid w:val="00B66296"/>
    <w:rsid w:val="00B67F16"/>
    <w:rsid w:val="00B70965"/>
    <w:rsid w:val="00B70AF5"/>
    <w:rsid w:val="00B70F79"/>
    <w:rsid w:val="00B71174"/>
    <w:rsid w:val="00B712C0"/>
    <w:rsid w:val="00B72925"/>
    <w:rsid w:val="00B74895"/>
    <w:rsid w:val="00B75184"/>
    <w:rsid w:val="00B75E6B"/>
    <w:rsid w:val="00B77534"/>
    <w:rsid w:val="00B815E3"/>
    <w:rsid w:val="00B81B28"/>
    <w:rsid w:val="00B8214A"/>
    <w:rsid w:val="00B843D0"/>
    <w:rsid w:val="00B8689D"/>
    <w:rsid w:val="00B900E7"/>
    <w:rsid w:val="00B91AAD"/>
    <w:rsid w:val="00B923F4"/>
    <w:rsid w:val="00B95F76"/>
    <w:rsid w:val="00B97BB2"/>
    <w:rsid w:val="00BA0B2A"/>
    <w:rsid w:val="00BA1BEB"/>
    <w:rsid w:val="00BA2200"/>
    <w:rsid w:val="00BA2BB4"/>
    <w:rsid w:val="00BA2C59"/>
    <w:rsid w:val="00BA312E"/>
    <w:rsid w:val="00BA3D0D"/>
    <w:rsid w:val="00BA4C26"/>
    <w:rsid w:val="00BA6984"/>
    <w:rsid w:val="00BA69B4"/>
    <w:rsid w:val="00BB15F7"/>
    <w:rsid w:val="00BB1F90"/>
    <w:rsid w:val="00BB2BC8"/>
    <w:rsid w:val="00BB2E3E"/>
    <w:rsid w:val="00BB3066"/>
    <w:rsid w:val="00BB4F7F"/>
    <w:rsid w:val="00BB5317"/>
    <w:rsid w:val="00BC3076"/>
    <w:rsid w:val="00BC3717"/>
    <w:rsid w:val="00BC3E74"/>
    <w:rsid w:val="00BD0DF4"/>
    <w:rsid w:val="00BD1511"/>
    <w:rsid w:val="00BD3B44"/>
    <w:rsid w:val="00BD40FF"/>
    <w:rsid w:val="00BD5025"/>
    <w:rsid w:val="00BD5EBA"/>
    <w:rsid w:val="00BD67E2"/>
    <w:rsid w:val="00BD6C9C"/>
    <w:rsid w:val="00BE0292"/>
    <w:rsid w:val="00BE144A"/>
    <w:rsid w:val="00BE1625"/>
    <w:rsid w:val="00BE2411"/>
    <w:rsid w:val="00BE536A"/>
    <w:rsid w:val="00BE6DCA"/>
    <w:rsid w:val="00BE7760"/>
    <w:rsid w:val="00BF0B66"/>
    <w:rsid w:val="00BF6700"/>
    <w:rsid w:val="00BF7AD9"/>
    <w:rsid w:val="00C05523"/>
    <w:rsid w:val="00C06932"/>
    <w:rsid w:val="00C10710"/>
    <w:rsid w:val="00C116C9"/>
    <w:rsid w:val="00C12FD4"/>
    <w:rsid w:val="00C14128"/>
    <w:rsid w:val="00C21202"/>
    <w:rsid w:val="00C2165A"/>
    <w:rsid w:val="00C25ECE"/>
    <w:rsid w:val="00C260C9"/>
    <w:rsid w:val="00C30A7F"/>
    <w:rsid w:val="00C32FEB"/>
    <w:rsid w:val="00C33C1C"/>
    <w:rsid w:val="00C34110"/>
    <w:rsid w:val="00C34696"/>
    <w:rsid w:val="00C352FD"/>
    <w:rsid w:val="00C368B9"/>
    <w:rsid w:val="00C40E51"/>
    <w:rsid w:val="00C41B47"/>
    <w:rsid w:val="00C44645"/>
    <w:rsid w:val="00C51B71"/>
    <w:rsid w:val="00C51EF1"/>
    <w:rsid w:val="00C53B54"/>
    <w:rsid w:val="00C55104"/>
    <w:rsid w:val="00C5575B"/>
    <w:rsid w:val="00C57178"/>
    <w:rsid w:val="00C5767A"/>
    <w:rsid w:val="00C60228"/>
    <w:rsid w:val="00C618D1"/>
    <w:rsid w:val="00C668D5"/>
    <w:rsid w:val="00C678CA"/>
    <w:rsid w:val="00C678FD"/>
    <w:rsid w:val="00C70415"/>
    <w:rsid w:val="00C70EB7"/>
    <w:rsid w:val="00C717ED"/>
    <w:rsid w:val="00C737E5"/>
    <w:rsid w:val="00C75009"/>
    <w:rsid w:val="00C76E51"/>
    <w:rsid w:val="00C779AF"/>
    <w:rsid w:val="00C835B0"/>
    <w:rsid w:val="00C84C2B"/>
    <w:rsid w:val="00C873A7"/>
    <w:rsid w:val="00C9022F"/>
    <w:rsid w:val="00C922A9"/>
    <w:rsid w:val="00C946D0"/>
    <w:rsid w:val="00C96DB8"/>
    <w:rsid w:val="00CA0E3E"/>
    <w:rsid w:val="00CA1120"/>
    <w:rsid w:val="00CA2FBB"/>
    <w:rsid w:val="00CA39B0"/>
    <w:rsid w:val="00CA4A08"/>
    <w:rsid w:val="00CA65C8"/>
    <w:rsid w:val="00CA66FC"/>
    <w:rsid w:val="00CA77D9"/>
    <w:rsid w:val="00CB06A7"/>
    <w:rsid w:val="00CB3443"/>
    <w:rsid w:val="00CB4FCE"/>
    <w:rsid w:val="00CB724C"/>
    <w:rsid w:val="00CC447A"/>
    <w:rsid w:val="00CC475F"/>
    <w:rsid w:val="00CC7482"/>
    <w:rsid w:val="00CD075B"/>
    <w:rsid w:val="00CD3C16"/>
    <w:rsid w:val="00CD5352"/>
    <w:rsid w:val="00CD6A27"/>
    <w:rsid w:val="00CD7B5C"/>
    <w:rsid w:val="00CD7C48"/>
    <w:rsid w:val="00CE0EC1"/>
    <w:rsid w:val="00CE15AA"/>
    <w:rsid w:val="00CE1919"/>
    <w:rsid w:val="00CE29BC"/>
    <w:rsid w:val="00CE3063"/>
    <w:rsid w:val="00CE3C9D"/>
    <w:rsid w:val="00CE62B9"/>
    <w:rsid w:val="00CE6763"/>
    <w:rsid w:val="00CE7587"/>
    <w:rsid w:val="00CE7F96"/>
    <w:rsid w:val="00CF0645"/>
    <w:rsid w:val="00CF1405"/>
    <w:rsid w:val="00CF3266"/>
    <w:rsid w:val="00CF3775"/>
    <w:rsid w:val="00CF37C9"/>
    <w:rsid w:val="00CF3E34"/>
    <w:rsid w:val="00CF42F1"/>
    <w:rsid w:val="00CF65E7"/>
    <w:rsid w:val="00CF774F"/>
    <w:rsid w:val="00CF7859"/>
    <w:rsid w:val="00CF7B15"/>
    <w:rsid w:val="00D07183"/>
    <w:rsid w:val="00D074C5"/>
    <w:rsid w:val="00D11237"/>
    <w:rsid w:val="00D11273"/>
    <w:rsid w:val="00D1185D"/>
    <w:rsid w:val="00D1319D"/>
    <w:rsid w:val="00D14B6B"/>
    <w:rsid w:val="00D1539A"/>
    <w:rsid w:val="00D20F7D"/>
    <w:rsid w:val="00D21226"/>
    <w:rsid w:val="00D223BB"/>
    <w:rsid w:val="00D243E3"/>
    <w:rsid w:val="00D2452C"/>
    <w:rsid w:val="00D24B17"/>
    <w:rsid w:val="00D265EC"/>
    <w:rsid w:val="00D31A53"/>
    <w:rsid w:val="00D335B9"/>
    <w:rsid w:val="00D36302"/>
    <w:rsid w:val="00D36657"/>
    <w:rsid w:val="00D43E84"/>
    <w:rsid w:val="00D465E2"/>
    <w:rsid w:val="00D46D50"/>
    <w:rsid w:val="00D475AB"/>
    <w:rsid w:val="00D5112E"/>
    <w:rsid w:val="00D52579"/>
    <w:rsid w:val="00D5344C"/>
    <w:rsid w:val="00D54399"/>
    <w:rsid w:val="00D5440B"/>
    <w:rsid w:val="00D55314"/>
    <w:rsid w:val="00D55FF4"/>
    <w:rsid w:val="00D57BA6"/>
    <w:rsid w:val="00D61FAB"/>
    <w:rsid w:val="00D62DBF"/>
    <w:rsid w:val="00D62E82"/>
    <w:rsid w:val="00D63202"/>
    <w:rsid w:val="00D63D3C"/>
    <w:rsid w:val="00D6410E"/>
    <w:rsid w:val="00D65554"/>
    <w:rsid w:val="00D67B4E"/>
    <w:rsid w:val="00D72AD9"/>
    <w:rsid w:val="00D74C55"/>
    <w:rsid w:val="00D758FC"/>
    <w:rsid w:val="00D7620D"/>
    <w:rsid w:val="00D77315"/>
    <w:rsid w:val="00D77382"/>
    <w:rsid w:val="00D77C30"/>
    <w:rsid w:val="00D81432"/>
    <w:rsid w:val="00D81967"/>
    <w:rsid w:val="00D8226C"/>
    <w:rsid w:val="00D8303B"/>
    <w:rsid w:val="00D83F1B"/>
    <w:rsid w:val="00D84340"/>
    <w:rsid w:val="00D85FF4"/>
    <w:rsid w:val="00D86663"/>
    <w:rsid w:val="00D86D1B"/>
    <w:rsid w:val="00D877E5"/>
    <w:rsid w:val="00D87B9D"/>
    <w:rsid w:val="00D87CDC"/>
    <w:rsid w:val="00D901D2"/>
    <w:rsid w:val="00D904ED"/>
    <w:rsid w:val="00D90BC1"/>
    <w:rsid w:val="00D91BD7"/>
    <w:rsid w:val="00D92805"/>
    <w:rsid w:val="00D93E6C"/>
    <w:rsid w:val="00D94D9D"/>
    <w:rsid w:val="00D94E8F"/>
    <w:rsid w:val="00D95C5F"/>
    <w:rsid w:val="00D96A7E"/>
    <w:rsid w:val="00D972DC"/>
    <w:rsid w:val="00DA5C99"/>
    <w:rsid w:val="00DA5E4A"/>
    <w:rsid w:val="00DA7282"/>
    <w:rsid w:val="00DA7C89"/>
    <w:rsid w:val="00DB0945"/>
    <w:rsid w:val="00DB12DD"/>
    <w:rsid w:val="00DB174A"/>
    <w:rsid w:val="00DB6BAD"/>
    <w:rsid w:val="00DC2B48"/>
    <w:rsid w:val="00DC67A3"/>
    <w:rsid w:val="00DC7705"/>
    <w:rsid w:val="00DD08BE"/>
    <w:rsid w:val="00DD0FA6"/>
    <w:rsid w:val="00DD1219"/>
    <w:rsid w:val="00DD194A"/>
    <w:rsid w:val="00DD2252"/>
    <w:rsid w:val="00DD22F0"/>
    <w:rsid w:val="00DD3E40"/>
    <w:rsid w:val="00DD434F"/>
    <w:rsid w:val="00DD517C"/>
    <w:rsid w:val="00DD6AC1"/>
    <w:rsid w:val="00DD70DE"/>
    <w:rsid w:val="00DD772C"/>
    <w:rsid w:val="00DE05F3"/>
    <w:rsid w:val="00DE149F"/>
    <w:rsid w:val="00DE19D4"/>
    <w:rsid w:val="00DE25E5"/>
    <w:rsid w:val="00DE3F1F"/>
    <w:rsid w:val="00DE4326"/>
    <w:rsid w:val="00DE5FDB"/>
    <w:rsid w:val="00DE6189"/>
    <w:rsid w:val="00DE67A2"/>
    <w:rsid w:val="00DE6F07"/>
    <w:rsid w:val="00DF0E56"/>
    <w:rsid w:val="00DF18D0"/>
    <w:rsid w:val="00DF3271"/>
    <w:rsid w:val="00DF3D83"/>
    <w:rsid w:val="00DF6C60"/>
    <w:rsid w:val="00DF7C45"/>
    <w:rsid w:val="00DF7DA9"/>
    <w:rsid w:val="00E00D9C"/>
    <w:rsid w:val="00E03F87"/>
    <w:rsid w:val="00E05520"/>
    <w:rsid w:val="00E05BA4"/>
    <w:rsid w:val="00E06334"/>
    <w:rsid w:val="00E07204"/>
    <w:rsid w:val="00E15E46"/>
    <w:rsid w:val="00E16760"/>
    <w:rsid w:val="00E1784E"/>
    <w:rsid w:val="00E215C8"/>
    <w:rsid w:val="00E2171F"/>
    <w:rsid w:val="00E222B9"/>
    <w:rsid w:val="00E238E6"/>
    <w:rsid w:val="00E24483"/>
    <w:rsid w:val="00E246A9"/>
    <w:rsid w:val="00E268B6"/>
    <w:rsid w:val="00E332D7"/>
    <w:rsid w:val="00E33A95"/>
    <w:rsid w:val="00E33AA6"/>
    <w:rsid w:val="00E3554B"/>
    <w:rsid w:val="00E361EB"/>
    <w:rsid w:val="00E3733A"/>
    <w:rsid w:val="00E415F4"/>
    <w:rsid w:val="00E43905"/>
    <w:rsid w:val="00E448D1"/>
    <w:rsid w:val="00E44A3E"/>
    <w:rsid w:val="00E4745A"/>
    <w:rsid w:val="00E47E11"/>
    <w:rsid w:val="00E50218"/>
    <w:rsid w:val="00E50791"/>
    <w:rsid w:val="00E5489B"/>
    <w:rsid w:val="00E54F1B"/>
    <w:rsid w:val="00E5596E"/>
    <w:rsid w:val="00E56801"/>
    <w:rsid w:val="00E56805"/>
    <w:rsid w:val="00E579DC"/>
    <w:rsid w:val="00E6138E"/>
    <w:rsid w:val="00E614F6"/>
    <w:rsid w:val="00E61A29"/>
    <w:rsid w:val="00E6263F"/>
    <w:rsid w:val="00E62B55"/>
    <w:rsid w:val="00E6539F"/>
    <w:rsid w:val="00E7024E"/>
    <w:rsid w:val="00E703D0"/>
    <w:rsid w:val="00E72AD3"/>
    <w:rsid w:val="00E74D62"/>
    <w:rsid w:val="00E75C8B"/>
    <w:rsid w:val="00E7615E"/>
    <w:rsid w:val="00E767DA"/>
    <w:rsid w:val="00E7744E"/>
    <w:rsid w:val="00E8070E"/>
    <w:rsid w:val="00E81212"/>
    <w:rsid w:val="00E8147B"/>
    <w:rsid w:val="00E8190D"/>
    <w:rsid w:val="00E83F1A"/>
    <w:rsid w:val="00E8473E"/>
    <w:rsid w:val="00E8522B"/>
    <w:rsid w:val="00E863D3"/>
    <w:rsid w:val="00E90AD7"/>
    <w:rsid w:val="00E92431"/>
    <w:rsid w:val="00E93C7F"/>
    <w:rsid w:val="00E954FB"/>
    <w:rsid w:val="00EA045C"/>
    <w:rsid w:val="00EA1CD1"/>
    <w:rsid w:val="00EA1E37"/>
    <w:rsid w:val="00EA2871"/>
    <w:rsid w:val="00EA60F3"/>
    <w:rsid w:val="00EA717E"/>
    <w:rsid w:val="00EB47E1"/>
    <w:rsid w:val="00EB6C3F"/>
    <w:rsid w:val="00EC2864"/>
    <w:rsid w:val="00EC5FBA"/>
    <w:rsid w:val="00EC7C08"/>
    <w:rsid w:val="00ED0633"/>
    <w:rsid w:val="00ED0C3B"/>
    <w:rsid w:val="00ED2C43"/>
    <w:rsid w:val="00ED4AA2"/>
    <w:rsid w:val="00ED6672"/>
    <w:rsid w:val="00ED6F3F"/>
    <w:rsid w:val="00ED7874"/>
    <w:rsid w:val="00ED7A1E"/>
    <w:rsid w:val="00ED7F08"/>
    <w:rsid w:val="00EE0D3F"/>
    <w:rsid w:val="00EE320E"/>
    <w:rsid w:val="00EE5AEE"/>
    <w:rsid w:val="00EE60F0"/>
    <w:rsid w:val="00EE6265"/>
    <w:rsid w:val="00EE6716"/>
    <w:rsid w:val="00EE7B72"/>
    <w:rsid w:val="00EF2D77"/>
    <w:rsid w:val="00EF3E69"/>
    <w:rsid w:val="00EF6194"/>
    <w:rsid w:val="00EF7E69"/>
    <w:rsid w:val="00F01FE4"/>
    <w:rsid w:val="00F0326A"/>
    <w:rsid w:val="00F045E4"/>
    <w:rsid w:val="00F04D1D"/>
    <w:rsid w:val="00F057AA"/>
    <w:rsid w:val="00F06023"/>
    <w:rsid w:val="00F067E9"/>
    <w:rsid w:val="00F1043A"/>
    <w:rsid w:val="00F11FA8"/>
    <w:rsid w:val="00F12090"/>
    <w:rsid w:val="00F12533"/>
    <w:rsid w:val="00F13905"/>
    <w:rsid w:val="00F159E1"/>
    <w:rsid w:val="00F15ECE"/>
    <w:rsid w:val="00F15F30"/>
    <w:rsid w:val="00F16498"/>
    <w:rsid w:val="00F16D5E"/>
    <w:rsid w:val="00F205F6"/>
    <w:rsid w:val="00F208DE"/>
    <w:rsid w:val="00F20BE5"/>
    <w:rsid w:val="00F226C7"/>
    <w:rsid w:val="00F22ACD"/>
    <w:rsid w:val="00F23B35"/>
    <w:rsid w:val="00F24C2A"/>
    <w:rsid w:val="00F24D8C"/>
    <w:rsid w:val="00F256CB"/>
    <w:rsid w:val="00F260FF"/>
    <w:rsid w:val="00F30FB4"/>
    <w:rsid w:val="00F3226D"/>
    <w:rsid w:val="00F3258A"/>
    <w:rsid w:val="00F32988"/>
    <w:rsid w:val="00F40A05"/>
    <w:rsid w:val="00F40DCC"/>
    <w:rsid w:val="00F41335"/>
    <w:rsid w:val="00F415BE"/>
    <w:rsid w:val="00F44505"/>
    <w:rsid w:val="00F52942"/>
    <w:rsid w:val="00F52A19"/>
    <w:rsid w:val="00F52D89"/>
    <w:rsid w:val="00F55D0D"/>
    <w:rsid w:val="00F64445"/>
    <w:rsid w:val="00F65292"/>
    <w:rsid w:val="00F66E68"/>
    <w:rsid w:val="00F6754F"/>
    <w:rsid w:val="00F6759F"/>
    <w:rsid w:val="00F67BF9"/>
    <w:rsid w:val="00F703B2"/>
    <w:rsid w:val="00F73528"/>
    <w:rsid w:val="00F73BAF"/>
    <w:rsid w:val="00F75D43"/>
    <w:rsid w:val="00F763B4"/>
    <w:rsid w:val="00F77339"/>
    <w:rsid w:val="00F77B34"/>
    <w:rsid w:val="00F77C5F"/>
    <w:rsid w:val="00F8241F"/>
    <w:rsid w:val="00F84544"/>
    <w:rsid w:val="00F8794C"/>
    <w:rsid w:val="00F905F1"/>
    <w:rsid w:val="00F90877"/>
    <w:rsid w:val="00F9182A"/>
    <w:rsid w:val="00F92D5B"/>
    <w:rsid w:val="00F936E2"/>
    <w:rsid w:val="00F938EB"/>
    <w:rsid w:val="00F93B6F"/>
    <w:rsid w:val="00F9570B"/>
    <w:rsid w:val="00F95754"/>
    <w:rsid w:val="00FA1BA2"/>
    <w:rsid w:val="00FA22D9"/>
    <w:rsid w:val="00FA2852"/>
    <w:rsid w:val="00FA2A8F"/>
    <w:rsid w:val="00FA5950"/>
    <w:rsid w:val="00FA642B"/>
    <w:rsid w:val="00FB0ECF"/>
    <w:rsid w:val="00FB68E4"/>
    <w:rsid w:val="00FB7AF0"/>
    <w:rsid w:val="00FB7EBC"/>
    <w:rsid w:val="00FC3304"/>
    <w:rsid w:val="00FC58CB"/>
    <w:rsid w:val="00FC664D"/>
    <w:rsid w:val="00FC68BB"/>
    <w:rsid w:val="00FD0D36"/>
    <w:rsid w:val="00FD0F76"/>
    <w:rsid w:val="00FD1D37"/>
    <w:rsid w:val="00FD23DA"/>
    <w:rsid w:val="00FD6657"/>
    <w:rsid w:val="00FD6D33"/>
    <w:rsid w:val="00FD76B7"/>
    <w:rsid w:val="00FD7FBE"/>
    <w:rsid w:val="00FE199E"/>
    <w:rsid w:val="00FE34A6"/>
    <w:rsid w:val="00FE4A46"/>
    <w:rsid w:val="00FE7949"/>
    <w:rsid w:val="00FF057B"/>
    <w:rsid w:val="00FF2222"/>
    <w:rsid w:val="00FF2F0D"/>
    <w:rsid w:val="00FF5985"/>
    <w:rsid w:val="00FF5C97"/>
    <w:rsid w:val="00FF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9E0B"/>
  <w15:chartTrackingRefBased/>
  <w15:docId w15:val="{713B1316-7C7F-4FA6-B4BB-2F318837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39A"/>
    <w:rPr>
      <w:rFonts w:ascii="Segoe UI" w:hAnsi="Segoe UI" w:cs="Segoe UI"/>
      <w:sz w:val="18"/>
      <w:szCs w:val="18"/>
    </w:rPr>
  </w:style>
  <w:style w:type="table" w:styleId="TableGrid">
    <w:name w:val="Table Grid"/>
    <w:basedOn w:val="TableNormal"/>
    <w:uiPriority w:val="39"/>
    <w:rsid w:val="006B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0827"/>
    <w:pPr>
      <w:spacing w:after="0" w:line="240" w:lineRule="auto"/>
    </w:pPr>
  </w:style>
  <w:style w:type="character" w:styleId="Hyperlink">
    <w:name w:val="Hyperlink"/>
    <w:basedOn w:val="DefaultParagraphFont"/>
    <w:uiPriority w:val="99"/>
    <w:unhideWhenUsed/>
    <w:rsid w:val="005B3174"/>
    <w:rPr>
      <w:color w:val="0563C1" w:themeColor="hyperlink"/>
      <w:u w:val="single"/>
    </w:rPr>
  </w:style>
  <w:style w:type="character" w:styleId="UnresolvedMention">
    <w:name w:val="Unresolved Mention"/>
    <w:basedOn w:val="DefaultParagraphFont"/>
    <w:uiPriority w:val="99"/>
    <w:semiHidden/>
    <w:unhideWhenUsed/>
    <w:rsid w:val="005B3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ndward.eu/wp-content/uploads/2019/03/Archaeological-Market-Survey-2017-18.pdf" TargetMode="External"/><Relationship Id="rId5" Type="http://schemas.openxmlformats.org/officeDocument/2006/relationships/hyperlink" Target="https://www.afponline.org/ideas-inspiration/topics/articles/Details/fp-a-for-nonprofits-making-investment-decision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Dore</dc:creator>
  <cp:keywords/>
  <dc:description/>
  <cp:lastModifiedBy>Kenneth Aitchison</cp:lastModifiedBy>
  <cp:revision>4</cp:revision>
  <dcterms:created xsi:type="dcterms:W3CDTF">2019-08-01T15:43:00Z</dcterms:created>
  <dcterms:modified xsi:type="dcterms:W3CDTF">2019-08-01T15:49:00Z</dcterms:modified>
</cp:coreProperties>
</file>