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71A5" w:rsidRPr="007D46AC" w:rsidRDefault="00197EEA">
      <w:pPr>
        <w:spacing w:line="240" w:lineRule="auto"/>
        <w:jc w:val="center"/>
        <w:rPr>
          <w:rFonts w:ascii="Times New Roman" w:eastAsia="Times New Roman" w:hAnsi="Times New Roman" w:cs="Times New Roman"/>
          <w:b/>
          <w:color w:val="333333"/>
          <w:sz w:val="24"/>
          <w:szCs w:val="24"/>
        </w:rPr>
      </w:pPr>
      <w:bookmarkStart w:id="0" w:name="_GoBack"/>
      <w:bookmarkEnd w:id="0"/>
      <w:r w:rsidRPr="007D46AC">
        <w:rPr>
          <w:rFonts w:ascii="Times New Roman" w:eastAsia="Times New Roman" w:hAnsi="Times New Roman" w:cs="Times New Roman"/>
          <w:b/>
          <w:color w:val="333333"/>
          <w:sz w:val="24"/>
          <w:szCs w:val="24"/>
        </w:rPr>
        <w:t xml:space="preserve">Development and Validation of the Phoenix Criteria </w:t>
      </w:r>
    </w:p>
    <w:p w14:paraId="00000002" w14:textId="77777777" w:rsidR="00DF71A5" w:rsidRPr="007D46AC" w:rsidRDefault="00197EEA">
      <w:pPr>
        <w:spacing w:line="240" w:lineRule="auto"/>
        <w:jc w:val="center"/>
        <w:rPr>
          <w:rFonts w:ascii="Times New Roman" w:eastAsia="Times New Roman" w:hAnsi="Times New Roman" w:cs="Times New Roman"/>
          <w:color w:val="333333"/>
          <w:sz w:val="24"/>
          <w:szCs w:val="24"/>
          <w:u w:val="single"/>
        </w:rPr>
      </w:pPr>
      <w:r w:rsidRPr="007D46AC">
        <w:rPr>
          <w:rFonts w:ascii="Times New Roman" w:eastAsia="Times New Roman" w:hAnsi="Times New Roman" w:cs="Times New Roman"/>
          <w:b/>
          <w:color w:val="333333"/>
          <w:sz w:val="24"/>
          <w:szCs w:val="24"/>
        </w:rPr>
        <w:t xml:space="preserve">for Pediatric Sepsis and Septic Shock </w:t>
      </w:r>
    </w:p>
    <w:p w14:paraId="00000003" w14:textId="77777777" w:rsidR="00DF71A5" w:rsidRPr="007D46AC" w:rsidRDefault="00DF71A5">
      <w:pPr>
        <w:spacing w:line="240" w:lineRule="auto"/>
        <w:rPr>
          <w:rFonts w:ascii="Times New Roman" w:eastAsia="Times New Roman" w:hAnsi="Times New Roman" w:cs="Times New Roman"/>
          <w:b/>
          <w:color w:val="333333"/>
        </w:rPr>
      </w:pPr>
    </w:p>
    <w:p w14:paraId="00000004" w14:textId="77777777" w:rsidR="00DF71A5" w:rsidRPr="007D46AC" w:rsidRDefault="00DF71A5">
      <w:pPr>
        <w:spacing w:line="240" w:lineRule="auto"/>
        <w:rPr>
          <w:rFonts w:ascii="Times New Roman" w:eastAsia="Times New Roman" w:hAnsi="Times New Roman" w:cs="Times New Roman"/>
          <w:b/>
          <w:color w:val="333333"/>
        </w:rPr>
      </w:pPr>
    </w:p>
    <w:p w14:paraId="00000005" w14:textId="77777777" w:rsidR="00DF71A5" w:rsidRPr="007D46AC" w:rsidRDefault="00DF71A5">
      <w:pPr>
        <w:spacing w:line="240" w:lineRule="auto"/>
        <w:rPr>
          <w:rFonts w:ascii="Times New Roman" w:eastAsia="Times New Roman" w:hAnsi="Times New Roman" w:cs="Times New Roman"/>
          <w:b/>
          <w:color w:val="333333"/>
        </w:rPr>
      </w:pPr>
    </w:p>
    <w:p w14:paraId="00000006"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L. Nelson Sanchez-Pinto, MD, MBI*</w:t>
      </w:r>
    </w:p>
    <w:p w14:paraId="00000007"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Department of Pediatrics (Critical Care) and Preventive Medicine (Health &amp; Biomedical Informatics), Northwestern University </w:t>
      </w:r>
      <w:r w:rsidRPr="007D46AC">
        <w:rPr>
          <w:rFonts w:ascii="Times New Roman" w:eastAsia="Times New Roman" w:hAnsi="Times New Roman" w:cs="Times New Roman"/>
          <w:sz w:val="24"/>
          <w:szCs w:val="24"/>
        </w:rPr>
        <w:t>Feinberg School of Medicine; Ann &amp; Robert H. Lurie Children’s Hospital of Chicago, Chicago, IL, USA</w:t>
      </w:r>
    </w:p>
    <w:p w14:paraId="00000008" w14:textId="77777777" w:rsidR="00DF71A5" w:rsidRPr="007D46AC" w:rsidRDefault="00DF71A5">
      <w:pPr>
        <w:spacing w:line="240" w:lineRule="auto"/>
        <w:rPr>
          <w:rFonts w:ascii="Times New Roman" w:eastAsia="Times New Roman" w:hAnsi="Times New Roman" w:cs="Times New Roman"/>
          <w:sz w:val="24"/>
          <w:szCs w:val="24"/>
        </w:rPr>
      </w:pPr>
    </w:p>
    <w:p w14:paraId="00000009"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Tellen D. Bennett, MD, MS*</w:t>
      </w:r>
    </w:p>
    <w:p w14:paraId="0000000A"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Departments of Biomedical Informatics and Pediatrics (Critical Care Medicine), University of Colorado School of Medicine; Childr</w:t>
      </w:r>
      <w:r w:rsidRPr="007D46AC">
        <w:rPr>
          <w:rFonts w:ascii="Times New Roman" w:eastAsia="Times New Roman" w:hAnsi="Times New Roman" w:cs="Times New Roman"/>
          <w:sz w:val="24"/>
          <w:szCs w:val="24"/>
        </w:rPr>
        <w:t>en’s Hospital Colorado, Aurora, CO, USA</w:t>
      </w:r>
    </w:p>
    <w:p w14:paraId="0000000B" w14:textId="77777777" w:rsidR="00DF71A5" w:rsidRPr="007D46AC" w:rsidRDefault="00DF71A5">
      <w:pPr>
        <w:spacing w:line="240" w:lineRule="auto"/>
        <w:rPr>
          <w:rFonts w:ascii="Times New Roman" w:eastAsia="Times New Roman" w:hAnsi="Times New Roman" w:cs="Times New Roman"/>
          <w:sz w:val="24"/>
          <w:szCs w:val="24"/>
        </w:rPr>
      </w:pPr>
    </w:p>
    <w:p w14:paraId="0000000C"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Peter E. DeWitt, PhD**</w:t>
      </w:r>
    </w:p>
    <w:p w14:paraId="0000000D"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Biomedical Informatics, University of Colorado School of Medicine, Aurora, CO, USA</w:t>
      </w:r>
    </w:p>
    <w:p w14:paraId="0000000E" w14:textId="77777777" w:rsidR="00DF71A5" w:rsidRPr="007D46AC" w:rsidRDefault="00DF71A5">
      <w:pPr>
        <w:spacing w:line="240" w:lineRule="auto"/>
        <w:rPr>
          <w:rFonts w:ascii="Times New Roman" w:eastAsia="Times New Roman" w:hAnsi="Times New Roman" w:cs="Times New Roman"/>
          <w:sz w:val="24"/>
          <w:szCs w:val="24"/>
        </w:rPr>
      </w:pPr>
    </w:p>
    <w:p w14:paraId="0000000F"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Seth Russell, MS**</w:t>
      </w:r>
    </w:p>
    <w:p w14:paraId="00000010" w14:textId="77777777" w:rsidR="00DF71A5" w:rsidRPr="007D46AC" w:rsidRDefault="00197EEA">
      <w:pPr>
        <w:spacing w:line="240" w:lineRule="auto"/>
        <w:rPr>
          <w:rFonts w:ascii="Times New Roman" w:eastAsia="Times New Roman" w:hAnsi="Times New Roman" w:cs="Times New Roman"/>
          <w:color w:val="444746"/>
          <w:sz w:val="24"/>
          <w:szCs w:val="24"/>
        </w:rPr>
      </w:pPr>
      <w:r w:rsidRPr="007D46AC">
        <w:rPr>
          <w:rFonts w:ascii="Times New Roman" w:eastAsia="Times New Roman" w:hAnsi="Times New Roman" w:cs="Times New Roman"/>
          <w:color w:val="444746"/>
          <w:sz w:val="24"/>
          <w:szCs w:val="24"/>
        </w:rPr>
        <w:t>Department of Biomedical Informatics, University of Colorado School of Medi</w:t>
      </w:r>
      <w:r w:rsidRPr="007D46AC">
        <w:rPr>
          <w:rFonts w:ascii="Times New Roman" w:eastAsia="Times New Roman" w:hAnsi="Times New Roman" w:cs="Times New Roman"/>
          <w:color w:val="444746"/>
          <w:sz w:val="24"/>
          <w:szCs w:val="24"/>
        </w:rPr>
        <w:t>cine, Aurora, CO, USA</w:t>
      </w:r>
    </w:p>
    <w:p w14:paraId="00000011" w14:textId="77777777" w:rsidR="00DF71A5" w:rsidRPr="007D46AC" w:rsidRDefault="00DF71A5">
      <w:pPr>
        <w:spacing w:line="240" w:lineRule="auto"/>
        <w:rPr>
          <w:rFonts w:ascii="Times New Roman" w:eastAsia="Times New Roman" w:hAnsi="Times New Roman" w:cs="Times New Roman"/>
          <w:color w:val="444746"/>
          <w:sz w:val="24"/>
          <w:szCs w:val="24"/>
        </w:rPr>
      </w:pPr>
    </w:p>
    <w:p w14:paraId="00000012"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Margaret N. Rebull, MA</w:t>
      </w:r>
    </w:p>
    <w:p w14:paraId="00000013" w14:textId="77777777" w:rsidR="00DF71A5" w:rsidRPr="007D46AC" w:rsidRDefault="00197EEA">
      <w:pPr>
        <w:spacing w:line="240" w:lineRule="auto"/>
        <w:rPr>
          <w:rFonts w:ascii="Times New Roman" w:eastAsia="Times New Roman" w:hAnsi="Times New Roman" w:cs="Times New Roman"/>
          <w:color w:val="444746"/>
          <w:sz w:val="24"/>
          <w:szCs w:val="24"/>
        </w:rPr>
      </w:pPr>
      <w:r w:rsidRPr="007D46AC">
        <w:rPr>
          <w:rFonts w:ascii="Times New Roman" w:eastAsia="Times New Roman" w:hAnsi="Times New Roman" w:cs="Times New Roman"/>
          <w:color w:val="444746"/>
          <w:sz w:val="24"/>
          <w:szCs w:val="24"/>
        </w:rPr>
        <w:t>Department of Biomedical Informatics, University of Colorado School of Medicine; Aurora, CO, USA</w:t>
      </w:r>
    </w:p>
    <w:p w14:paraId="00000014" w14:textId="77777777" w:rsidR="00DF71A5" w:rsidRPr="007D46AC" w:rsidRDefault="00DF71A5">
      <w:pPr>
        <w:spacing w:line="240" w:lineRule="auto"/>
        <w:rPr>
          <w:rFonts w:ascii="Times New Roman" w:eastAsia="Times New Roman" w:hAnsi="Times New Roman" w:cs="Times New Roman"/>
          <w:color w:val="444746"/>
          <w:sz w:val="24"/>
          <w:szCs w:val="24"/>
        </w:rPr>
      </w:pPr>
    </w:p>
    <w:p w14:paraId="00000015"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Blake Martin, MD </w:t>
      </w:r>
    </w:p>
    <w:p w14:paraId="00000016"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Departments of Pediatrics (Critical Care Medicine) and Biomedical Informatics, University of C</w:t>
      </w:r>
      <w:r w:rsidRPr="007D46AC">
        <w:rPr>
          <w:rFonts w:ascii="Times New Roman" w:eastAsia="Times New Roman" w:hAnsi="Times New Roman" w:cs="Times New Roman"/>
          <w:sz w:val="24"/>
          <w:szCs w:val="24"/>
        </w:rPr>
        <w:t>olorado School of Medicine; Children’s Hospital Colorado, Aurora, CO, USA</w:t>
      </w:r>
    </w:p>
    <w:p w14:paraId="00000017" w14:textId="77777777" w:rsidR="00DF71A5" w:rsidRPr="007D46AC" w:rsidRDefault="00DF71A5">
      <w:pPr>
        <w:spacing w:line="240" w:lineRule="auto"/>
        <w:rPr>
          <w:rFonts w:ascii="Times New Roman" w:eastAsia="Times New Roman" w:hAnsi="Times New Roman" w:cs="Times New Roman"/>
          <w:sz w:val="24"/>
          <w:szCs w:val="24"/>
        </w:rPr>
      </w:pPr>
    </w:p>
    <w:p w14:paraId="00000018"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Samuel Akech, MBChB, MMED</w:t>
      </w:r>
    </w:p>
    <w:p w14:paraId="00000019"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Kenya Medical Research Institute (KEMRI)-Wellcome Trust Research Programme, Nairobi, Kenya</w:t>
      </w:r>
    </w:p>
    <w:p w14:paraId="0000001A" w14:textId="77777777" w:rsidR="00DF71A5" w:rsidRPr="007D46AC" w:rsidRDefault="00DF71A5">
      <w:pPr>
        <w:spacing w:line="240" w:lineRule="auto"/>
        <w:rPr>
          <w:rFonts w:ascii="Times New Roman" w:eastAsia="Times New Roman" w:hAnsi="Times New Roman" w:cs="Times New Roman"/>
          <w:sz w:val="24"/>
          <w:szCs w:val="24"/>
        </w:rPr>
      </w:pPr>
    </w:p>
    <w:p w14:paraId="0000001B"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David J. Albers, PhD</w:t>
      </w:r>
    </w:p>
    <w:p w14:paraId="0000001C"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Departments of Biomedical Informatics, </w:t>
      </w:r>
      <w:r w:rsidRPr="007D46AC">
        <w:rPr>
          <w:rFonts w:ascii="Times New Roman" w:eastAsia="Times New Roman" w:hAnsi="Times New Roman" w:cs="Times New Roman"/>
          <w:sz w:val="24"/>
          <w:szCs w:val="24"/>
        </w:rPr>
        <w:t>Bioengineering, Biostatistics and Informatics, University of Colorado School of Medicine; Aurora, CO, USA, Department of Biomedical Informatics, Columbia University, New York, NY, USA</w:t>
      </w:r>
    </w:p>
    <w:p w14:paraId="0000001D" w14:textId="77777777" w:rsidR="00DF71A5" w:rsidRPr="007D46AC" w:rsidRDefault="00DF71A5">
      <w:pPr>
        <w:spacing w:line="240" w:lineRule="auto"/>
        <w:rPr>
          <w:rFonts w:ascii="Times New Roman" w:eastAsia="Times New Roman" w:hAnsi="Times New Roman" w:cs="Times New Roman"/>
          <w:sz w:val="24"/>
          <w:szCs w:val="24"/>
        </w:rPr>
      </w:pPr>
    </w:p>
    <w:p w14:paraId="0000001E" w14:textId="77777777" w:rsidR="00DF71A5" w:rsidRPr="007D46AC" w:rsidRDefault="00197EEA">
      <w:pPr>
        <w:spacing w:line="240" w:lineRule="auto"/>
        <w:rPr>
          <w:rFonts w:ascii="Times New Roman" w:eastAsia="Times New Roman" w:hAnsi="Times New Roman" w:cs="Times New Roman"/>
          <w:b/>
          <w:sz w:val="24"/>
          <w:szCs w:val="24"/>
        </w:rPr>
      </w:pPr>
      <w:r w:rsidRPr="007D46AC">
        <w:rPr>
          <w:rFonts w:ascii="Times New Roman" w:eastAsia="Times New Roman" w:hAnsi="Times New Roman" w:cs="Times New Roman"/>
          <w:sz w:val="24"/>
          <w:szCs w:val="24"/>
        </w:rPr>
        <w:t>Elizabeth R. Alpern, MD, MSCE</w:t>
      </w:r>
    </w:p>
    <w:p w14:paraId="0000001F"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Division of Emergency Medicine, </w:t>
      </w:r>
      <w:r w:rsidRPr="007D46AC">
        <w:rPr>
          <w:rFonts w:ascii="Times New Roman" w:eastAsia="Times New Roman" w:hAnsi="Times New Roman" w:cs="Times New Roman"/>
          <w:sz w:val="24"/>
          <w:szCs w:val="24"/>
        </w:rPr>
        <w:t>Department of Pediatrics, Ann &amp; Robert H. Lurie Children’s Hospital of Chicago and Northwestern University Feinberg School of Medicine, Chicago, Illinois, USA</w:t>
      </w:r>
    </w:p>
    <w:p w14:paraId="00000020" w14:textId="77777777" w:rsidR="00DF71A5" w:rsidRPr="007D46AC" w:rsidRDefault="00DF71A5">
      <w:pPr>
        <w:spacing w:line="240" w:lineRule="auto"/>
        <w:rPr>
          <w:rFonts w:ascii="Times New Roman" w:eastAsia="Times New Roman" w:hAnsi="Times New Roman" w:cs="Times New Roman"/>
          <w:sz w:val="24"/>
          <w:szCs w:val="24"/>
        </w:rPr>
      </w:pPr>
    </w:p>
    <w:p w14:paraId="00000021"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Fran Balamuth MD, PhD, MSCE</w:t>
      </w:r>
    </w:p>
    <w:p w14:paraId="00000022"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lastRenderedPageBreak/>
        <w:t>Department of Pediatrics, University of Pennsylvania, Perelman Schoo</w:t>
      </w:r>
      <w:r w:rsidRPr="007D46AC">
        <w:rPr>
          <w:rFonts w:ascii="Times New Roman" w:eastAsia="Times New Roman" w:hAnsi="Times New Roman" w:cs="Times New Roman"/>
          <w:sz w:val="24"/>
          <w:szCs w:val="24"/>
        </w:rPr>
        <w:t>l of Medicine and Division of Emergency Medicine, Children’s Hospital of Philadelphia, Philadelphia, Pennsylvania, USA</w:t>
      </w:r>
    </w:p>
    <w:p w14:paraId="00000023" w14:textId="77777777" w:rsidR="00DF71A5" w:rsidRPr="007D46AC" w:rsidRDefault="00DF71A5">
      <w:pPr>
        <w:spacing w:line="240" w:lineRule="auto"/>
        <w:rPr>
          <w:rFonts w:ascii="Times New Roman" w:eastAsia="Times New Roman" w:hAnsi="Times New Roman" w:cs="Times New Roman"/>
          <w:sz w:val="24"/>
          <w:szCs w:val="24"/>
        </w:rPr>
      </w:pPr>
    </w:p>
    <w:p w14:paraId="00000024"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Melania Bembea, MD, MPH, PhD</w:t>
      </w:r>
    </w:p>
    <w:p w14:paraId="00000025"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Anesthesiology and Critical Care Medicine, Johns Hopkins University School of Medicine, Balti</w:t>
      </w:r>
      <w:r w:rsidRPr="007D46AC">
        <w:rPr>
          <w:rFonts w:ascii="Times New Roman" w:eastAsia="Times New Roman" w:hAnsi="Times New Roman" w:cs="Times New Roman"/>
          <w:sz w:val="24"/>
          <w:szCs w:val="24"/>
        </w:rPr>
        <w:t>more, Maryland, USA</w:t>
      </w:r>
    </w:p>
    <w:p w14:paraId="00000026" w14:textId="77777777" w:rsidR="00DF71A5" w:rsidRPr="007D46AC" w:rsidRDefault="00DF71A5">
      <w:pPr>
        <w:spacing w:line="240" w:lineRule="auto"/>
        <w:rPr>
          <w:rFonts w:ascii="Times New Roman" w:eastAsia="Times New Roman" w:hAnsi="Times New Roman" w:cs="Times New Roman"/>
          <w:sz w:val="24"/>
          <w:szCs w:val="24"/>
        </w:rPr>
      </w:pPr>
    </w:p>
    <w:p w14:paraId="186C30A4" w14:textId="77777777" w:rsidR="00541136" w:rsidRPr="007D46AC" w:rsidRDefault="00541136" w:rsidP="00541136">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Mohammod Jobayer Chisti, MBBS, MMed</w:t>
      </w:r>
      <w:r>
        <w:rPr>
          <w:rFonts w:ascii="Times New Roman" w:eastAsia="Times New Roman" w:hAnsi="Times New Roman" w:cs="Times New Roman"/>
          <w:sz w:val="24"/>
          <w:szCs w:val="24"/>
        </w:rPr>
        <w:t>, PhD</w:t>
      </w:r>
    </w:p>
    <w:p w14:paraId="0992B51C" w14:textId="77777777" w:rsidR="00541136" w:rsidRPr="007D46AC" w:rsidRDefault="00541136" w:rsidP="00541136">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Intensive Care Unit, Dhaka Hospital, </w:t>
      </w:r>
      <w:r>
        <w:rPr>
          <w:rFonts w:ascii="Times New Roman" w:eastAsia="Times New Roman" w:hAnsi="Times New Roman" w:cs="Times New Roman"/>
          <w:sz w:val="24"/>
          <w:szCs w:val="24"/>
        </w:rPr>
        <w:t xml:space="preserve">Nutrition Research Division, </w:t>
      </w:r>
      <w:r w:rsidRPr="007D46AC">
        <w:rPr>
          <w:rFonts w:ascii="Times New Roman" w:eastAsia="Times New Roman" w:hAnsi="Times New Roman" w:cs="Times New Roman"/>
          <w:sz w:val="24"/>
          <w:szCs w:val="24"/>
        </w:rPr>
        <w:t>International Centre for Diarrhoeal Disease Research</w:t>
      </w:r>
      <w:r>
        <w:rPr>
          <w:rFonts w:ascii="Times New Roman" w:eastAsia="Times New Roman" w:hAnsi="Times New Roman" w:cs="Times New Roman"/>
          <w:sz w:val="24"/>
          <w:szCs w:val="24"/>
        </w:rPr>
        <w:t>, Bangladesh (icddr,b)</w:t>
      </w:r>
      <w:r w:rsidRPr="007D46AC">
        <w:rPr>
          <w:rFonts w:ascii="Times New Roman" w:eastAsia="Times New Roman" w:hAnsi="Times New Roman" w:cs="Times New Roman"/>
          <w:sz w:val="24"/>
          <w:szCs w:val="24"/>
        </w:rPr>
        <w:t>, Dhaka, Bangladesh</w:t>
      </w:r>
    </w:p>
    <w:p w14:paraId="00000029" w14:textId="77777777" w:rsidR="00DF71A5" w:rsidRPr="007D46AC" w:rsidRDefault="00DF71A5">
      <w:pPr>
        <w:spacing w:line="240" w:lineRule="auto"/>
        <w:rPr>
          <w:rFonts w:ascii="Times New Roman" w:eastAsia="Times New Roman" w:hAnsi="Times New Roman" w:cs="Times New Roman"/>
          <w:sz w:val="24"/>
          <w:szCs w:val="24"/>
        </w:rPr>
      </w:pPr>
    </w:p>
    <w:p w14:paraId="0000002A"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Idris Evans, MD, MSc</w:t>
      </w:r>
    </w:p>
    <w:p w14:paraId="0000002B"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w:t>
      </w:r>
      <w:r w:rsidRPr="007D46AC">
        <w:rPr>
          <w:rFonts w:ascii="Times New Roman" w:eastAsia="Times New Roman" w:hAnsi="Times New Roman" w:cs="Times New Roman"/>
          <w:sz w:val="24"/>
          <w:szCs w:val="24"/>
        </w:rPr>
        <w:t>f Critical Care Medicine, University of Pittsburgh School of Medicine, and The Clinical Research, Investigation, and Systems Modeling of Acute Illness (CRISMA) Center, Pittsburgh, Pennsylvania, USA</w:t>
      </w:r>
    </w:p>
    <w:p w14:paraId="0000002C" w14:textId="77777777" w:rsidR="00DF71A5" w:rsidRPr="007D46AC" w:rsidRDefault="00DF71A5">
      <w:pPr>
        <w:spacing w:line="240" w:lineRule="auto"/>
        <w:rPr>
          <w:rFonts w:ascii="Times New Roman" w:eastAsia="Times New Roman" w:hAnsi="Times New Roman" w:cs="Times New Roman"/>
          <w:sz w:val="24"/>
          <w:szCs w:val="24"/>
        </w:rPr>
      </w:pPr>
    </w:p>
    <w:p w14:paraId="0000002D"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Christopher M. Horvat, MD, MHA </w:t>
      </w:r>
    </w:p>
    <w:p w14:paraId="0000002E"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Critical Ca</w:t>
      </w:r>
      <w:r w:rsidRPr="007D46AC">
        <w:rPr>
          <w:rFonts w:ascii="Times New Roman" w:eastAsia="Times New Roman" w:hAnsi="Times New Roman" w:cs="Times New Roman"/>
          <w:sz w:val="24"/>
          <w:szCs w:val="24"/>
        </w:rPr>
        <w:t>re Medicine, University of Pittsburgh School of Medicine, and The Clinical Research, Investigation, and Systems Modeling of Acute Illness (CRISMA) Center, Pittsburgh, Pennsylvania, USA</w:t>
      </w:r>
    </w:p>
    <w:p w14:paraId="0000002F" w14:textId="77777777" w:rsidR="00DF71A5" w:rsidRPr="007D46AC" w:rsidRDefault="00DF71A5">
      <w:pPr>
        <w:spacing w:line="240" w:lineRule="auto"/>
        <w:rPr>
          <w:rFonts w:ascii="Times New Roman" w:eastAsia="Times New Roman" w:hAnsi="Times New Roman" w:cs="Times New Roman"/>
          <w:sz w:val="24"/>
          <w:szCs w:val="24"/>
        </w:rPr>
      </w:pPr>
    </w:p>
    <w:p w14:paraId="00000030"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Juan Camilo Jaramillo-Bustamante, MD</w:t>
      </w:r>
    </w:p>
    <w:p w14:paraId="00000031"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Pediatric Intensive Care Unit, Ho</w:t>
      </w:r>
      <w:r w:rsidRPr="007D46AC">
        <w:rPr>
          <w:rFonts w:ascii="Times New Roman" w:eastAsia="Times New Roman" w:hAnsi="Times New Roman" w:cs="Times New Roman"/>
          <w:sz w:val="24"/>
          <w:szCs w:val="24"/>
        </w:rPr>
        <w:t>spital General de Medellín “Luz Castro de Gutiérrez” and Hospital Pablo Tobón Uribe, Medellín, Colombia</w:t>
      </w:r>
      <w:r w:rsidRPr="007D46AC">
        <w:rPr>
          <w:rFonts w:ascii="Times New Roman" w:eastAsia="Times New Roman" w:hAnsi="Times New Roman" w:cs="Times New Roman"/>
          <w:sz w:val="24"/>
          <w:szCs w:val="24"/>
        </w:rPr>
        <w:br/>
        <w:t>Red Colaborativa Pediátrica de Latinoamérica (LARed Network)</w:t>
      </w:r>
    </w:p>
    <w:p w14:paraId="00000032" w14:textId="77777777" w:rsidR="00DF71A5" w:rsidRPr="007D46AC" w:rsidRDefault="00DF71A5">
      <w:pPr>
        <w:spacing w:line="240" w:lineRule="auto"/>
        <w:rPr>
          <w:rFonts w:ascii="Times New Roman" w:eastAsia="Times New Roman" w:hAnsi="Times New Roman" w:cs="Times New Roman"/>
          <w:sz w:val="24"/>
          <w:szCs w:val="24"/>
        </w:rPr>
      </w:pPr>
    </w:p>
    <w:p w14:paraId="00000033"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Niranjan Kissoon, MD, MCCM</w:t>
      </w:r>
    </w:p>
    <w:p w14:paraId="00000034"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Pediatrics, University of British Columbia, Vanco</w:t>
      </w:r>
      <w:r w:rsidRPr="007D46AC">
        <w:rPr>
          <w:rFonts w:ascii="Times New Roman" w:eastAsia="Times New Roman" w:hAnsi="Times New Roman" w:cs="Times New Roman"/>
          <w:sz w:val="24"/>
          <w:szCs w:val="24"/>
        </w:rPr>
        <w:t>uver, Canada</w:t>
      </w:r>
    </w:p>
    <w:p w14:paraId="00000035" w14:textId="77777777" w:rsidR="00DF71A5" w:rsidRPr="007D46AC" w:rsidRDefault="00DF71A5">
      <w:pPr>
        <w:spacing w:line="240" w:lineRule="auto"/>
        <w:rPr>
          <w:rFonts w:ascii="Times New Roman" w:eastAsia="Times New Roman" w:hAnsi="Times New Roman" w:cs="Times New Roman"/>
          <w:sz w:val="24"/>
          <w:szCs w:val="24"/>
        </w:rPr>
      </w:pPr>
    </w:p>
    <w:p w14:paraId="00000036"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Kusum Menon, MD, MSc</w:t>
      </w:r>
    </w:p>
    <w:p w14:paraId="00000037"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Pediatrics, Children’s Hospital of Eastern Ontario and University of Ottawa, Ontario, Canada</w:t>
      </w:r>
    </w:p>
    <w:p w14:paraId="00000038" w14:textId="77777777" w:rsidR="00DF71A5" w:rsidRPr="007D46AC" w:rsidRDefault="00DF71A5">
      <w:pPr>
        <w:spacing w:line="240" w:lineRule="auto"/>
        <w:rPr>
          <w:rFonts w:ascii="Times New Roman" w:eastAsia="Times New Roman" w:hAnsi="Times New Roman" w:cs="Times New Roman"/>
          <w:sz w:val="24"/>
          <w:szCs w:val="24"/>
        </w:rPr>
      </w:pPr>
    </w:p>
    <w:p w14:paraId="00000039"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Halden F. Scott, MD, MSCS</w:t>
      </w:r>
    </w:p>
    <w:p w14:paraId="0000003A"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Department of Pediatrics (Pediatric Emergency Medicine), University of Colorado School </w:t>
      </w:r>
      <w:r w:rsidRPr="007D46AC">
        <w:rPr>
          <w:rFonts w:ascii="Times New Roman" w:eastAsia="Times New Roman" w:hAnsi="Times New Roman" w:cs="Times New Roman"/>
          <w:sz w:val="24"/>
          <w:szCs w:val="24"/>
        </w:rPr>
        <w:t>of Medicine; Children’s Hospital Colorado, Aurora, Colorado, USA</w:t>
      </w:r>
    </w:p>
    <w:p w14:paraId="0000003B" w14:textId="77777777" w:rsidR="00DF71A5" w:rsidRPr="007D46AC" w:rsidRDefault="00DF71A5">
      <w:pPr>
        <w:spacing w:line="240" w:lineRule="auto"/>
        <w:rPr>
          <w:rFonts w:ascii="Times New Roman" w:eastAsia="Times New Roman" w:hAnsi="Times New Roman" w:cs="Times New Roman"/>
          <w:sz w:val="24"/>
          <w:szCs w:val="24"/>
        </w:rPr>
      </w:pPr>
    </w:p>
    <w:p w14:paraId="0000003C"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Scott L. Weiss, MD, FCCM</w:t>
      </w:r>
    </w:p>
    <w:p w14:paraId="0000003D"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Division of Critical Care, Department of Pediatrics, Nemours Children’s Health, Wilmington, Delaware and Sidney Kimmel Medical College at Thomas Jefferson University</w:t>
      </w:r>
      <w:r w:rsidRPr="007D46AC">
        <w:rPr>
          <w:rFonts w:ascii="Times New Roman" w:eastAsia="Times New Roman" w:hAnsi="Times New Roman" w:cs="Times New Roman"/>
          <w:sz w:val="24"/>
          <w:szCs w:val="24"/>
        </w:rPr>
        <w:t>, Philadelphia, Pennsylvania, USA</w:t>
      </w:r>
    </w:p>
    <w:p w14:paraId="0000003E" w14:textId="77777777" w:rsidR="00DF71A5" w:rsidRPr="007D46AC" w:rsidRDefault="00DF71A5">
      <w:pPr>
        <w:spacing w:line="240" w:lineRule="auto"/>
        <w:rPr>
          <w:rFonts w:ascii="Times New Roman" w:eastAsia="Times New Roman" w:hAnsi="Times New Roman" w:cs="Times New Roman"/>
          <w:sz w:val="24"/>
          <w:szCs w:val="24"/>
        </w:rPr>
      </w:pPr>
    </w:p>
    <w:p w14:paraId="0000003F"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Matthew O. Wiens, PharmD, PhD</w:t>
      </w:r>
    </w:p>
    <w:p w14:paraId="00000040"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lastRenderedPageBreak/>
        <w:t>Department of Anesthesiology, Pharmacology and Therapeutics, Faculty of Medicine, University of British Columbia, Vancouver, Canada; Institute for Global Health, BC Children’s Hospital, Vanco</w:t>
      </w:r>
      <w:r w:rsidRPr="007D46AC">
        <w:rPr>
          <w:rFonts w:ascii="Times New Roman" w:eastAsia="Times New Roman" w:hAnsi="Times New Roman" w:cs="Times New Roman"/>
          <w:sz w:val="24"/>
          <w:szCs w:val="24"/>
        </w:rPr>
        <w:t>uver, Canada; Walimu, Uganda</w:t>
      </w:r>
    </w:p>
    <w:p w14:paraId="00000041" w14:textId="77777777" w:rsidR="00DF71A5" w:rsidRPr="007D46AC" w:rsidRDefault="00DF71A5">
      <w:pPr>
        <w:spacing w:line="240" w:lineRule="auto"/>
        <w:rPr>
          <w:rFonts w:ascii="Times New Roman" w:eastAsia="Times New Roman" w:hAnsi="Times New Roman" w:cs="Times New Roman"/>
          <w:sz w:val="24"/>
          <w:szCs w:val="24"/>
        </w:rPr>
      </w:pPr>
    </w:p>
    <w:p w14:paraId="00000042"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 xml:space="preserve">Jerry J. Zimmerman, MD, PhD, MCCM </w:t>
      </w:r>
    </w:p>
    <w:p w14:paraId="00000043"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Seattle Children’s Hospital, Department of Pediatrics, University of Washington School of Medicine, Seattle, Washington, USA</w:t>
      </w:r>
    </w:p>
    <w:p w14:paraId="00000044" w14:textId="77777777" w:rsidR="00DF71A5" w:rsidRPr="007D46AC" w:rsidRDefault="00DF71A5">
      <w:pPr>
        <w:spacing w:line="240" w:lineRule="auto"/>
        <w:rPr>
          <w:rFonts w:ascii="Times New Roman" w:eastAsia="Times New Roman" w:hAnsi="Times New Roman" w:cs="Times New Roman"/>
          <w:sz w:val="24"/>
          <w:szCs w:val="24"/>
        </w:rPr>
      </w:pPr>
    </w:p>
    <w:p w14:paraId="00000045"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Andrew C. Argent, MD, MBBCh, MMed***</w:t>
      </w:r>
    </w:p>
    <w:p w14:paraId="00000046"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Paediatrics</w:t>
      </w:r>
      <w:r w:rsidRPr="007D46AC">
        <w:rPr>
          <w:rFonts w:ascii="Times New Roman" w:eastAsia="Times New Roman" w:hAnsi="Times New Roman" w:cs="Times New Roman"/>
          <w:sz w:val="24"/>
          <w:szCs w:val="24"/>
        </w:rPr>
        <w:t xml:space="preserve"> and Child Health, University of Cape Town Faculty of Health Sciences, Cape Town, South Africa.</w:t>
      </w:r>
    </w:p>
    <w:p w14:paraId="00000047" w14:textId="77777777" w:rsidR="00DF71A5" w:rsidRPr="007D46AC" w:rsidRDefault="00DF71A5">
      <w:pPr>
        <w:spacing w:line="240" w:lineRule="auto"/>
        <w:rPr>
          <w:rFonts w:ascii="Times New Roman" w:eastAsia="Times New Roman" w:hAnsi="Times New Roman" w:cs="Times New Roman"/>
          <w:sz w:val="24"/>
          <w:szCs w:val="24"/>
        </w:rPr>
      </w:pPr>
    </w:p>
    <w:p w14:paraId="00000048" w14:textId="77777777" w:rsidR="00DF71A5" w:rsidRPr="007D46AC" w:rsidRDefault="00197EEA">
      <w:pPr>
        <w:spacing w:line="240" w:lineRule="auto"/>
        <w:rPr>
          <w:rFonts w:ascii="Times New Roman" w:eastAsia="Times New Roman" w:hAnsi="Times New Roman" w:cs="Times New Roman"/>
          <w:b/>
          <w:color w:val="333333"/>
        </w:rPr>
      </w:pPr>
      <w:r w:rsidRPr="007D46AC">
        <w:rPr>
          <w:rFonts w:ascii="Times New Roman" w:eastAsia="Times New Roman" w:hAnsi="Times New Roman" w:cs="Times New Roman"/>
          <w:sz w:val="24"/>
          <w:szCs w:val="24"/>
        </w:rPr>
        <w:t>Lauren R. Sorce, PhD, RN, CPNP-AC/PC***</w:t>
      </w:r>
    </w:p>
    <w:p w14:paraId="00000049"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Pediatrics, Northwestern University Feinberg School of Medicine; Ann &amp; Robert H. Lurie Children’s Hospita</w:t>
      </w:r>
      <w:r w:rsidRPr="007D46AC">
        <w:rPr>
          <w:rFonts w:ascii="Times New Roman" w:eastAsia="Times New Roman" w:hAnsi="Times New Roman" w:cs="Times New Roman"/>
          <w:sz w:val="24"/>
          <w:szCs w:val="24"/>
        </w:rPr>
        <w:t>l of Chicago, Chicago, IL, USA</w:t>
      </w:r>
    </w:p>
    <w:p w14:paraId="0000004A" w14:textId="77777777" w:rsidR="00DF71A5" w:rsidRPr="007D46AC" w:rsidRDefault="00DF71A5">
      <w:pPr>
        <w:spacing w:line="240" w:lineRule="auto"/>
        <w:rPr>
          <w:rFonts w:ascii="Times New Roman" w:eastAsia="Times New Roman" w:hAnsi="Times New Roman" w:cs="Times New Roman"/>
          <w:sz w:val="24"/>
          <w:szCs w:val="24"/>
        </w:rPr>
      </w:pPr>
    </w:p>
    <w:p w14:paraId="0000004B" w14:textId="77777777" w:rsidR="00DF71A5" w:rsidRPr="007D46AC" w:rsidRDefault="00197EEA">
      <w:pPr>
        <w:spacing w:line="240" w:lineRule="auto"/>
        <w:rPr>
          <w:rFonts w:ascii="Times New Roman" w:eastAsia="Times New Roman" w:hAnsi="Times New Roman" w:cs="Times New Roman"/>
          <w:sz w:val="24"/>
          <w:szCs w:val="24"/>
          <w:vertAlign w:val="superscript"/>
        </w:rPr>
      </w:pPr>
      <w:r w:rsidRPr="007D46AC">
        <w:rPr>
          <w:rFonts w:ascii="Times New Roman" w:eastAsia="Times New Roman" w:hAnsi="Times New Roman" w:cs="Times New Roman"/>
          <w:sz w:val="24"/>
          <w:szCs w:val="24"/>
        </w:rPr>
        <w:t>Luregn J. Schlapbach, MD, PhD***</w:t>
      </w:r>
    </w:p>
    <w:p w14:paraId="0000004C" w14:textId="77777777" w:rsidR="00DF71A5" w:rsidRPr="007D46AC" w:rsidRDefault="00197EEA">
      <w:pPr>
        <w:shd w:val="clear" w:color="auto" w:fill="FFFFFF"/>
        <w:spacing w:line="240" w:lineRule="auto"/>
        <w:rPr>
          <w:rFonts w:ascii="Times New Roman" w:eastAsia="Times New Roman" w:hAnsi="Times New Roman" w:cs="Times New Roman"/>
          <w:color w:val="242424"/>
        </w:rPr>
      </w:pPr>
      <w:r w:rsidRPr="007D46AC">
        <w:rPr>
          <w:rFonts w:ascii="Times New Roman" w:eastAsia="Times New Roman" w:hAnsi="Times New Roman" w:cs="Times New Roman"/>
          <w:color w:val="242424"/>
          <w:sz w:val="24"/>
          <w:szCs w:val="24"/>
        </w:rPr>
        <w:t>Department of Intensive Care and Neonatology, and Children's Research Center, University Children's Hospital Zurich, University of Zurich, Zurich, Switzerland; and Child Health Research Centr</w:t>
      </w:r>
      <w:r w:rsidRPr="007D46AC">
        <w:rPr>
          <w:rFonts w:ascii="Times New Roman" w:eastAsia="Times New Roman" w:hAnsi="Times New Roman" w:cs="Times New Roman"/>
          <w:color w:val="242424"/>
          <w:sz w:val="24"/>
          <w:szCs w:val="24"/>
        </w:rPr>
        <w:t>e, The University of Queensland, Brisbane, Australia</w:t>
      </w:r>
    </w:p>
    <w:p w14:paraId="0000004D" w14:textId="77777777" w:rsidR="00DF71A5" w:rsidRPr="007D46AC" w:rsidRDefault="00DF71A5">
      <w:pPr>
        <w:spacing w:line="240" w:lineRule="auto"/>
        <w:rPr>
          <w:rFonts w:ascii="Times New Roman" w:eastAsia="Times New Roman" w:hAnsi="Times New Roman" w:cs="Times New Roman"/>
          <w:sz w:val="24"/>
          <w:szCs w:val="24"/>
        </w:rPr>
      </w:pPr>
    </w:p>
    <w:p w14:paraId="0000004E"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R Scott Watson, MD, MPH***</w:t>
      </w:r>
    </w:p>
    <w:p w14:paraId="0000004F"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Department of Pediatrics, University of Washington; Seattle and Center for Child Health, Behavior, and Development and Pediatric Critical Care, Seattle Children's; Seattle, Wa</w:t>
      </w:r>
      <w:r w:rsidRPr="007D46AC">
        <w:rPr>
          <w:rFonts w:ascii="Times New Roman" w:eastAsia="Times New Roman" w:hAnsi="Times New Roman" w:cs="Times New Roman"/>
          <w:sz w:val="24"/>
          <w:szCs w:val="24"/>
        </w:rPr>
        <w:t>shington, USA</w:t>
      </w:r>
    </w:p>
    <w:p w14:paraId="00000050" w14:textId="77777777" w:rsidR="00DF71A5" w:rsidRPr="007D46AC" w:rsidRDefault="00DF71A5">
      <w:pPr>
        <w:spacing w:line="240" w:lineRule="auto"/>
        <w:rPr>
          <w:rFonts w:ascii="Times New Roman" w:eastAsia="Times New Roman" w:hAnsi="Times New Roman" w:cs="Times New Roman"/>
          <w:sz w:val="24"/>
          <w:szCs w:val="24"/>
        </w:rPr>
      </w:pPr>
    </w:p>
    <w:p w14:paraId="00000051" w14:textId="760430E3" w:rsidR="00DF71A5" w:rsidRPr="007D46AC" w:rsidRDefault="0056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and</w:t>
      </w:r>
      <w:r w:rsidRPr="007D46AC">
        <w:rPr>
          <w:rFonts w:ascii="Times New Roman" w:eastAsia="Times New Roman" w:hAnsi="Times New Roman" w:cs="Times New Roman"/>
          <w:i/>
          <w:sz w:val="24"/>
          <w:szCs w:val="24"/>
        </w:rPr>
        <w:t xml:space="preserve"> the Society of Critical Care Medicine Pediatric Sepsis Definition Task Force (see Supplement)</w:t>
      </w:r>
    </w:p>
    <w:p w14:paraId="00000052" w14:textId="77777777" w:rsidR="00DF71A5" w:rsidRPr="007D46AC" w:rsidRDefault="00DF71A5">
      <w:pPr>
        <w:spacing w:line="240" w:lineRule="auto"/>
        <w:rPr>
          <w:rFonts w:ascii="Times New Roman" w:eastAsia="Times New Roman" w:hAnsi="Times New Roman" w:cs="Times New Roman"/>
          <w:sz w:val="24"/>
          <w:szCs w:val="24"/>
        </w:rPr>
      </w:pPr>
    </w:p>
    <w:p w14:paraId="00000053"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*Contributed equally</w:t>
      </w:r>
    </w:p>
    <w:p w14:paraId="00000054"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**Contributed equally</w:t>
      </w:r>
    </w:p>
    <w:p w14:paraId="00000055"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i/>
          <w:sz w:val="24"/>
          <w:szCs w:val="24"/>
        </w:rPr>
        <w:t>***</w:t>
      </w:r>
      <w:r w:rsidRPr="007D46AC">
        <w:rPr>
          <w:rFonts w:ascii="Times New Roman" w:eastAsia="Times New Roman" w:hAnsi="Times New Roman" w:cs="Times New Roman"/>
          <w:sz w:val="24"/>
          <w:szCs w:val="24"/>
        </w:rPr>
        <w:t>Contributed equally</w:t>
      </w:r>
    </w:p>
    <w:p w14:paraId="00000056" w14:textId="77777777" w:rsidR="00DF71A5" w:rsidRPr="007D46AC" w:rsidRDefault="00DF71A5">
      <w:pPr>
        <w:spacing w:line="240" w:lineRule="auto"/>
        <w:rPr>
          <w:rFonts w:ascii="Times New Roman" w:eastAsia="Times New Roman" w:hAnsi="Times New Roman" w:cs="Times New Roman"/>
          <w:sz w:val="24"/>
          <w:szCs w:val="24"/>
        </w:rPr>
      </w:pPr>
    </w:p>
    <w:p w14:paraId="00000057" w14:textId="3232D172" w:rsidR="00DF71A5" w:rsidRPr="00597346" w:rsidRDefault="00197EEA">
      <w:pPr>
        <w:spacing w:line="240" w:lineRule="auto"/>
        <w:rPr>
          <w:rFonts w:ascii="Times New Roman" w:eastAsia="Times New Roman" w:hAnsi="Times New Roman" w:cs="Times New Roman"/>
          <w:sz w:val="24"/>
          <w:szCs w:val="24"/>
          <w:highlight w:val="yellow"/>
        </w:rPr>
      </w:pPr>
      <w:r w:rsidRPr="007D46AC">
        <w:rPr>
          <w:rFonts w:ascii="Times New Roman" w:eastAsia="Times New Roman" w:hAnsi="Times New Roman" w:cs="Times New Roman"/>
          <w:b/>
          <w:sz w:val="24"/>
          <w:szCs w:val="24"/>
        </w:rPr>
        <w:t>Word count:</w:t>
      </w:r>
      <w:r w:rsidRPr="007D46AC">
        <w:rPr>
          <w:rFonts w:ascii="Times New Roman" w:eastAsia="Times New Roman" w:hAnsi="Times New Roman" w:cs="Times New Roman"/>
          <w:sz w:val="24"/>
          <w:szCs w:val="24"/>
        </w:rPr>
        <w:t xml:space="preserve"> </w:t>
      </w:r>
      <w:r w:rsidRPr="00B819A1">
        <w:rPr>
          <w:rFonts w:ascii="Times New Roman" w:eastAsia="Times New Roman" w:hAnsi="Times New Roman" w:cs="Times New Roman"/>
          <w:sz w:val="24"/>
          <w:szCs w:val="24"/>
        </w:rPr>
        <w:t>3</w:t>
      </w:r>
      <w:r w:rsidR="001B3EA2" w:rsidRPr="00B819A1">
        <w:rPr>
          <w:rFonts w:ascii="Times New Roman" w:eastAsia="Times New Roman" w:hAnsi="Times New Roman" w:cs="Times New Roman"/>
          <w:sz w:val="24"/>
          <w:szCs w:val="24"/>
        </w:rPr>
        <w:t>794</w:t>
      </w:r>
    </w:p>
    <w:p w14:paraId="00000058" w14:textId="729D07E8"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b/>
          <w:sz w:val="24"/>
          <w:szCs w:val="24"/>
        </w:rPr>
        <w:t>Date of revision</w:t>
      </w:r>
      <w:r w:rsidRPr="007D46AC">
        <w:rPr>
          <w:rFonts w:ascii="Times New Roman" w:eastAsia="Times New Roman" w:hAnsi="Times New Roman" w:cs="Times New Roman"/>
          <w:sz w:val="24"/>
          <w:szCs w:val="24"/>
        </w:rPr>
        <w:t xml:space="preserve">: December </w:t>
      </w:r>
      <w:r w:rsidR="001B3EA2">
        <w:rPr>
          <w:rFonts w:ascii="Times New Roman" w:eastAsia="Times New Roman" w:hAnsi="Times New Roman" w:cs="Times New Roman"/>
          <w:sz w:val="24"/>
          <w:szCs w:val="24"/>
        </w:rPr>
        <w:t>31</w:t>
      </w:r>
      <w:r w:rsidRPr="007D46AC">
        <w:rPr>
          <w:rFonts w:ascii="Times New Roman" w:eastAsia="Times New Roman" w:hAnsi="Times New Roman" w:cs="Times New Roman"/>
          <w:sz w:val="24"/>
          <w:szCs w:val="24"/>
        </w:rPr>
        <w:t>, 2023</w:t>
      </w:r>
    </w:p>
    <w:p w14:paraId="00000059" w14:textId="77777777" w:rsidR="00DF71A5" w:rsidRPr="007D46AC" w:rsidRDefault="00DF71A5">
      <w:pPr>
        <w:spacing w:line="240" w:lineRule="auto"/>
        <w:rPr>
          <w:rFonts w:ascii="Times New Roman" w:eastAsia="Times New Roman" w:hAnsi="Times New Roman" w:cs="Times New Roman"/>
          <w:sz w:val="24"/>
          <w:szCs w:val="24"/>
        </w:rPr>
      </w:pPr>
    </w:p>
    <w:p w14:paraId="0000005A"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b/>
          <w:sz w:val="24"/>
          <w:szCs w:val="24"/>
        </w:rPr>
        <w:t>Key words:</w:t>
      </w:r>
      <w:r w:rsidRPr="007D46AC">
        <w:rPr>
          <w:rFonts w:ascii="Times New Roman" w:eastAsia="Times New Roman" w:hAnsi="Times New Roman" w:cs="Times New Roman"/>
          <w:sz w:val="24"/>
          <w:szCs w:val="24"/>
        </w:rPr>
        <w:t xml:space="preserve"> child; children, criteria; critical illness; infection; informatics; organ dysfunction; sepsis; septic shock</w:t>
      </w:r>
    </w:p>
    <w:p w14:paraId="0000005B" w14:textId="77777777" w:rsidR="00DF71A5" w:rsidRPr="007D46AC" w:rsidRDefault="00DF71A5">
      <w:pPr>
        <w:spacing w:line="240" w:lineRule="auto"/>
        <w:rPr>
          <w:rFonts w:ascii="Times New Roman" w:eastAsia="Times New Roman" w:hAnsi="Times New Roman" w:cs="Times New Roman"/>
          <w:b/>
          <w:color w:val="333333"/>
        </w:rPr>
      </w:pPr>
    </w:p>
    <w:p w14:paraId="0000005C" w14:textId="77777777" w:rsidR="00DF71A5" w:rsidRPr="007D46AC" w:rsidRDefault="00DF71A5">
      <w:pPr>
        <w:spacing w:line="240" w:lineRule="auto"/>
        <w:rPr>
          <w:rFonts w:ascii="Times New Roman" w:eastAsia="Times New Roman" w:hAnsi="Times New Roman" w:cs="Times New Roman"/>
          <w:b/>
          <w:color w:val="333333"/>
        </w:rPr>
      </w:pPr>
    </w:p>
    <w:p w14:paraId="0000005D"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b/>
          <w:sz w:val="24"/>
          <w:szCs w:val="24"/>
        </w:rPr>
        <w:t>Correspondence</w:t>
      </w:r>
      <w:r w:rsidRPr="007D46AC">
        <w:rPr>
          <w:rFonts w:ascii="Times New Roman" w:eastAsia="Times New Roman" w:hAnsi="Times New Roman" w:cs="Times New Roman"/>
          <w:sz w:val="24"/>
          <w:szCs w:val="24"/>
        </w:rPr>
        <w:t xml:space="preserve">: </w:t>
      </w:r>
    </w:p>
    <w:p w14:paraId="0000005E"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Tellen D. Bennett, MD, MS</w:t>
      </w:r>
    </w:p>
    <w:p w14:paraId="0000005F"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1890 N. Revere Court</w:t>
      </w:r>
    </w:p>
    <w:p w14:paraId="00000060"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Mail Stop 600</w:t>
      </w:r>
    </w:p>
    <w:p w14:paraId="00000061"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Aurora, CO 80045</w:t>
      </w:r>
    </w:p>
    <w:p w14:paraId="00000062" w14:textId="77777777" w:rsidR="00DF71A5" w:rsidRPr="007D46AC" w:rsidRDefault="00197EEA">
      <w:pPr>
        <w:spacing w:line="240" w:lineRule="auto"/>
        <w:rPr>
          <w:rFonts w:ascii="Times New Roman" w:eastAsia="Times New Roman" w:hAnsi="Times New Roman" w:cs="Times New Roman"/>
          <w:sz w:val="24"/>
          <w:szCs w:val="24"/>
        </w:rPr>
      </w:pPr>
      <w:r w:rsidRPr="007D46AC">
        <w:rPr>
          <w:rFonts w:ascii="Times New Roman" w:eastAsia="Times New Roman" w:hAnsi="Times New Roman" w:cs="Times New Roman"/>
          <w:sz w:val="24"/>
          <w:szCs w:val="24"/>
        </w:rPr>
        <w:t>tell.bennett@cuanschutz.edu</w:t>
      </w:r>
    </w:p>
    <w:p w14:paraId="00000063" w14:textId="77777777" w:rsidR="00DF71A5" w:rsidRPr="007D46AC" w:rsidRDefault="00197EEA">
      <w:pPr>
        <w:spacing w:after="160" w:line="240" w:lineRule="auto"/>
        <w:rPr>
          <w:rFonts w:ascii="Times New Roman" w:eastAsia="Times New Roman" w:hAnsi="Times New Roman" w:cs="Times New Roman"/>
          <w:b/>
          <w:color w:val="333333"/>
        </w:rPr>
      </w:pPr>
      <w:r w:rsidRPr="007D46AC">
        <w:rPr>
          <w:rFonts w:ascii="Times New Roman" w:eastAsia="Times New Roman" w:hAnsi="Times New Roman" w:cs="Times New Roman"/>
          <w:sz w:val="24"/>
          <w:szCs w:val="24"/>
        </w:rPr>
        <w:t>Voice: 206-310-1374</w:t>
      </w:r>
    </w:p>
    <w:p w14:paraId="00000064" w14:textId="77777777" w:rsidR="00DF71A5" w:rsidRPr="007D46AC" w:rsidRDefault="00197EEA">
      <w:pPr>
        <w:spacing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lastRenderedPageBreak/>
        <w:t>A</w:t>
      </w:r>
      <w:r w:rsidRPr="007D46AC">
        <w:rPr>
          <w:rFonts w:ascii="Times New Roman" w:eastAsia="Times New Roman" w:hAnsi="Times New Roman" w:cs="Times New Roman"/>
          <w:b/>
          <w:color w:val="333333"/>
        </w:rPr>
        <w:t>BSTRACT</w:t>
      </w:r>
    </w:p>
    <w:p w14:paraId="00000065" w14:textId="77777777" w:rsidR="00DF71A5" w:rsidRPr="007D46AC" w:rsidRDefault="00DF71A5">
      <w:pPr>
        <w:spacing w:line="480" w:lineRule="auto"/>
        <w:rPr>
          <w:rFonts w:ascii="Times New Roman" w:eastAsia="Times New Roman" w:hAnsi="Times New Roman" w:cs="Times New Roman"/>
          <w:b/>
          <w:color w:val="333333"/>
        </w:rPr>
      </w:pPr>
    </w:p>
    <w:p w14:paraId="00000066" w14:textId="77777777"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Importance:</w:t>
      </w:r>
      <w:r w:rsidRPr="007D46AC">
        <w:rPr>
          <w:rFonts w:ascii="Times New Roman" w:eastAsia="Times New Roman" w:hAnsi="Times New Roman" w:cs="Times New Roman"/>
          <w:color w:val="333333"/>
        </w:rPr>
        <w:t xml:space="preserve"> The Pediatric Sepsis Definition Task Force sought to develop and validate new clinical criteria for pediatric sepsis and septic shock using measures of organ dysfunction through a data-driven approach. </w:t>
      </w:r>
    </w:p>
    <w:p w14:paraId="00000067" w14:textId="77777777"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Objective:</w:t>
      </w:r>
      <w:r w:rsidRPr="007D46AC">
        <w:rPr>
          <w:rFonts w:ascii="Times New Roman" w:eastAsia="Times New Roman" w:hAnsi="Times New Roman" w:cs="Times New Roman"/>
          <w:color w:val="333333"/>
        </w:rPr>
        <w:t xml:space="preserve"> To derive and validate novel criteria for pediatric sepsis and septic shock across differently resourced settings.</w:t>
      </w:r>
    </w:p>
    <w:p w14:paraId="00000068" w14:textId="77777777"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Design:</w:t>
      </w:r>
      <w:r w:rsidRPr="007D46AC">
        <w:rPr>
          <w:rFonts w:ascii="Times New Roman" w:eastAsia="Times New Roman" w:hAnsi="Times New Roman" w:cs="Times New Roman"/>
          <w:color w:val="333333"/>
        </w:rPr>
        <w:t xml:space="preserve"> Multicenter, international, retrospective cohort study.</w:t>
      </w:r>
    </w:p>
    <w:p w14:paraId="00000069" w14:textId="77777777"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Setting:</w:t>
      </w:r>
      <w:r w:rsidRPr="007D46AC">
        <w:rPr>
          <w:rFonts w:ascii="Times New Roman" w:eastAsia="Times New Roman" w:hAnsi="Times New Roman" w:cs="Times New Roman"/>
          <w:color w:val="333333"/>
        </w:rPr>
        <w:t xml:space="preserve"> Ten health systems in the United States, Colombia, Bangladesh, Chin</w:t>
      </w:r>
      <w:r w:rsidRPr="007D46AC">
        <w:rPr>
          <w:rFonts w:ascii="Times New Roman" w:eastAsia="Times New Roman" w:hAnsi="Times New Roman" w:cs="Times New Roman"/>
          <w:color w:val="333333"/>
        </w:rPr>
        <w:t>a, and Kenya, three of which were used as external validation sites.</w:t>
      </w:r>
    </w:p>
    <w:p w14:paraId="0000006A" w14:textId="77777777"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Participants:</w:t>
      </w:r>
      <w:r w:rsidRPr="007D46AC">
        <w:rPr>
          <w:rFonts w:ascii="Times New Roman" w:eastAsia="Times New Roman" w:hAnsi="Times New Roman" w:cs="Times New Roman"/>
          <w:color w:val="333333"/>
        </w:rPr>
        <w:t xml:space="preserve"> Emergency and inpatient encounters for children &lt;18 years old from 2010-2019; </w:t>
      </w:r>
      <w:r w:rsidRPr="007D46AC">
        <w:rPr>
          <w:rFonts w:ascii="Times New Roman" w:eastAsia="Times New Roman" w:hAnsi="Times New Roman" w:cs="Times New Roman"/>
        </w:rPr>
        <w:t>3,049,699</w:t>
      </w:r>
      <w:r w:rsidRPr="007D46AC">
        <w:rPr>
          <w:rFonts w:ascii="Times New Roman" w:eastAsia="Times New Roman" w:hAnsi="Times New Roman" w:cs="Times New Roman"/>
          <w:color w:val="333333"/>
          <w:sz w:val="24"/>
          <w:szCs w:val="24"/>
        </w:rPr>
        <w:t xml:space="preserve"> in </w:t>
      </w:r>
      <w:r w:rsidRPr="007D46AC">
        <w:rPr>
          <w:rFonts w:ascii="Times New Roman" w:eastAsia="Times New Roman" w:hAnsi="Times New Roman" w:cs="Times New Roman"/>
          <w:color w:val="333333"/>
        </w:rPr>
        <w:t xml:space="preserve">the development (including derivation and internal validation) set and 581,317 in </w:t>
      </w:r>
      <w:r w:rsidRPr="007D46AC">
        <w:rPr>
          <w:rFonts w:ascii="Times New Roman" w:eastAsia="Times New Roman" w:hAnsi="Times New Roman" w:cs="Times New Roman"/>
          <w:color w:val="333333"/>
        </w:rPr>
        <w:t>the external validation set.</w:t>
      </w:r>
    </w:p>
    <w:p w14:paraId="0000006B" w14:textId="6EE8C964"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Exposure:</w:t>
      </w:r>
      <w:r w:rsidRPr="007D46AC">
        <w:rPr>
          <w:rFonts w:ascii="Times New Roman" w:eastAsia="Times New Roman" w:hAnsi="Times New Roman" w:cs="Times New Roman"/>
          <w:color w:val="333333"/>
        </w:rPr>
        <w:t xml:space="preserve"> Stacked regression models to predict mortality in children with suspected infection were derived and validated using the best-performing organ dysfunction subscores from eight existing scores. The final model was then</w:t>
      </w:r>
      <w:r w:rsidRPr="007D46AC">
        <w:rPr>
          <w:rFonts w:ascii="Times New Roman" w:eastAsia="Times New Roman" w:hAnsi="Times New Roman" w:cs="Times New Roman"/>
          <w:color w:val="333333"/>
        </w:rPr>
        <w:t xml:space="preserve"> translated into an integer-based score used to establish binary criteria for sepsis and septic shock.</w:t>
      </w:r>
    </w:p>
    <w:p w14:paraId="0000006C" w14:textId="78E8F28A"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 xml:space="preserve">Main Outcome and Measures: </w:t>
      </w:r>
      <w:r w:rsidRPr="007D46AC">
        <w:rPr>
          <w:rFonts w:ascii="Times New Roman" w:eastAsia="Times New Roman" w:hAnsi="Times New Roman" w:cs="Times New Roman"/>
          <w:color w:val="333333"/>
        </w:rPr>
        <w:t>The primary outcome</w:t>
      </w:r>
      <w:r w:rsidRPr="007D46AC">
        <w:rPr>
          <w:rFonts w:ascii="Times New Roman" w:eastAsia="Times New Roman" w:hAnsi="Times New Roman" w:cs="Times New Roman"/>
          <w:b/>
          <w:color w:val="333333"/>
        </w:rPr>
        <w:t xml:space="preserve"> </w:t>
      </w:r>
      <w:r w:rsidRPr="007D46AC">
        <w:rPr>
          <w:rFonts w:ascii="Times New Roman" w:eastAsia="Times New Roman" w:hAnsi="Times New Roman" w:cs="Times New Roman"/>
          <w:bCs/>
          <w:color w:val="333333"/>
        </w:rPr>
        <w:t>for all analyses was</w:t>
      </w:r>
      <w:r w:rsidRPr="007D46AC">
        <w:rPr>
          <w:rFonts w:ascii="Times New Roman" w:eastAsia="Times New Roman" w:hAnsi="Times New Roman" w:cs="Times New Roman"/>
          <w:color w:val="333333"/>
        </w:rPr>
        <w:t xml:space="preserve"> in-hospital mortality. Model and integer-based score performance measures included ar</w:t>
      </w:r>
      <w:r w:rsidRPr="007D46AC">
        <w:rPr>
          <w:rFonts w:ascii="Times New Roman" w:eastAsia="Times New Roman" w:hAnsi="Times New Roman" w:cs="Times New Roman"/>
          <w:color w:val="333333"/>
        </w:rPr>
        <w:t xml:space="preserve">ea under the precision-recall curve (AUPRC, primary) and area under the receiver operator characteristic curve (AUROC, secondary). For binary criteria, primary performance measures were positive predictive value </w:t>
      </w:r>
      <w:r w:rsidR="00597346">
        <w:rPr>
          <w:rFonts w:ascii="Times New Roman" w:eastAsia="Times New Roman" w:hAnsi="Times New Roman" w:cs="Times New Roman"/>
          <w:color w:val="333333"/>
        </w:rPr>
        <w:t xml:space="preserve">(PPV) </w:t>
      </w:r>
      <w:r w:rsidRPr="007D46AC">
        <w:rPr>
          <w:rFonts w:ascii="Times New Roman" w:eastAsia="Times New Roman" w:hAnsi="Times New Roman" w:cs="Times New Roman"/>
          <w:color w:val="333333"/>
        </w:rPr>
        <w:t xml:space="preserve">and sensitivity. </w:t>
      </w:r>
    </w:p>
    <w:p w14:paraId="0000006D" w14:textId="7F7344E1"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lastRenderedPageBreak/>
        <w:t>Results:</w:t>
      </w:r>
      <w:r w:rsidRPr="007D46AC">
        <w:rPr>
          <w:rFonts w:ascii="Times New Roman" w:eastAsia="Times New Roman" w:hAnsi="Times New Roman" w:cs="Times New Roman"/>
          <w:color w:val="333333"/>
        </w:rPr>
        <w:t xml:space="preserve"> Among the 1</w:t>
      </w:r>
      <w:r w:rsidRPr="007D46AC">
        <w:rPr>
          <w:rFonts w:ascii="Times New Roman" w:eastAsia="Times New Roman" w:hAnsi="Times New Roman" w:cs="Times New Roman"/>
          <w:color w:val="333333"/>
        </w:rPr>
        <w:t>72,984 children with suspected infection in the first 24 hours (development set, 1.2% mortality), a 4-organ system model performed best. The integer version of t</w:t>
      </w:r>
      <w:r w:rsidR="00597346">
        <w:rPr>
          <w:rFonts w:ascii="Times New Roman" w:eastAsia="Times New Roman" w:hAnsi="Times New Roman" w:cs="Times New Roman"/>
          <w:color w:val="333333"/>
        </w:rPr>
        <w:t>hat</w:t>
      </w:r>
      <w:r w:rsidRPr="007D46AC">
        <w:rPr>
          <w:rFonts w:ascii="Times New Roman" w:eastAsia="Times New Roman" w:hAnsi="Times New Roman" w:cs="Times New Roman"/>
          <w:color w:val="333333"/>
        </w:rPr>
        <w:t xml:space="preserve"> model –the Phoenix Sepsis Score– had AUPRCs of 0.23-0.38 (95% confidence intervals [CIs] ra</w:t>
      </w:r>
      <w:r w:rsidRPr="007D46AC">
        <w:rPr>
          <w:rFonts w:ascii="Times New Roman" w:eastAsia="Times New Roman" w:hAnsi="Times New Roman" w:cs="Times New Roman"/>
          <w:color w:val="333333"/>
        </w:rPr>
        <w:t>nge 0.20-0.39) and AUROCs of 0.71-0.92 (95% CIs 0.70-0.92) to predict mortality</w:t>
      </w:r>
      <w:r w:rsidRPr="007D46AC">
        <w:rPr>
          <w:rFonts w:ascii="Times New Roman" w:eastAsia="Gungsuh" w:hAnsi="Times New Roman" w:cs="Times New Roman"/>
          <w:color w:val="333333"/>
        </w:rPr>
        <w:t xml:space="preserve"> in the validation sets. </w:t>
      </w:r>
      <w:r w:rsidR="00597346">
        <w:rPr>
          <w:rFonts w:ascii="Times New Roman" w:eastAsia="Gungsuh" w:hAnsi="Times New Roman" w:cs="Times New Roman"/>
          <w:color w:val="333333"/>
        </w:rPr>
        <w:t>Using a</w:t>
      </w:r>
      <w:r w:rsidRPr="007D46AC">
        <w:rPr>
          <w:rFonts w:ascii="Times New Roman" w:eastAsia="Gungsuh" w:hAnsi="Times New Roman" w:cs="Times New Roman"/>
          <w:color w:val="333333"/>
        </w:rPr>
        <w:t xml:space="preserve"> Phoenix Sepsis Score ≥2 points in children with suspected infection as criteria for sepsis and sepsis plus ≥1 cardiovascular point as criteria f</w:t>
      </w:r>
      <w:r w:rsidRPr="007D46AC">
        <w:rPr>
          <w:rFonts w:ascii="Times New Roman" w:eastAsia="Gungsuh" w:hAnsi="Times New Roman" w:cs="Times New Roman"/>
          <w:color w:val="333333"/>
        </w:rPr>
        <w:t xml:space="preserve">or septic shock resulted in a higher </w:t>
      </w:r>
      <w:r w:rsidR="00597346">
        <w:rPr>
          <w:rFonts w:ascii="Times New Roman" w:eastAsia="Gungsuh" w:hAnsi="Times New Roman" w:cs="Times New Roman"/>
          <w:color w:val="333333"/>
        </w:rPr>
        <w:t>PPV</w:t>
      </w:r>
      <w:r w:rsidRPr="007D46AC">
        <w:rPr>
          <w:rFonts w:ascii="Times New Roman" w:eastAsia="Gungsuh" w:hAnsi="Times New Roman" w:cs="Times New Roman"/>
          <w:color w:val="333333"/>
        </w:rPr>
        <w:t xml:space="preserve"> and higher or similar sensitivity compared to the 2005 International Pediatric Sepsis Consensus Conference (IPSCC) criteria across differently resourced settings.</w:t>
      </w:r>
    </w:p>
    <w:p w14:paraId="0000006E" w14:textId="04266C8B" w:rsidR="00DF71A5" w:rsidRPr="007D46AC" w:rsidRDefault="00197EEA">
      <w:pPr>
        <w:spacing w:after="300"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 xml:space="preserve">Conclusions and Relevance: </w:t>
      </w:r>
      <w:r w:rsidRPr="007D46AC">
        <w:rPr>
          <w:rFonts w:ascii="Times New Roman" w:eastAsia="Times New Roman" w:hAnsi="Times New Roman" w:cs="Times New Roman"/>
          <w:color w:val="333333"/>
        </w:rPr>
        <w:t xml:space="preserve">The novel Phoenix sepsis criteria, which were derived and validated using </w:t>
      </w:r>
      <w:r w:rsidR="00597346">
        <w:rPr>
          <w:rFonts w:ascii="Times New Roman" w:eastAsia="Times New Roman" w:hAnsi="Times New Roman" w:cs="Times New Roman"/>
          <w:color w:val="333333"/>
        </w:rPr>
        <w:t xml:space="preserve">data from </w:t>
      </w:r>
      <w:r w:rsidRPr="007D46AC">
        <w:rPr>
          <w:rFonts w:ascii="Times New Roman" w:eastAsia="Times New Roman" w:hAnsi="Times New Roman" w:cs="Times New Roman"/>
          <w:color w:val="333333"/>
        </w:rPr>
        <w:t xml:space="preserve">higher and lower resource settings, had a higher sensitivity and </w:t>
      </w:r>
      <w:r w:rsidR="00597346">
        <w:rPr>
          <w:rFonts w:ascii="Times New Roman" w:eastAsia="Times New Roman" w:hAnsi="Times New Roman" w:cs="Times New Roman"/>
          <w:color w:val="333333"/>
        </w:rPr>
        <w:t>PPV</w:t>
      </w:r>
      <w:r w:rsidRPr="007D46AC">
        <w:rPr>
          <w:rFonts w:ascii="Times New Roman" w:eastAsia="Times New Roman" w:hAnsi="Times New Roman" w:cs="Times New Roman"/>
          <w:color w:val="333333"/>
        </w:rPr>
        <w:t xml:space="preserve"> for the diagnosis of pediatric sepsis and septic shock than the existing IPSCC criteria. </w:t>
      </w:r>
    </w:p>
    <w:p w14:paraId="0000006F" w14:textId="3E0C7D0A" w:rsidR="00DF71A5" w:rsidRPr="007D46AC" w:rsidRDefault="00197EEA">
      <w:pPr>
        <w:spacing w:after="300"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Abstract word</w:t>
      </w:r>
      <w:r w:rsidRPr="007D46AC">
        <w:rPr>
          <w:rFonts w:ascii="Times New Roman" w:eastAsia="Times New Roman" w:hAnsi="Times New Roman" w:cs="Times New Roman"/>
          <w:b/>
          <w:color w:val="333333"/>
        </w:rPr>
        <w:t xml:space="preserve"> count: 3</w:t>
      </w:r>
      <w:r w:rsidR="002C7362">
        <w:rPr>
          <w:rFonts w:ascii="Times New Roman" w:eastAsia="Times New Roman" w:hAnsi="Times New Roman" w:cs="Times New Roman"/>
          <w:b/>
          <w:color w:val="333333"/>
        </w:rPr>
        <w:t>50</w:t>
      </w:r>
    </w:p>
    <w:p w14:paraId="00000070" w14:textId="77777777" w:rsidR="00DF71A5" w:rsidRPr="007D46AC" w:rsidRDefault="00DF71A5">
      <w:pPr>
        <w:spacing w:after="300" w:line="480" w:lineRule="auto"/>
        <w:ind w:right="600"/>
        <w:rPr>
          <w:rFonts w:ascii="Times New Roman" w:eastAsia="Times New Roman" w:hAnsi="Times New Roman" w:cs="Times New Roman"/>
          <w:b/>
          <w:color w:val="333333"/>
        </w:rPr>
      </w:pPr>
    </w:p>
    <w:p w14:paraId="00000071" w14:textId="77777777" w:rsidR="00DF71A5" w:rsidRPr="007D46AC" w:rsidRDefault="00DF71A5">
      <w:pPr>
        <w:spacing w:after="300" w:line="480" w:lineRule="auto"/>
        <w:ind w:right="600"/>
        <w:rPr>
          <w:rFonts w:ascii="Times New Roman" w:eastAsia="Times New Roman" w:hAnsi="Times New Roman" w:cs="Times New Roman"/>
          <w:b/>
          <w:color w:val="333333"/>
        </w:rPr>
      </w:pPr>
    </w:p>
    <w:p w14:paraId="00000072" w14:textId="77777777" w:rsidR="00DF71A5" w:rsidRPr="007D46AC" w:rsidRDefault="00DF71A5">
      <w:pPr>
        <w:spacing w:after="300" w:line="480" w:lineRule="auto"/>
        <w:ind w:right="600"/>
        <w:rPr>
          <w:rFonts w:ascii="Times New Roman" w:eastAsia="Times New Roman" w:hAnsi="Times New Roman" w:cs="Times New Roman"/>
          <w:b/>
          <w:color w:val="333333"/>
        </w:rPr>
      </w:pPr>
    </w:p>
    <w:p w14:paraId="00000073" w14:textId="77777777" w:rsidR="00DF71A5" w:rsidRPr="007D46AC" w:rsidRDefault="00DF71A5">
      <w:pPr>
        <w:spacing w:after="300" w:line="480" w:lineRule="auto"/>
        <w:ind w:right="600"/>
        <w:rPr>
          <w:rFonts w:ascii="Times New Roman" w:eastAsia="Times New Roman" w:hAnsi="Times New Roman" w:cs="Times New Roman"/>
          <w:b/>
          <w:color w:val="333333"/>
        </w:rPr>
      </w:pPr>
    </w:p>
    <w:p w14:paraId="00000074" w14:textId="77777777" w:rsidR="00DF71A5" w:rsidRPr="007D46AC" w:rsidRDefault="00DF71A5">
      <w:pPr>
        <w:spacing w:after="300" w:line="480" w:lineRule="auto"/>
        <w:ind w:right="600"/>
        <w:rPr>
          <w:rFonts w:ascii="Times New Roman" w:eastAsia="Times New Roman" w:hAnsi="Times New Roman" w:cs="Times New Roman"/>
          <w:b/>
          <w:color w:val="333333"/>
        </w:rPr>
      </w:pPr>
    </w:p>
    <w:p w14:paraId="00000075" w14:textId="77777777" w:rsidR="00DF71A5" w:rsidRPr="007D46AC" w:rsidRDefault="00DF71A5">
      <w:pPr>
        <w:spacing w:after="300" w:line="480" w:lineRule="auto"/>
        <w:ind w:right="600"/>
        <w:rPr>
          <w:rFonts w:ascii="Times New Roman" w:eastAsia="Times New Roman" w:hAnsi="Times New Roman" w:cs="Times New Roman"/>
          <w:b/>
          <w:color w:val="333333"/>
        </w:rPr>
      </w:pPr>
    </w:p>
    <w:p w14:paraId="00000076" w14:textId="77777777" w:rsidR="00DF71A5" w:rsidRDefault="00DF71A5">
      <w:pPr>
        <w:spacing w:after="300" w:line="480" w:lineRule="auto"/>
        <w:ind w:right="600"/>
        <w:rPr>
          <w:rFonts w:ascii="Times New Roman" w:eastAsia="Times New Roman" w:hAnsi="Times New Roman" w:cs="Times New Roman"/>
          <w:b/>
          <w:color w:val="333333"/>
        </w:rPr>
      </w:pPr>
    </w:p>
    <w:p w14:paraId="42275B07" w14:textId="77777777" w:rsidR="002C7362" w:rsidRPr="007D46AC" w:rsidRDefault="002C7362">
      <w:pPr>
        <w:spacing w:after="300" w:line="480" w:lineRule="auto"/>
        <w:ind w:right="600"/>
        <w:rPr>
          <w:rFonts w:ascii="Times New Roman" w:eastAsia="Times New Roman" w:hAnsi="Times New Roman" w:cs="Times New Roman"/>
          <w:b/>
          <w:color w:val="333333"/>
        </w:rPr>
      </w:pPr>
    </w:p>
    <w:p w14:paraId="00000077" w14:textId="77777777" w:rsidR="00DF71A5" w:rsidRPr="007D46AC" w:rsidRDefault="00197EEA">
      <w:pPr>
        <w:spacing w:after="300"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lastRenderedPageBreak/>
        <w:t>KEY POINTS</w:t>
      </w:r>
    </w:p>
    <w:p w14:paraId="00000078" w14:textId="59076F12"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
          <w:color w:val="333333"/>
        </w:rPr>
        <w:t xml:space="preserve">Question: </w:t>
      </w:r>
      <w:r w:rsidRPr="007D46AC">
        <w:rPr>
          <w:rFonts w:ascii="Times New Roman" w:eastAsia="Times New Roman" w:hAnsi="Times New Roman" w:cs="Times New Roman"/>
          <w:color w:val="333333"/>
        </w:rPr>
        <w:t>What are the best-performing organ dysfunction-based criteria to implement the definition of sepsis and septic shock in children with suspected infection?</w:t>
      </w:r>
    </w:p>
    <w:p w14:paraId="00000079" w14:textId="3D98380E" w:rsidR="00DF71A5" w:rsidRPr="007D46AC" w:rsidRDefault="00197EEA">
      <w:pPr>
        <w:spacing w:after="300" w:line="480" w:lineRule="auto"/>
        <w:rPr>
          <w:rFonts w:ascii="Times New Roman" w:eastAsia="Times New Roman" w:hAnsi="Times New Roman" w:cs="Times New Roman"/>
          <w:color w:val="333333"/>
        </w:rPr>
      </w:pPr>
      <w:r w:rsidRPr="007D46AC">
        <w:rPr>
          <w:rFonts w:ascii="Times New Roman" w:eastAsia="Times New Roman" w:hAnsi="Times New Roman" w:cs="Times New Roman"/>
          <w:b/>
          <w:color w:val="333333"/>
        </w:rPr>
        <w:t xml:space="preserve">Findings: </w:t>
      </w:r>
      <w:r w:rsidRPr="007D46AC">
        <w:rPr>
          <w:rFonts w:ascii="Times New Roman" w:eastAsia="Times New Roman" w:hAnsi="Times New Roman" w:cs="Times New Roman"/>
          <w:color w:val="333333"/>
        </w:rPr>
        <w:t>In this international, multicenter retrospective c</w:t>
      </w:r>
      <w:r w:rsidRPr="007D46AC">
        <w:rPr>
          <w:rFonts w:ascii="Times New Roman" w:eastAsia="Times New Roman" w:hAnsi="Times New Roman" w:cs="Times New Roman"/>
          <w:color w:val="333333"/>
        </w:rPr>
        <w:t>ohort study including over 3.6 million pediatric encounters, a novel score –the Phoenix Sepsis Score– was derived and validated to predict mortality in children with suspected or confirmed infection. The new criteria for pediatric sepsis and septic shock b</w:t>
      </w:r>
      <w:r w:rsidRPr="007D46AC">
        <w:rPr>
          <w:rFonts w:ascii="Times New Roman" w:eastAsia="Times New Roman" w:hAnsi="Times New Roman" w:cs="Times New Roman"/>
          <w:color w:val="333333"/>
        </w:rPr>
        <w:t>ased on the score performed better than existing organ dysfunction scores and the International Pediatric Sepsis Consensus Conference criteria.</w:t>
      </w:r>
    </w:p>
    <w:p w14:paraId="0000007A" w14:textId="7777777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b/>
          <w:color w:val="333333"/>
        </w:rPr>
        <w:t>Meaning</w:t>
      </w:r>
      <w:r w:rsidRPr="007D46AC">
        <w:rPr>
          <w:rFonts w:ascii="Times New Roman" w:eastAsia="Times New Roman" w:hAnsi="Times New Roman" w:cs="Times New Roman"/>
          <w:color w:val="333333"/>
        </w:rPr>
        <w:t>: The new data-driven criteria for pediatric sepsis and septic shock based on measures of organ dysfuncti</w:t>
      </w:r>
      <w:r w:rsidRPr="007D46AC">
        <w:rPr>
          <w:rFonts w:ascii="Times New Roman" w:eastAsia="Times New Roman" w:hAnsi="Times New Roman" w:cs="Times New Roman"/>
          <w:color w:val="333333"/>
        </w:rPr>
        <w:t>on had improved performance compared with prior pediatric sepsis criteria.</w:t>
      </w:r>
    </w:p>
    <w:p w14:paraId="0000007B" w14:textId="77777777" w:rsidR="00DF71A5" w:rsidRPr="007D46AC" w:rsidRDefault="00DF71A5">
      <w:pPr>
        <w:spacing w:line="480" w:lineRule="auto"/>
        <w:rPr>
          <w:rFonts w:ascii="Times New Roman" w:eastAsia="Times New Roman" w:hAnsi="Times New Roman" w:cs="Times New Roman"/>
          <w:color w:val="333333"/>
        </w:rPr>
      </w:pPr>
    </w:p>
    <w:p w14:paraId="0000007C" w14:textId="77777777" w:rsidR="00DF71A5" w:rsidRPr="007D46AC" w:rsidRDefault="00DF71A5">
      <w:pPr>
        <w:spacing w:line="480" w:lineRule="auto"/>
        <w:rPr>
          <w:rFonts w:ascii="Times New Roman" w:eastAsia="Times New Roman" w:hAnsi="Times New Roman" w:cs="Times New Roman"/>
          <w:color w:val="333333"/>
        </w:rPr>
      </w:pPr>
    </w:p>
    <w:p w14:paraId="0000007D" w14:textId="77777777" w:rsidR="00DF71A5" w:rsidRPr="007D46AC" w:rsidRDefault="00DF71A5">
      <w:pPr>
        <w:spacing w:line="480" w:lineRule="auto"/>
        <w:rPr>
          <w:rFonts w:ascii="Times New Roman" w:eastAsia="Times New Roman" w:hAnsi="Times New Roman" w:cs="Times New Roman"/>
          <w:color w:val="333333"/>
        </w:rPr>
      </w:pPr>
    </w:p>
    <w:p w14:paraId="0000007E" w14:textId="77777777" w:rsidR="00DF71A5" w:rsidRPr="007D46AC" w:rsidRDefault="00DF71A5">
      <w:pPr>
        <w:spacing w:line="480" w:lineRule="auto"/>
        <w:rPr>
          <w:rFonts w:ascii="Times New Roman" w:eastAsia="Times New Roman" w:hAnsi="Times New Roman" w:cs="Times New Roman"/>
          <w:color w:val="333333"/>
        </w:rPr>
      </w:pPr>
    </w:p>
    <w:p w14:paraId="0000007F" w14:textId="77777777" w:rsidR="00DF71A5" w:rsidRPr="007D46AC" w:rsidRDefault="00DF71A5">
      <w:pPr>
        <w:spacing w:line="480" w:lineRule="auto"/>
        <w:rPr>
          <w:rFonts w:ascii="Times New Roman" w:eastAsia="Times New Roman" w:hAnsi="Times New Roman" w:cs="Times New Roman"/>
          <w:color w:val="333333"/>
        </w:rPr>
      </w:pPr>
    </w:p>
    <w:p w14:paraId="00000080" w14:textId="77777777" w:rsidR="00DF71A5" w:rsidRPr="007D46AC" w:rsidRDefault="00DF71A5">
      <w:pPr>
        <w:spacing w:line="480" w:lineRule="auto"/>
        <w:rPr>
          <w:rFonts w:ascii="Times New Roman" w:eastAsia="Times New Roman" w:hAnsi="Times New Roman" w:cs="Times New Roman"/>
          <w:color w:val="333333"/>
        </w:rPr>
      </w:pPr>
    </w:p>
    <w:p w14:paraId="00000081" w14:textId="77777777" w:rsidR="00DF71A5" w:rsidRPr="007D46AC" w:rsidRDefault="00DF71A5">
      <w:pPr>
        <w:spacing w:line="480" w:lineRule="auto"/>
        <w:rPr>
          <w:rFonts w:ascii="Times New Roman" w:eastAsia="Times New Roman" w:hAnsi="Times New Roman" w:cs="Times New Roman"/>
          <w:color w:val="333333"/>
        </w:rPr>
      </w:pPr>
    </w:p>
    <w:p w14:paraId="00000082" w14:textId="77777777" w:rsidR="00DF71A5" w:rsidRPr="007D46AC" w:rsidRDefault="00DF71A5">
      <w:pPr>
        <w:spacing w:line="480" w:lineRule="auto"/>
        <w:rPr>
          <w:rFonts w:ascii="Times New Roman" w:eastAsia="Times New Roman" w:hAnsi="Times New Roman" w:cs="Times New Roman"/>
          <w:color w:val="333333"/>
        </w:rPr>
      </w:pPr>
    </w:p>
    <w:p w14:paraId="00000083" w14:textId="77777777" w:rsidR="00DF71A5" w:rsidRPr="007D46AC" w:rsidRDefault="00DF71A5">
      <w:pPr>
        <w:spacing w:line="480" w:lineRule="auto"/>
        <w:rPr>
          <w:rFonts w:ascii="Times New Roman" w:eastAsia="Times New Roman" w:hAnsi="Times New Roman" w:cs="Times New Roman"/>
          <w:color w:val="333333"/>
        </w:rPr>
      </w:pPr>
    </w:p>
    <w:p w14:paraId="00000084" w14:textId="77777777" w:rsidR="00DF71A5" w:rsidRDefault="00DF71A5">
      <w:pPr>
        <w:spacing w:line="480" w:lineRule="auto"/>
        <w:rPr>
          <w:rFonts w:ascii="Times New Roman" w:eastAsia="Times New Roman" w:hAnsi="Times New Roman" w:cs="Times New Roman"/>
          <w:color w:val="333333"/>
        </w:rPr>
      </w:pPr>
    </w:p>
    <w:p w14:paraId="7C3515FF" w14:textId="77777777" w:rsidR="007D46AC" w:rsidRDefault="007D46AC">
      <w:pPr>
        <w:spacing w:line="480" w:lineRule="auto"/>
        <w:rPr>
          <w:rFonts w:ascii="Times New Roman" w:eastAsia="Times New Roman" w:hAnsi="Times New Roman" w:cs="Times New Roman"/>
          <w:color w:val="333333"/>
        </w:rPr>
      </w:pPr>
    </w:p>
    <w:p w14:paraId="795E94D0" w14:textId="77777777" w:rsidR="007D46AC" w:rsidRDefault="007D46AC">
      <w:pPr>
        <w:spacing w:line="480" w:lineRule="auto"/>
        <w:rPr>
          <w:rFonts w:ascii="Times New Roman" w:eastAsia="Times New Roman" w:hAnsi="Times New Roman" w:cs="Times New Roman"/>
          <w:color w:val="333333"/>
        </w:rPr>
      </w:pPr>
    </w:p>
    <w:p w14:paraId="612E1B9F" w14:textId="77777777" w:rsidR="002C7362" w:rsidRDefault="002C7362">
      <w:pPr>
        <w:spacing w:line="480" w:lineRule="auto"/>
        <w:rPr>
          <w:rFonts w:ascii="Times New Roman" w:eastAsia="Times New Roman" w:hAnsi="Times New Roman" w:cs="Times New Roman"/>
          <w:color w:val="333333"/>
        </w:rPr>
      </w:pPr>
    </w:p>
    <w:p w14:paraId="658BEE83" w14:textId="77777777" w:rsidR="002C7362" w:rsidRPr="007D46AC" w:rsidRDefault="002C7362">
      <w:pPr>
        <w:spacing w:line="480" w:lineRule="auto"/>
        <w:rPr>
          <w:rFonts w:ascii="Times New Roman" w:eastAsia="Times New Roman" w:hAnsi="Times New Roman" w:cs="Times New Roman"/>
          <w:color w:val="333333"/>
        </w:rPr>
      </w:pPr>
    </w:p>
    <w:p w14:paraId="00000085" w14:textId="7777777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b/>
          <w:color w:val="333333"/>
        </w:rPr>
        <w:t>INTRODUCTION</w:t>
      </w:r>
    </w:p>
    <w:p w14:paraId="00000086" w14:textId="77777777" w:rsidR="00DF71A5" w:rsidRPr="007D46AC" w:rsidRDefault="00DF71A5">
      <w:pPr>
        <w:spacing w:line="480" w:lineRule="auto"/>
        <w:rPr>
          <w:rFonts w:ascii="Times New Roman" w:eastAsia="Times New Roman" w:hAnsi="Times New Roman" w:cs="Times New Roman"/>
          <w:color w:val="333333"/>
        </w:rPr>
      </w:pPr>
    </w:p>
    <w:p w14:paraId="00000087" w14:textId="2B02A891"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Pediatric sepsis is a major public health problem that causes an estimated 3.3 million deaths annually worldwide.</w:t>
      </w:r>
      <w:hyperlink r:id="rId7">
        <w:r w:rsidRPr="007D46AC">
          <w:rPr>
            <w:rFonts w:ascii="Times New Roman" w:eastAsia="Times New Roman" w:hAnsi="Times New Roman" w:cs="Times New Roman"/>
            <w:color w:val="000000"/>
            <w:vertAlign w:val="superscript"/>
          </w:rPr>
          <w:t>1</w:t>
        </w:r>
      </w:hyperlink>
      <w:r w:rsidRPr="007D46AC">
        <w:rPr>
          <w:rFonts w:ascii="Times New Roman" w:eastAsia="Times New Roman" w:hAnsi="Times New Roman" w:cs="Times New Roman"/>
          <w:color w:val="333333"/>
        </w:rPr>
        <w:t xml:space="preserve"> However, the current criteria to diagnose pediatric sepsis, which were published in 2005 following the International Consensus Conference on Pediatric Sepsis, are outdated, have low specificity, do no</w:t>
      </w:r>
      <w:r w:rsidRPr="007D46AC">
        <w:rPr>
          <w:rFonts w:ascii="Times New Roman" w:eastAsia="Times New Roman" w:hAnsi="Times New Roman" w:cs="Times New Roman"/>
          <w:color w:val="333333"/>
        </w:rPr>
        <w:t>t allow for risk stratification in both lower and higher resource settings, and may be discordant with clinician-based diagnosis.</w:t>
      </w:r>
      <w:hyperlink r:id="rId8">
        <w:r w:rsidRPr="007D46AC">
          <w:rPr>
            <w:rFonts w:ascii="Times New Roman" w:eastAsia="Times New Roman" w:hAnsi="Times New Roman" w:cs="Times New Roman"/>
            <w:color w:val="000000"/>
            <w:vertAlign w:val="superscript"/>
          </w:rPr>
          <w:t>2,3</w:t>
        </w:r>
      </w:hyperlink>
      <w:r w:rsidRPr="007D46AC">
        <w:rPr>
          <w:rFonts w:ascii="Times New Roman" w:eastAsia="Times New Roman" w:hAnsi="Times New Roman" w:cs="Times New Roman"/>
          <w:color w:val="333333"/>
        </w:rPr>
        <w:t xml:space="preserve"> In 2016, the Sepsis-3 Task Force redefined adult sepsis as li</w:t>
      </w:r>
      <w:r w:rsidRPr="007D46AC">
        <w:rPr>
          <w:rFonts w:ascii="Times New Roman" w:eastAsia="Times New Roman" w:hAnsi="Times New Roman" w:cs="Times New Roman"/>
          <w:color w:val="333333"/>
        </w:rPr>
        <w:t>fe-threatening organ dysfunction in the setting of infection and developed criteria using a large electronic health record (EHR) dataset and a data-driven approach.</w:t>
      </w:r>
      <w:hyperlink r:id="rId9">
        <w:r w:rsidRPr="007D46AC">
          <w:rPr>
            <w:rFonts w:ascii="Times New Roman" w:eastAsia="Times New Roman" w:hAnsi="Times New Roman" w:cs="Times New Roman"/>
            <w:color w:val="000000"/>
            <w:vertAlign w:val="superscript"/>
          </w:rPr>
          <w:t>4,5</w:t>
        </w:r>
      </w:hyperlink>
      <w:r w:rsidRPr="007D46AC">
        <w:rPr>
          <w:rFonts w:ascii="Times New Roman" w:eastAsia="Times New Roman" w:hAnsi="Times New Roman" w:cs="Times New Roman"/>
          <w:color w:val="333333"/>
        </w:rPr>
        <w:t xml:space="preserve"> In 2019, the Pediatric Sep</w:t>
      </w:r>
      <w:r w:rsidRPr="007D46AC">
        <w:rPr>
          <w:rFonts w:ascii="Times New Roman" w:eastAsia="Times New Roman" w:hAnsi="Times New Roman" w:cs="Times New Roman"/>
          <w:color w:val="333333"/>
        </w:rPr>
        <w:t>sis Definition Task Force was convened to update the pediatric sepsis definition and criteria. The Task Force adopted the conceptual definition of pediatric sepsis as suspected infection with life-threatening organ dysfunction and sought to implement the d</w:t>
      </w:r>
      <w:r w:rsidRPr="007D46AC">
        <w:rPr>
          <w:rFonts w:ascii="Times New Roman" w:eastAsia="Times New Roman" w:hAnsi="Times New Roman" w:cs="Times New Roman"/>
          <w:color w:val="333333"/>
        </w:rPr>
        <w:t>efinition using organ dysfunction criteria associated with higher risk of mortality. The goal was to develop criteria that would generalize across differently resourced settings [</w:t>
      </w:r>
      <w:r w:rsidRPr="007D46AC">
        <w:rPr>
          <w:rFonts w:ascii="Times New Roman" w:eastAsia="Times New Roman" w:hAnsi="Times New Roman" w:cs="Times New Roman"/>
          <w:color w:val="333333"/>
          <w:highlight w:val="yellow"/>
        </w:rPr>
        <w:t>REF Consensus Criteria paper</w:t>
      </w:r>
      <w:r w:rsidRPr="007D46AC">
        <w:rPr>
          <w:rFonts w:ascii="Times New Roman" w:eastAsia="Times New Roman" w:hAnsi="Times New Roman" w:cs="Times New Roman"/>
          <w:color w:val="333333"/>
        </w:rPr>
        <w:t>].</w:t>
      </w:r>
    </w:p>
    <w:p w14:paraId="00000088" w14:textId="77777777" w:rsidR="00DF71A5" w:rsidRPr="007D46AC" w:rsidRDefault="00DF71A5">
      <w:pPr>
        <w:spacing w:line="480" w:lineRule="auto"/>
        <w:rPr>
          <w:rFonts w:ascii="Times New Roman" w:eastAsia="Times New Roman" w:hAnsi="Times New Roman" w:cs="Times New Roman"/>
          <w:color w:val="333333"/>
        </w:rPr>
      </w:pPr>
    </w:p>
    <w:p w14:paraId="00000089" w14:textId="2B2DEC7B"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New pediatric sepsis criteria should maximize</w:t>
      </w:r>
      <w:r w:rsidRPr="007D46AC">
        <w:rPr>
          <w:rFonts w:ascii="Times New Roman" w:eastAsia="Times New Roman" w:hAnsi="Times New Roman" w:cs="Times New Roman"/>
          <w:color w:val="333333"/>
        </w:rPr>
        <w:t xml:space="preserve"> identification of true positive cases so that infected children with life-threatening organ dysfunction receive best practice sepsis care, are appropriately enrolled in clinical studies, and are correctly represented in epidemiological surveillance. Simul</w:t>
      </w:r>
      <w:r w:rsidRPr="007D46AC">
        <w:rPr>
          <w:rFonts w:ascii="Times New Roman" w:eastAsia="Times New Roman" w:hAnsi="Times New Roman" w:cs="Times New Roman"/>
          <w:color w:val="333333"/>
        </w:rPr>
        <w:t>taneously, new criteria must minimize false positive cases so that infected children are not misdiagnosed with sepsis. This is important to reduce unnecessary antimicrobials and other treatments, optimize the efficiency of clinical studies, and avoid overc</w:t>
      </w:r>
      <w:r w:rsidRPr="007D46AC">
        <w:rPr>
          <w:rFonts w:ascii="Times New Roman" w:eastAsia="Times New Roman" w:hAnsi="Times New Roman" w:cs="Times New Roman"/>
          <w:color w:val="333333"/>
        </w:rPr>
        <w:t>ounting in surveillance.</w:t>
      </w:r>
      <w:r w:rsidRPr="007D46AC">
        <w:rPr>
          <w:rFonts w:ascii="Times New Roman" w:eastAsia="Times New Roman" w:hAnsi="Times New Roman" w:cs="Times New Roman"/>
          <w:color w:val="333333"/>
          <w:vertAlign w:val="superscript"/>
        </w:rPr>
        <w:t xml:space="preserve"> </w:t>
      </w:r>
      <w:r w:rsidRPr="007D46AC">
        <w:rPr>
          <w:rFonts w:ascii="Times New Roman" w:eastAsia="Times New Roman" w:hAnsi="Times New Roman" w:cs="Times New Roman"/>
          <w:color w:val="333333"/>
        </w:rPr>
        <w:t>However, it is unclear which measures of organ dysfunction in children have an appropriate</w:t>
      </w:r>
      <w:r w:rsidR="007D46AC">
        <w:rPr>
          <w:rFonts w:ascii="Times New Roman" w:eastAsia="Times New Roman" w:hAnsi="Times New Roman" w:cs="Times New Roman"/>
          <w:color w:val="333333"/>
        </w:rPr>
        <w:t xml:space="preserve"> </w:t>
      </w:r>
      <w:r w:rsidRPr="007D46AC">
        <w:rPr>
          <w:rFonts w:ascii="Times New Roman" w:eastAsia="Times New Roman" w:hAnsi="Times New Roman" w:cs="Times New Roman"/>
          <w:color w:val="333333"/>
        </w:rPr>
        <w:t>balance of sensitivity and positive predictive value (PPV) to achieve these goals and also generalize across differently resourced settings.</w:t>
      </w:r>
      <w:r w:rsidRPr="007D46AC">
        <w:rPr>
          <w:rFonts w:ascii="Times New Roman" w:eastAsia="Times New Roman" w:hAnsi="Times New Roman" w:cs="Times New Roman"/>
          <w:color w:val="333333"/>
        </w:rPr>
        <w:t xml:space="preserve"> </w:t>
      </w:r>
    </w:p>
    <w:p w14:paraId="0000008A" w14:textId="77777777" w:rsidR="00DF71A5" w:rsidRPr="007D46AC" w:rsidRDefault="00DF71A5">
      <w:pPr>
        <w:spacing w:line="480" w:lineRule="auto"/>
        <w:rPr>
          <w:rFonts w:ascii="Times New Roman" w:eastAsia="Times New Roman" w:hAnsi="Times New Roman" w:cs="Times New Roman"/>
          <w:color w:val="333333"/>
        </w:rPr>
      </w:pPr>
    </w:p>
    <w:p w14:paraId="0000008B" w14:textId="7AA3CF6E"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One challenge is that there is currently no large, centralized, multi-center, high-granularity database that includes pediatric emergency and inpatient care in differently resourced settings. Additionally, the validation of the existing International Pe</w:t>
      </w:r>
      <w:r w:rsidRPr="007D46AC">
        <w:rPr>
          <w:rFonts w:ascii="Times New Roman" w:eastAsia="Times New Roman" w:hAnsi="Times New Roman" w:cs="Times New Roman"/>
          <w:color w:val="333333"/>
        </w:rPr>
        <w:t>diatric Sepsis Consensus Conference (IPSCC) criteria has been limited historically.</w:t>
      </w:r>
      <w:hyperlink r:id="rId10">
        <w:r w:rsidRPr="007D46AC">
          <w:rPr>
            <w:rFonts w:ascii="Times New Roman" w:eastAsia="Times New Roman" w:hAnsi="Times New Roman" w:cs="Times New Roman"/>
            <w:color w:val="000000"/>
            <w:vertAlign w:val="superscript"/>
          </w:rPr>
          <w:t>2,3</w:t>
        </w:r>
      </w:hyperlink>
      <w:r w:rsidRPr="007D46AC">
        <w:rPr>
          <w:rFonts w:ascii="Times New Roman" w:eastAsia="Times New Roman" w:hAnsi="Times New Roman" w:cs="Times New Roman"/>
          <w:color w:val="333333"/>
        </w:rPr>
        <w:t xml:space="preserve"> To address these gaps, a database was developed and used to derive and validate novel criteria for pediatri</w:t>
      </w:r>
      <w:r w:rsidRPr="007D46AC">
        <w:rPr>
          <w:rFonts w:ascii="Times New Roman" w:eastAsia="Times New Roman" w:hAnsi="Times New Roman" w:cs="Times New Roman"/>
          <w:color w:val="333333"/>
        </w:rPr>
        <w:t>c sepsis and septic shock based on measures of organ dysfunction in children with suspected infection.</w:t>
      </w:r>
    </w:p>
    <w:p w14:paraId="0000008C" w14:textId="77777777" w:rsidR="00DF71A5" w:rsidRPr="007D46AC" w:rsidRDefault="00DF71A5">
      <w:pPr>
        <w:spacing w:line="480" w:lineRule="auto"/>
        <w:rPr>
          <w:rFonts w:ascii="Times New Roman" w:eastAsia="Times New Roman" w:hAnsi="Times New Roman" w:cs="Times New Roman"/>
          <w:color w:val="333333"/>
        </w:rPr>
      </w:pPr>
    </w:p>
    <w:p w14:paraId="0000008D" w14:textId="77777777" w:rsidR="00DF71A5" w:rsidRPr="007D46AC" w:rsidRDefault="00197EEA">
      <w:pPr>
        <w:spacing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 xml:space="preserve">METHODS </w:t>
      </w:r>
    </w:p>
    <w:p w14:paraId="0000008E" w14:textId="77777777" w:rsidR="00DF71A5" w:rsidRPr="007D46AC" w:rsidRDefault="00DF71A5">
      <w:pPr>
        <w:spacing w:line="480" w:lineRule="auto"/>
        <w:rPr>
          <w:rFonts w:ascii="Times New Roman" w:eastAsia="Times New Roman" w:hAnsi="Times New Roman" w:cs="Times New Roman"/>
          <w:b/>
          <w:color w:val="333333"/>
        </w:rPr>
      </w:pPr>
    </w:p>
    <w:p w14:paraId="0000008F" w14:textId="77777777" w:rsidR="00DF71A5" w:rsidRPr="007D46AC" w:rsidRDefault="00197EEA">
      <w:pPr>
        <w:spacing w:line="480" w:lineRule="auto"/>
        <w:rPr>
          <w:rFonts w:ascii="Times New Roman" w:eastAsia="Times New Roman" w:hAnsi="Times New Roman" w:cs="Times New Roman"/>
          <w:bCs/>
          <w:color w:val="333333"/>
        </w:rPr>
      </w:pPr>
      <w:r w:rsidRPr="007D46AC">
        <w:rPr>
          <w:rFonts w:ascii="Times New Roman" w:eastAsia="Times New Roman" w:hAnsi="Times New Roman" w:cs="Times New Roman"/>
          <w:bCs/>
          <w:color w:val="333333"/>
        </w:rPr>
        <w:t>Overview</w:t>
      </w:r>
    </w:p>
    <w:p w14:paraId="00000090" w14:textId="79599BE7" w:rsidR="00DF71A5" w:rsidRPr="007D46AC" w:rsidRDefault="00197EEA">
      <w:pPr>
        <w:spacing w:line="480" w:lineRule="auto"/>
        <w:rPr>
          <w:rFonts w:ascii="Times New Roman" w:eastAsia="Times New Roman" w:hAnsi="Times New Roman" w:cs="Times New Roman"/>
          <w:bCs/>
          <w:color w:val="333333"/>
        </w:rPr>
      </w:pPr>
      <w:r w:rsidRPr="007D46AC">
        <w:rPr>
          <w:rFonts w:ascii="Times New Roman" w:eastAsia="Times New Roman" w:hAnsi="Times New Roman" w:cs="Times New Roman"/>
          <w:bCs/>
          <w:color w:val="333333"/>
        </w:rPr>
        <w:t>The existing organ dysfunction subscores for each organ system that best predicted mortality were</w:t>
      </w:r>
      <w:r w:rsidRPr="007D46AC">
        <w:rPr>
          <w:rFonts w:ascii="Times New Roman" w:eastAsia="Times New Roman" w:hAnsi="Times New Roman" w:cs="Times New Roman"/>
          <w:bCs/>
          <w:color w:val="333333"/>
        </w:rPr>
        <w:t xml:space="preserve"> first identified and then integrated into models to predict mortality in children with suspected infection. From the best-performing models, an integer-based score (the Phoenix Sepsis Score) was developed (eFigure 1). The binary (yes/no) Phoenix sepsis an</w:t>
      </w:r>
      <w:r w:rsidRPr="007D46AC">
        <w:rPr>
          <w:rFonts w:ascii="Times New Roman" w:eastAsia="Times New Roman" w:hAnsi="Times New Roman" w:cs="Times New Roman"/>
          <w:bCs/>
          <w:color w:val="333333"/>
        </w:rPr>
        <w:t>d septic shock criteria were then selected as thresholds of the Phoenix Sepsis Score.</w:t>
      </w:r>
    </w:p>
    <w:p w14:paraId="00000091" w14:textId="77777777" w:rsidR="00DF71A5" w:rsidRPr="007D46AC" w:rsidRDefault="00DF71A5">
      <w:pPr>
        <w:spacing w:line="480" w:lineRule="auto"/>
        <w:rPr>
          <w:rFonts w:ascii="Times New Roman" w:eastAsia="Times New Roman" w:hAnsi="Times New Roman" w:cs="Times New Roman"/>
          <w:color w:val="333333"/>
        </w:rPr>
      </w:pPr>
    </w:p>
    <w:p w14:paraId="00000092" w14:textId="77777777" w:rsidR="00DF71A5" w:rsidRPr="007D46AC" w:rsidRDefault="00197EEA">
      <w:pPr>
        <w:spacing w:line="480" w:lineRule="auto"/>
        <w:ind w:right="-26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Study Design, Setting, and Population</w:t>
      </w:r>
    </w:p>
    <w:p w14:paraId="00000093" w14:textId="679E091C"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A retrospective cohort study was performed using electronic health record (EHR) data from 10 hospital-based sites in 5 countries. T</w:t>
      </w:r>
      <w:r w:rsidRPr="007D46AC">
        <w:rPr>
          <w:rFonts w:ascii="Times New Roman" w:eastAsia="Times New Roman" w:hAnsi="Times New Roman" w:cs="Times New Roman"/>
          <w:color w:val="333333"/>
        </w:rPr>
        <w:t>he analysis plan was pre-specified in the funding application which supported this work. Six U.S. sites represent higher resource settings, 5 of which were in the development dataset (eFigure 2). Data from one U.S. site was held out for geographic external</w:t>
      </w:r>
      <w:r w:rsidRPr="007D46AC">
        <w:rPr>
          <w:rFonts w:ascii="Times New Roman" w:eastAsia="Times New Roman" w:hAnsi="Times New Roman" w:cs="Times New Roman"/>
          <w:color w:val="333333"/>
        </w:rPr>
        <w:t xml:space="preserve"> validation. Two international sites in Bangladesh and Colombia represent lower resource settings in the development dataset. Additionally, limited EHR and registry data from sites in China</w:t>
      </w:r>
      <w:hyperlink r:id="rId11">
        <w:r w:rsidRPr="007D46AC">
          <w:rPr>
            <w:rFonts w:ascii="Times New Roman" w:eastAsia="Times New Roman" w:hAnsi="Times New Roman" w:cs="Times New Roman"/>
            <w:color w:val="000000"/>
            <w:vertAlign w:val="superscript"/>
          </w:rPr>
          <w:t>6</w:t>
        </w:r>
      </w:hyperlink>
      <w:r w:rsidRPr="007D46AC">
        <w:rPr>
          <w:rFonts w:ascii="Times New Roman" w:eastAsia="Times New Roman" w:hAnsi="Times New Roman" w:cs="Times New Roman"/>
          <w:color w:val="333333"/>
        </w:rPr>
        <w:t xml:space="preserve"> and Kenya</w:t>
      </w:r>
      <w:r w:rsidRPr="007D46AC">
        <w:rPr>
          <w:rFonts w:ascii="Times New Roman" w:eastAsia="Times New Roman" w:hAnsi="Times New Roman" w:cs="Times New Roman"/>
          <w:color w:val="333333"/>
        </w:rPr>
        <w:t xml:space="preserve"> served as lower resource external validation sites. From each site, all emergency department (ED), inpatient, and intensive care unit (ICU) encounters of children &lt;18 years old from 2010-2019 were included, with some sites providing shorter time windows (</w:t>
      </w:r>
      <w:r w:rsidRPr="007D46AC">
        <w:rPr>
          <w:rFonts w:ascii="Times New Roman" w:eastAsia="Times New Roman" w:hAnsi="Times New Roman" w:cs="Times New Roman"/>
          <w:color w:val="333333"/>
        </w:rPr>
        <w:t>eTable 1). Data from newborns before discharge (birth hospitalizations) and children with post-conceptional age &lt;37 weeks were excluded. Data harmonization, quality assurance, and all analyses were conducted as a reproducible pipeline in a centralized, clo</w:t>
      </w:r>
      <w:r w:rsidRPr="007D46AC">
        <w:rPr>
          <w:rFonts w:ascii="Times New Roman" w:eastAsia="Times New Roman" w:hAnsi="Times New Roman" w:cs="Times New Roman"/>
          <w:color w:val="333333"/>
        </w:rPr>
        <w:t>ud-based environment (eFigure 2, eMethods). The study was approved with a waiver of consent and a central IRB at the University of Colorado, plus separate regulatory approvals at non-U.S. sites.</w:t>
      </w:r>
    </w:p>
    <w:p w14:paraId="00000094" w14:textId="77777777" w:rsidR="00DF71A5" w:rsidRPr="007D46AC" w:rsidRDefault="00DF71A5">
      <w:pPr>
        <w:spacing w:line="480" w:lineRule="auto"/>
        <w:ind w:right="600"/>
        <w:rPr>
          <w:rFonts w:ascii="Times New Roman" w:eastAsia="Times New Roman" w:hAnsi="Times New Roman" w:cs="Times New Roman"/>
          <w:color w:val="333333"/>
        </w:rPr>
      </w:pPr>
    </w:p>
    <w:p w14:paraId="00000095"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Outcomes, Definitions, and Main Measures</w:t>
      </w:r>
    </w:p>
    <w:p w14:paraId="00000096" w14:textId="21D9A987"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The primary outcome</w:t>
      </w:r>
      <w:r w:rsidRPr="007D46AC">
        <w:rPr>
          <w:rFonts w:ascii="Times New Roman" w:eastAsia="Times New Roman" w:hAnsi="Times New Roman" w:cs="Times New Roman"/>
          <w:color w:val="333333"/>
        </w:rPr>
        <w:t xml:space="preserve"> for all analyses was in-hospital mortality, which was used to assess the likelihood that an organ dysfunction in the setting of an infection was life-threatening. The secondary outcome for all analyses was a composite of early death (within 72 hours of pr</w:t>
      </w:r>
      <w:r w:rsidRPr="007D46AC">
        <w:rPr>
          <w:rFonts w:ascii="Times New Roman" w:eastAsia="Times New Roman" w:hAnsi="Times New Roman" w:cs="Times New Roman"/>
          <w:color w:val="333333"/>
        </w:rPr>
        <w:t>esentation to the hospital) or requirement of extracorporeal membrane oxygenation (ECMO) support. This secondary outcome was requested by the Task Force because early death and ECMO are more likely to be directly associated with sepsis in the first 24 hour</w:t>
      </w:r>
      <w:r w:rsidRPr="007D46AC">
        <w:rPr>
          <w:rFonts w:ascii="Times New Roman" w:eastAsia="Times New Roman" w:hAnsi="Times New Roman" w:cs="Times New Roman"/>
          <w:color w:val="333333"/>
        </w:rPr>
        <w:t xml:space="preserve">s of presentation than in-hospital mortality, which can occur later and be the result of complications during the hospitalization. </w:t>
      </w:r>
      <w:r w:rsidRPr="007D46AC">
        <w:rPr>
          <w:rFonts w:ascii="Times New Roman" w:eastAsia="Times New Roman" w:hAnsi="Times New Roman" w:cs="Times New Roman"/>
        </w:rPr>
        <w:t xml:space="preserve">Also, using ECMO to rescue children with sepsis-associated respiratory and/or cardiac failure could lead to survival of some </w:t>
      </w:r>
      <w:r w:rsidRPr="007D46AC">
        <w:rPr>
          <w:rFonts w:ascii="Times New Roman" w:eastAsia="Times New Roman" w:hAnsi="Times New Roman" w:cs="Times New Roman"/>
        </w:rPr>
        <w:t xml:space="preserve">children who would otherwise die. </w:t>
      </w:r>
      <w:r w:rsidRPr="007D46AC">
        <w:rPr>
          <w:rFonts w:ascii="Times New Roman" w:eastAsia="Times New Roman" w:hAnsi="Times New Roman" w:cs="Times New Roman"/>
          <w:color w:val="333333"/>
        </w:rPr>
        <w:t>Suspected infection was defined in children who received systemic antimicrobials and had microbiological testing within the first 24 hours of the encounter. Comorbidities were defined based on the pediatric complex chronic</w:t>
      </w:r>
      <w:r w:rsidRPr="007D46AC">
        <w:rPr>
          <w:rFonts w:ascii="Times New Roman" w:eastAsia="Times New Roman" w:hAnsi="Times New Roman" w:cs="Times New Roman"/>
          <w:color w:val="333333"/>
        </w:rPr>
        <w:t xml:space="preserve"> conditions classification system,</w:t>
      </w:r>
      <w:hyperlink r:id="rId12">
        <w:r w:rsidRPr="007D46AC">
          <w:rPr>
            <w:rFonts w:ascii="Times New Roman" w:eastAsia="Times New Roman" w:hAnsi="Times New Roman" w:cs="Times New Roman"/>
            <w:color w:val="000000"/>
            <w:vertAlign w:val="superscript"/>
          </w:rPr>
          <w:t>7</w:t>
        </w:r>
      </w:hyperlink>
      <w:r w:rsidRPr="007D46AC">
        <w:rPr>
          <w:rFonts w:ascii="Times New Roman" w:eastAsia="Times New Roman" w:hAnsi="Times New Roman" w:cs="Times New Roman"/>
          <w:color w:val="333333"/>
        </w:rPr>
        <w:t xml:space="preserve"> and severe malnutrition was based on &gt;3 standard deviations below the mean based on weight-for-age standards from the World Health Organization.</w:t>
      </w:r>
      <w:hyperlink r:id="rId13">
        <w:r w:rsidRPr="007D46AC">
          <w:rPr>
            <w:rFonts w:ascii="Times New Roman" w:eastAsia="Times New Roman" w:hAnsi="Times New Roman" w:cs="Times New Roman"/>
            <w:color w:val="000000"/>
            <w:vertAlign w:val="superscript"/>
          </w:rPr>
          <w:t>8</w:t>
        </w:r>
      </w:hyperlink>
      <w:r w:rsidRPr="007D46AC">
        <w:rPr>
          <w:rFonts w:ascii="Times New Roman" w:eastAsia="Times New Roman" w:hAnsi="Times New Roman" w:cs="Times New Roman"/>
          <w:color w:val="333333"/>
        </w:rPr>
        <w:t xml:space="preserve"> The systemic inflammatory response syndrome (SIRS) criteria were based on the IPSCC criteria.</w:t>
      </w:r>
      <w:hyperlink r:id="rId14">
        <w:r w:rsidRPr="007D46AC">
          <w:rPr>
            <w:rFonts w:ascii="Times New Roman" w:eastAsia="Times New Roman" w:hAnsi="Times New Roman" w:cs="Times New Roman"/>
            <w:color w:val="000000"/>
            <w:vertAlign w:val="superscript"/>
          </w:rPr>
          <w:t>2,3</w:t>
        </w:r>
      </w:hyperlink>
      <w:r w:rsidRPr="007D46AC">
        <w:rPr>
          <w:rFonts w:ascii="Times New Roman" w:eastAsia="Times New Roman" w:hAnsi="Times New Roman" w:cs="Times New Roman"/>
          <w:color w:val="333333"/>
        </w:rPr>
        <w:t xml:space="preserve"> Because dosing information necessary to calculate the vasoa</w:t>
      </w:r>
      <w:r w:rsidRPr="007D46AC">
        <w:rPr>
          <w:rFonts w:ascii="Times New Roman" w:eastAsia="Times New Roman" w:hAnsi="Times New Roman" w:cs="Times New Roman"/>
          <w:color w:val="333333"/>
        </w:rPr>
        <w:t>ctive-inotropic score (VIS) was often missing at lower resource sites, the number of concurrent vasoactive agents was tested as a proxy. The area under the precision-recall curve (AUPRC) was used as the primary measure of organ dysfunction subscore, stacke</w:t>
      </w:r>
      <w:r w:rsidRPr="007D46AC">
        <w:rPr>
          <w:rFonts w:ascii="Times New Roman" w:eastAsia="Times New Roman" w:hAnsi="Times New Roman" w:cs="Times New Roman"/>
          <w:color w:val="333333"/>
        </w:rPr>
        <w:t>d regression sepsis model, and Phoenix Sepsis Score performance because it is more accurate than the area under the receiver-operator characteristic (AUROC) curve when analyzing imbalanced datasets (e.g., many more survivors than non-survivors). This is pa</w:t>
      </w:r>
      <w:r w:rsidRPr="007D46AC">
        <w:rPr>
          <w:rFonts w:ascii="Times New Roman" w:eastAsia="Times New Roman" w:hAnsi="Times New Roman" w:cs="Times New Roman"/>
          <w:color w:val="333333"/>
        </w:rPr>
        <w:t>rticularly important in children with infections given their lower baseline mortality compared to adults.</w:t>
      </w:r>
      <w:hyperlink r:id="rId15">
        <w:r w:rsidRPr="007D46AC">
          <w:rPr>
            <w:rFonts w:ascii="Times New Roman" w:eastAsia="Times New Roman" w:hAnsi="Times New Roman" w:cs="Times New Roman"/>
            <w:color w:val="000000"/>
            <w:vertAlign w:val="superscript"/>
          </w:rPr>
          <w:t>9,10</w:t>
        </w:r>
      </w:hyperlink>
      <w:r w:rsidRPr="007D46AC">
        <w:rPr>
          <w:rFonts w:ascii="Times New Roman" w:eastAsia="Times New Roman" w:hAnsi="Times New Roman" w:cs="Times New Roman"/>
          <w:color w:val="333333"/>
        </w:rPr>
        <w:t xml:space="preserve"> </w:t>
      </w:r>
      <w:r w:rsidRPr="007D46AC">
        <w:rPr>
          <w:rFonts w:ascii="Times New Roman" w:eastAsia="Times New Roman" w:hAnsi="Times New Roman" w:cs="Times New Roman"/>
          <w:color w:val="333333"/>
        </w:rPr>
        <w:t>The best way to interpret AUPRCs is to use the baseline rate as reference. If mortality is 1% (0.01) and the model AUPRC is 0.30, the model has 30-fold higher performance than a random model. Because the novel Phoenix sepsis and septic shock criteria repre</w:t>
      </w:r>
      <w:r w:rsidRPr="007D46AC">
        <w:rPr>
          <w:rFonts w:ascii="Times New Roman" w:eastAsia="Times New Roman" w:hAnsi="Times New Roman" w:cs="Times New Roman"/>
          <w:color w:val="333333"/>
        </w:rPr>
        <w:t>sent single, binary thresholds, the primary performance measures used to evaluate them were sensitivity and PPV, which represent single points on the precision-recall curve. Missing data were imputed using a ‘last observation carried forward’ (LOCF) approa</w:t>
      </w:r>
      <w:r w:rsidRPr="007D46AC">
        <w:rPr>
          <w:rFonts w:ascii="Times New Roman" w:eastAsia="Times New Roman" w:hAnsi="Times New Roman" w:cs="Times New Roman"/>
          <w:color w:val="333333"/>
        </w:rPr>
        <w:t>ch across physiologically appropriate time windows. Please see the eMethods for details.</w:t>
      </w:r>
    </w:p>
    <w:p w14:paraId="00000099" w14:textId="444A012A"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 xml:space="preserve"> </w:t>
      </w:r>
    </w:p>
    <w:p w14:paraId="0000009A"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Derivation and Validation of the Novel Criteria for Sepsis and Septic Shock</w:t>
      </w:r>
    </w:p>
    <w:p w14:paraId="0000009B" w14:textId="3904253C" w:rsidR="00DF71A5" w:rsidRPr="007D46AC" w:rsidRDefault="00197EEA">
      <w:pPr>
        <w:spacing w:line="480" w:lineRule="auto"/>
        <w:ind w:right="600"/>
        <w:rPr>
          <w:rFonts w:ascii="Times New Roman" w:eastAsia="Times New Roman" w:hAnsi="Times New Roman" w:cs="Times New Roman"/>
          <w:bCs/>
          <w:color w:val="333333"/>
        </w:rPr>
      </w:pPr>
      <w:r w:rsidRPr="007D46AC">
        <w:rPr>
          <w:rFonts w:ascii="Times New Roman" w:eastAsia="Times New Roman" w:hAnsi="Times New Roman" w:cs="Times New Roman"/>
          <w:bCs/>
          <w:color w:val="333333"/>
        </w:rPr>
        <w:t>The evaluation of which organ dysfunction subscores best predicted mortality involved all</w:t>
      </w:r>
      <w:r w:rsidRPr="007D46AC">
        <w:rPr>
          <w:rFonts w:ascii="Times New Roman" w:eastAsia="Times New Roman" w:hAnsi="Times New Roman" w:cs="Times New Roman"/>
          <w:bCs/>
          <w:color w:val="333333"/>
        </w:rPr>
        <w:t xml:space="preserve"> patients with and without suspected infection (eFigures 1-2). Then, stacked regression models</w:t>
      </w:r>
      <w:hyperlink r:id="rId16" w:history="1">
        <w:r w:rsidRPr="007D46AC">
          <w:rPr>
            <w:rFonts w:ascii="Times New Roman" w:eastAsia="Times New Roman" w:hAnsi="Times New Roman" w:cs="Times New Roman"/>
            <w:bCs/>
            <w:color w:val="333333"/>
            <w:vertAlign w:val="superscript"/>
          </w:rPr>
          <w:t>11,12</w:t>
        </w:r>
      </w:hyperlink>
      <w:r w:rsidRPr="007D46AC">
        <w:rPr>
          <w:rFonts w:ascii="Times New Roman" w:eastAsia="Times New Roman" w:hAnsi="Times New Roman" w:cs="Times New Roman"/>
          <w:bCs/>
          <w:color w:val="333333"/>
        </w:rPr>
        <w:t xml:space="preserve"> were derived and validated to predict mortality using the worst organ dysfunction subscores recorde</w:t>
      </w:r>
      <w:r w:rsidRPr="007D46AC">
        <w:rPr>
          <w:rFonts w:ascii="Times New Roman" w:eastAsia="Times New Roman" w:hAnsi="Times New Roman" w:cs="Times New Roman"/>
          <w:bCs/>
          <w:color w:val="333333"/>
        </w:rPr>
        <w:t>d in the first 24 hours of the encounter among children with suspected infection (eFigures 1-2). This approach was used to implement the concept of “an infection with life-threatening organ dysfunction”, which was adopted by the Pediatric Sepsis Task Force</w:t>
      </w:r>
      <w:r w:rsidRPr="007D46AC">
        <w:rPr>
          <w:rFonts w:ascii="Times New Roman" w:eastAsia="Times New Roman" w:hAnsi="Times New Roman" w:cs="Times New Roman"/>
          <w:bCs/>
          <w:color w:val="333333"/>
        </w:rPr>
        <w:t xml:space="preserve"> as the conceptual definition of sepsis. </w:t>
      </w:r>
    </w:p>
    <w:p w14:paraId="0000009C" w14:textId="77777777" w:rsidR="00DF71A5" w:rsidRPr="007D46AC" w:rsidRDefault="00DF71A5">
      <w:pPr>
        <w:spacing w:line="480" w:lineRule="auto"/>
        <w:ind w:right="600"/>
        <w:rPr>
          <w:rFonts w:ascii="Times New Roman" w:eastAsia="Times New Roman" w:hAnsi="Times New Roman" w:cs="Times New Roman"/>
          <w:b/>
          <w:color w:val="333333"/>
        </w:rPr>
      </w:pPr>
    </w:p>
    <w:p w14:paraId="0000009D" w14:textId="135981B5" w:rsidR="00DF71A5" w:rsidRPr="007D46AC" w:rsidRDefault="00197EEA">
      <w:pPr>
        <w:spacing w:line="480" w:lineRule="auto"/>
        <w:ind w:right="600"/>
        <w:rPr>
          <w:rFonts w:ascii="Times New Roman" w:eastAsia="Times New Roman" w:hAnsi="Times New Roman" w:cs="Times New Roman"/>
          <w:bCs/>
          <w:color w:val="333333"/>
        </w:rPr>
      </w:pPr>
      <w:r w:rsidRPr="007D46AC">
        <w:rPr>
          <w:rFonts w:ascii="Times New Roman" w:eastAsia="Times New Roman" w:hAnsi="Times New Roman" w:cs="Times New Roman"/>
          <w:bCs/>
          <w:color w:val="333333"/>
        </w:rPr>
        <w:t>The dataset was first divided into development (including derivation and internal validation) and external validation sets as described above and shown in eFigure 2. From each development site, 25% were held out f</w:t>
      </w:r>
      <w:r w:rsidRPr="007D46AC">
        <w:rPr>
          <w:rFonts w:ascii="Times New Roman" w:eastAsia="Times New Roman" w:hAnsi="Times New Roman" w:cs="Times New Roman"/>
          <w:bCs/>
          <w:color w:val="333333"/>
        </w:rPr>
        <w:t>or internal validation. The other three 25% portions of the development dataset were used to: (1) identify the best-performing criteria for each individual organ dysfunction based on the subscores of 8 existing and previously validated pediatric organ dysf</w:t>
      </w:r>
      <w:r w:rsidRPr="007D46AC">
        <w:rPr>
          <w:rFonts w:ascii="Times New Roman" w:eastAsia="Times New Roman" w:hAnsi="Times New Roman" w:cs="Times New Roman"/>
          <w:bCs/>
          <w:color w:val="333333"/>
        </w:rPr>
        <w:t>unction criteria in all patients in the development datasets (including patients with suspected infection and those without) (eTable 2, eFigure 2)</w:t>
      </w:r>
      <w:r w:rsidR="007D46AC">
        <w:rPr>
          <w:rFonts w:ascii="Times New Roman" w:eastAsia="Times New Roman" w:hAnsi="Times New Roman" w:cs="Times New Roman"/>
          <w:bCs/>
          <w:color w:val="333333"/>
        </w:rPr>
        <w:t>,</w:t>
      </w:r>
      <w:hyperlink r:id="rId17" w:history="1">
        <w:r w:rsidRPr="007D46AC">
          <w:rPr>
            <w:rFonts w:ascii="Times New Roman" w:eastAsia="Times New Roman" w:hAnsi="Times New Roman" w:cs="Times New Roman"/>
            <w:bCs/>
            <w:color w:val="333333"/>
            <w:vertAlign w:val="superscript"/>
          </w:rPr>
          <w:t>13–18</w:t>
        </w:r>
      </w:hyperlink>
      <w:r w:rsidRPr="007D46AC">
        <w:rPr>
          <w:rFonts w:ascii="Times New Roman" w:eastAsia="Times New Roman" w:hAnsi="Times New Roman" w:cs="Times New Roman"/>
          <w:bCs/>
          <w:color w:val="333333"/>
        </w:rPr>
        <w:t xml:space="preserve"> (2) train and </w:t>
      </w:r>
      <w:r w:rsidRPr="007D46AC">
        <w:rPr>
          <w:rFonts w:ascii="Times New Roman" w:eastAsia="Times New Roman" w:hAnsi="Times New Roman" w:cs="Times New Roman"/>
          <w:bCs/>
          <w:color w:val="333333"/>
        </w:rPr>
        <w:t>tune stacked regression models using a composite of the best performing individual organ dysfunction criteria in children with suspected infection</w:t>
      </w:r>
      <w:r w:rsidR="007D46AC">
        <w:rPr>
          <w:rFonts w:ascii="Times New Roman" w:eastAsia="Times New Roman" w:hAnsi="Times New Roman" w:cs="Times New Roman"/>
          <w:bCs/>
          <w:color w:val="333333"/>
        </w:rPr>
        <w:t>,</w:t>
      </w:r>
      <w:hyperlink r:id="rId18" w:history="1">
        <w:r w:rsidRPr="007D46AC">
          <w:rPr>
            <w:rFonts w:ascii="Times New Roman" w:eastAsia="Times New Roman" w:hAnsi="Times New Roman" w:cs="Times New Roman"/>
            <w:bCs/>
            <w:color w:val="333333"/>
            <w:vertAlign w:val="superscript"/>
          </w:rPr>
          <w:t>11,12</w:t>
        </w:r>
      </w:hyperlink>
      <w:r w:rsidRPr="007D46AC">
        <w:rPr>
          <w:rFonts w:ascii="Times New Roman" w:eastAsia="Times New Roman" w:hAnsi="Times New Roman" w:cs="Times New Roman"/>
          <w:bCs/>
          <w:color w:val="333333"/>
        </w:rPr>
        <w:t xml:space="preserve"> and (3) derive and internally validate the nov</w:t>
      </w:r>
      <w:r w:rsidRPr="007D46AC">
        <w:rPr>
          <w:rFonts w:ascii="Times New Roman" w:eastAsia="Times New Roman" w:hAnsi="Times New Roman" w:cs="Times New Roman"/>
          <w:bCs/>
          <w:color w:val="333333"/>
        </w:rPr>
        <w:t xml:space="preserve">el sepsis criteria based on the final stacked regression model. Finally, the novel criteria were validated in the external validation sets. </w:t>
      </w:r>
    </w:p>
    <w:p w14:paraId="0000009E" w14:textId="77777777" w:rsidR="00DF71A5" w:rsidRPr="007D46AC" w:rsidRDefault="00DF71A5">
      <w:pPr>
        <w:spacing w:line="480" w:lineRule="auto"/>
        <w:ind w:right="600"/>
        <w:rPr>
          <w:rFonts w:ascii="Times New Roman" w:eastAsia="Times New Roman" w:hAnsi="Times New Roman" w:cs="Times New Roman"/>
          <w:b/>
          <w:color w:val="333333"/>
        </w:rPr>
      </w:pPr>
    </w:p>
    <w:p w14:paraId="0000009F" w14:textId="7234A3AB"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bCs/>
          <w:color w:val="333333"/>
        </w:rPr>
        <w:t>Stacked regression is a robust model-averaging approach that allows many models to be used simultaneously, leverag</w:t>
      </w:r>
      <w:r w:rsidRPr="007D46AC">
        <w:rPr>
          <w:rFonts w:ascii="Times New Roman" w:eastAsia="Times New Roman" w:hAnsi="Times New Roman" w:cs="Times New Roman"/>
          <w:bCs/>
          <w:color w:val="333333"/>
        </w:rPr>
        <w:t>ing the best predictive power of each model. The best-performing organ dysfunction subcomponent scores were used as input variables for stacked regression models that also predicted mortality.</w:t>
      </w:r>
      <w:r w:rsidRPr="007D46AC">
        <w:rPr>
          <w:rFonts w:ascii="Times New Roman" w:eastAsia="Times New Roman" w:hAnsi="Times New Roman" w:cs="Times New Roman"/>
          <w:b/>
          <w:color w:val="333333"/>
        </w:rPr>
        <w:t xml:space="preserve"> </w:t>
      </w:r>
      <w:r w:rsidRPr="007D46AC">
        <w:rPr>
          <w:rFonts w:ascii="Times New Roman" w:eastAsia="Times New Roman" w:hAnsi="Times New Roman" w:cs="Times New Roman"/>
          <w:color w:val="333333"/>
        </w:rPr>
        <w:t xml:space="preserve">The stacked regression models took the organ dysfunction </w:t>
      </w:r>
      <w:r w:rsidRPr="007D46AC">
        <w:rPr>
          <w:rFonts w:ascii="Times New Roman" w:eastAsia="Times New Roman" w:hAnsi="Times New Roman" w:cs="Times New Roman"/>
          <w:color w:val="333333"/>
        </w:rPr>
        <w:t>subscores as covariates and estimated the regression weights (or the relative contribution of each respective subcomponent’s prediction to the overall prediction) in accordance with each subcomponent’s predictive power, while maintaining a high degree of i</w:t>
      </w:r>
      <w:r w:rsidRPr="007D46AC">
        <w:rPr>
          <w:rFonts w:ascii="Times New Roman" w:eastAsia="Times New Roman" w:hAnsi="Times New Roman" w:cs="Times New Roman"/>
          <w:color w:val="333333"/>
        </w:rPr>
        <w:t>nterpretability.</w:t>
      </w:r>
      <w:hyperlink r:id="rId19" w:history="1">
        <w:r w:rsidRPr="007D46AC">
          <w:rPr>
            <w:rFonts w:ascii="Times New Roman" w:eastAsia="Times New Roman" w:hAnsi="Times New Roman" w:cs="Times New Roman"/>
            <w:color w:val="333333"/>
            <w:vertAlign w:val="superscript"/>
          </w:rPr>
          <w:t>12</w:t>
        </w:r>
      </w:hyperlink>
      <w:r w:rsidRPr="007D46AC">
        <w:rPr>
          <w:rFonts w:ascii="Times New Roman" w:eastAsia="Times New Roman" w:hAnsi="Times New Roman" w:cs="Times New Roman"/>
          <w:color w:val="333333"/>
        </w:rPr>
        <w:t xml:space="preserve"> Additional information can be found in the eMethods.</w:t>
      </w:r>
    </w:p>
    <w:p w14:paraId="000000A2" w14:textId="77777777" w:rsidR="00DF71A5" w:rsidRPr="007D46AC" w:rsidRDefault="00DF71A5">
      <w:pPr>
        <w:spacing w:line="480" w:lineRule="auto"/>
        <w:ind w:right="600"/>
        <w:rPr>
          <w:rFonts w:ascii="Times New Roman" w:eastAsia="Times New Roman" w:hAnsi="Times New Roman" w:cs="Times New Roman"/>
          <w:color w:val="333333"/>
        </w:rPr>
      </w:pPr>
    </w:p>
    <w:p w14:paraId="000000A4" w14:textId="47F62F48"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Ridge, least absolute shrinkage</w:t>
      </w:r>
      <w:r w:rsidRPr="007D46AC">
        <w:rPr>
          <w:rFonts w:ascii="Times New Roman" w:eastAsia="Times New Roman" w:hAnsi="Times New Roman" w:cs="Times New Roman"/>
          <w:color w:val="333333"/>
        </w:rPr>
        <w:t xml:space="preserve"> and selection operator (LASSO), and elastic net regularized logistic regression were evaluated as the top-level stacked models. Ten-fold cross-validation was used to select the regularization parameter lambda in the stacked models that minimized deviance </w:t>
      </w:r>
      <w:r w:rsidRPr="007D46AC">
        <w:rPr>
          <w:rFonts w:ascii="Times New Roman" w:eastAsia="Times New Roman" w:hAnsi="Times New Roman" w:cs="Times New Roman"/>
          <w:color w:val="333333"/>
        </w:rPr>
        <w:t>for each value of alpha (0 = ridge, 1 = LASSO). Please see the eMethods for additional information. The best-performing stacked regression models were identified using AUPRC. In the third step, the components of the final stacked regression model were tran</w:t>
      </w:r>
      <w:r w:rsidRPr="007D46AC">
        <w:rPr>
          <w:rFonts w:ascii="Times New Roman" w:eastAsia="Times New Roman" w:hAnsi="Times New Roman" w:cs="Times New Roman"/>
          <w:color w:val="333333"/>
        </w:rPr>
        <w:t>slated into an integer-based score using a grid search and then its performance was compared to the final stacked model to ensure that the AUPRC remained stable. When measures and models had similar performance, the Task Force voted on which to choose base</w:t>
      </w:r>
      <w:r w:rsidRPr="007D46AC">
        <w:rPr>
          <w:rFonts w:ascii="Times New Roman" w:eastAsia="Times New Roman" w:hAnsi="Times New Roman" w:cs="Times New Roman"/>
          <w:color w:val="333333"/>
        </w:rPr>
        <w:t>d on parsimony, data collection burden, and face validity [</w:t>
      </w:r>
      <w:r w:rsidRPr="007D46AC">
        <w:rPr>
          <w:rFonts w:ascii="Times New Roman" w:eastAsia="Times New Roman" w:hAnsi="Times New Roman" w:cs="Times New Roman"/>
          <w:color w:val="333333"/>
          <w:highlight w:val="yellow"/>
        </w:rPr>
        <w:t>Ref Consensus Criteria paper</w:t>
      </w:r>
      <w:r w:rsidRPr="007D46AC">
        <w:rPr>
          <w:rFonts w:ascii="Times New Roman" w:eastAsia="Times New Roman" w:hAnsi="Times New Roman" w:cs="Times New Roman"/>
          <w:color w:val="333333"/>
        </w:rPr>
        <w:t>]. The Task Force then voted using a modified Delphi process on the thresholds of the score to define sepsis and septic shock and achieve the desired balance of sensitiv</w:t>
      </w:r>
      <w:r w:rsidRPr="007D46AC">
        <w:rPr>
          <w:rFonts w:ascii="Times New Roman" w:eastAsia="Times New Roman" w:hAnsi="Times New Roman" w:cs="Times New Roman"/>
          <w:color w:val="333333"/>
        </w:rPr>
        <w:t>ity and PPV. In the final step, performance of the novel criteria was assessed across validation sets using sensitivity and PPV as primary metrics. Additional information is in the eMethods and eFigures 1-2.</w:t>
      </w:r>
    </w:p>
    <w:p w14:paraId="000000A5"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Stratifications and Sensitivity Analyses</w:t>
      </w:r>
    </w:p>
    <w:p w14:paraId="000000A6" w14:textId="77777777"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 xml:space="preserve">During </w:t>
      </w:r>
      <w:r w:rsidRPr="007D46AC">
        <w:rPr>
          <w:rFonts w:ascii="Times New Roman" w:eastAsia="Times New Roman" w:hAnsi="Times New Roman" w:cs="Times New Roman"/>
          <w:color w:val="333333"/>
        </w:rPr>
        <w:t>each step, pre-specified stratifications and sensitivity analyses were performed to ensure robustness. These included: (1) higher resource versus lower resource settings, where the higher resource sites were analyzed together given their overall similarity</w:t>
      </w:r>
      <w:r w:rsidRPr="007D46AC">
        <w:rPr>
          <w:rFonts w:ascii="Times New Roman" w:eastAsia="Times New Roman" w:hAnsi="Times New Roman" w:cs="Times New Roman"/>
          <w:color w:val="333333"/>
        </w:rPr>
        <w:t xml:space="preserve"> and lower resource sites were analyzed individually given their broader differences in underlying population, resources, and data quality; (2) no known prior comorbidities, to assess criteria performance in children without potential confounding by chroni</w:t>
      </w:r>
      <w:r w:rsidRPr="007D46AC">
        <w:rPr>
          <w:rFonts w:ascii="Times New Roman" w:eastAsia="Times New Roman" w:hAnsi="Times New Roman" w:cs="Times New Roman"/>
          <w:color w:val="333333"/>
        </w:rPr>
        <w:t>c and/or life-limiting conditions; (3) age groups, to ensure that performance remains appropriate across the pediatric spectrum; (4) ICU admission, given that many children with sepsis will receive ICU care; and (5) excluding patients who required operativ</w:t>
      </w:r>
      <w:r w:rsidRPr="007D46AC">
        <w:rPr>
          <w:rFonts w:ascii="Times New Roman" w:eastAsia="Times New Roman" w:hAnsi="Times New Roman" w:cs="Times New Roman"/>
          <w:color w:val="333333"/>
        </w:rPr>
        <w:t>e care, to reduce confounding by mechanical ventilation or vasoactive medications related to receiving anesthesia or undergoing surgery.</w:t>
      </w:r>
    </w:p>
    <w:p w14:paraId="000000A8" w14:textId="77777777" w:rsidR="00DF71A5" w:rsidRPr="007D46AC" w:rsidRDefault="00DF71A5">
      <w:pPr>
        <w:spacing w:line="480" w:lineRule="auto"/>
        <w:ind w:right="600"/>
        <w:rPr>
          <w:rFonts w:ascii="Times New Roman" w:eastAsia="Times New Roman" w:hAnsi="Times New Roman" w:cs="Times New Roman"/>
          <w:b/>
          <w:color w:val="333333"/>
        </w:rPr>
      </w:pPr>
    </w:p>
    <w:p w14:paraId="000000A9" w14:textId="77777777" w:rsidR="00DF71A5" w:rsidRPr="007D46AC" w:rsidRDefault="00DF71A5">
      <w:pPr>
        <w:spacing w:line="480" w:lineRule="auto"/>
        <w:ind w:right="600"/>
        <w:rPr>
          <w:rFonts w:ascii="Times New Roman" w:eastAsia="Times New Roman" w:hAnsi="Times New Roman" w:cs="Times New Roman"/>
          <w:b/>
          <w:color w:val="333333"/>
        </w:rPr>
      </w:pPr>
    </w:p>
    <w:p w14:paraId="000000AA"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RESULTS</w:t>
      </w:r>
    </w:p>
    <w:p w14:paraId="000000AB" w14:textId="77777777" w:rsidR="00DF71A5" w:rsidRPr="007D46AC" w:rsidRDefault="00DF71A5">
      <w:pPr>
        <w:spacing w:line="480" w:lineRule="auto"/>
        <w:ind w:right="600"/>
        <w:rPr>
          <w:rFonts w:ascii="Times New Roman" w:eastAsia="Times New Roman" w:hAnsi="Times New Roman" w:cs="Times New Roman"/>
          <w:b/>
          <w:color w:val="333333"/>
        </w:rPr>
      </w:pPr>
    </w:p>
    <w:p w14:paraId="000000AC"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 xml:space="preserve">Cohort Demographic and Clinical Characteristics </w:t>
      </w:r>
    </w:p>
    <w:p w14:paraId="000000AD" w14:textId="55260D15"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 xml:space="preserve">The development set included </w:t>
      </w:r>
      <w:r w:rsidRPr="007D46AC">
        <w:rPr>
          <w:rFonts w:ascii="Times New Roman" w:eastAsia="Times New Roman" w:hAnsi="Times New Roman" w:cs="Times New Roman"/>
        </w:rPr>
        <w:t>3,049,699</w:t>
      </w:r>
      <w:r w:rsidRPr="007D46AC">
        <w:rPr>
          <w:rFonts w:ascii="Times New Roman" w:eastAsia="Times New Roman" w:hAnsi="Times New Roman" w:cs="Times New Roman"/>
          <w:color w:val="333333"/>
        </w:rPr>
        <w:t xml:space="preserve"> ED, inpatient, and I</w:t>
      </w:r>
      <w:r w:rsidRPr="007D46AC">
        <w:rPr>
          <w:rFonts w:ascii="Times New Roman" w:eastAsia="Times New Roman" w:hAnsi="Times New Roman" w:cs="Times New Roman"/>
          <w:color w:val="333333"/>
        </w:rPr>
        <w:t>CU encounters for children &lt;18 years old, of which 172,984 (5.7%) had suspected infection in the first 24 hours (Table 1, eTables 3 and 4, eFigure 2). Of those, 2,065 (1.2%) died. The external validation set included 581,317 encounters, of which 45,855 (7.</w:t>
      </w:r>
      <w:r w:rsidRPr="007D46AC">
        <w:rPr>
          <w:rFonts w:ascii="Times New Roman" w:eastAsia="Times New Roman" w:hAnsi="Times New Roman" w:cs="Times New Roman"/>
          <w:color w:val="333333"/>
        </w:rPr>
        <w:t>9%) had suspected infection in the first 24 hours. Of those, 540 (1.2%) died (Table 1 and eTable 5).</w:t>
      </w:r>
    </w:p>
    <w:p w14:paraId="000000AE" w14:textId="77777777" w:rsidR="00DF71A5" w:rsidRPr="007D46AC" w:rsidRDefault="00DF71A5">
      <w:pPr>
        <w:spacing w:line="480" w:lineRule="auto"/>
        <w:ind w:right="600"/>
        <w:rPr>
          <w:rFonts w:ascii="Times New Roman" w:eastAsia="Times New Roman" w:hAnsi="Times New Roman" w:cs="Times New Roman"/>
          <w:color w:val="333333"/>
        </w:rPr>
      </w:pPr>
    </w:p>
    <w:p w14:paraId="000000AF"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Best-Performing Individual Organ Dysfunction Criteria</w:t>
      </w:r>
    </w:p>
    <w:p w14:paraId="000000B0" w14:textId="70AD6483" w:rsidR="00DF71A5" w:rsidRPr="007D46AC" w:rsidRDefault="00197EEA">
      <w:pPr>
        <w:spacing w:after="300"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Organ dysfunction subscore input availability and missingness are shown in eFigures 3A-H. By 24 hour</w:t>
      </w:r>
      <w:r w:rsidRPr="007D46AC">
        <w:rPr>
          <w:rFonts w:ascii="Times New Roman" w:eastAsia="Times New Roman" w:hAnsi="Times New Roman" w:cs="Times New Roman"/>
          <w:color w:val="333333"/>
        </w:rPr>
        <w:t>s into an encounter, most patients in higher resource settings had SpO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 respiratory support, platelets, blood pressure, vasoactive agents, and Glasgow coma scale charted. Many also had FiO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 lactate, and pupillary reactivity measured. Patients in lower re</w:t>
      </w:r>
      <w:r w:rsidRPr="007D46AC">
        <w:rPr>
          <w:rFonts w:ascii="Times New Roman" w:eastAsia="Times New Roman" w:hAnsi="Times New Roman" w:cs="Times New Roman"/>
          <w:color w:val="333333"/>
        </w:rPr>
        <w:t xml:space="preserve">source settings were less likely to have available data on lactate, Glasgow Coma Scale, pupillary reactivity, and coagulation studies such as D-dimer and fibrinogen. The best-performing individual organ dysfunction criteria based on the primary measure of </w:t>
      </w:r>
      <w:r w:rsidRPr="007D46AC">
        <w:rPr>
          <w:rFonts w:ascii="Times New Roman" w:eastAsia="Times New Roman" w:hAnsi="Times New Roman" w:cs="Times New Roman"/>
          <w:color w:val="333333"/>
        </w:rPr>
        <w:t>AUPRC and Task Force Delphi process  when AUPRCs were similar included: cardiovascular (Pediatric Logistic Organ Dysfunction-2, PELOD-2, and vasoactive medication count), hematology/coagulation (Disseminated Intravascular Coagulation, DIC score), respirato</w:t>
      </w:r>
      <w:r w:rsidRPr="007D46AC">
        <w:rPr>
          <w:rFonts w:ascii="Times New Roman" w:eastAsia="Times New Roman" w:hAnsi="Times New Roman" w:cs="Times New Roman"/>
          <w:color w:val="333333"/>
        </w:rPr>
        <w:t>ry (pediatric Sequential Organ Failure Assessment, pSOFA), renal (pSOFA), hepatic (IPSCC), neurological (PELOD-2), immunologic (Pediatric Organ Dysfunction Information Mandate, PODIUM), and endocrine dysfunction (PODIUM), as shown in eFigure 4.</w:t>
      </w:r>
    </w:p>
    <w:p w14:paraId="000000B1"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 xml:space="preserve">Derivation </w:t>
      </w:r>
      <w:r w:rsidRPr="007D46AC">
        <w:rPr>
          <w:rFonts w:ascii="Times New Roman" w:eastAsia="Times New Roman" w:hAnsi="Times New Roman" w:cs="Times New Roman"/>
          <w:b/>
          <w:color w:val="333333"/>
        </w:rPr>
        <w:t>and Validation of the Stacked Models</w:t>
      </w:r>
    </w:p>
    <w:p w14:paraId="000000B2" w14:textId="60C16E15" w:rsidR="00DF71A5" w:rsidRPr="007D46AC" w:rsidRDefault="00197EEA">
      <w:pPr>
        <w:spacing w:line="480" w:lineRule="auto"/>
        <w:ind w:right="600"/>
        <w:rPr>
          <w:rFonts w:ascii="Times New Roman" w:eastAsia="Times New Roman" w:hAnsi="Times New Roman" w:cs="Times New Roman"/>
          <w:color w:val="333333"/>
        </w:rPr>
      </w:pPr>
      <w:r w:rsidRPr="007D46AC">
        <w:rPr>
          <w:rFonts w:ascii="Times New Roman" w:eastAsia="Times New Roman" w:hAnsi="Times New Roman" w:cs="Times New Roman"/>
          <w:color w:val="333333"/>
        </w:rPr>
        <w:t>The best-performing stacked models included an 8-organ system ridge regression model and a 4-organ system LASSO model (eTable 6, eFigure 6). Overall, AUPRCs and AUROCs were similar between these 2 models (eFigure 7). Th</w:t>
      </w:r>
      <w:r w:rsidRPr="007D46AC">
        <w:rPr>
          <w:rFonts w:ascii="Times New Roman" w:eastAsia="Times New Roman" w:hAnsi="Times New Roman" w:cs="Times New Roman"/>
          <w:color w:val="333333"/>
        </w:rPr>
        <w:t>e Task Force evaluated the two models and chose to advance the 4-organ system model because it had similar performance, but greater simplicity and lower dependence on laboratory measures. (</w:t>
      </w:r>
      <w:r w:rsidRPr="007D46AC">
        <w:rPr>
          <w:rFonts w:ascii="Times New Roman" w:eastAsia="Times New Roman" w:hAnsi="Times New Roman" w:cs="Times New Roman"/>
          <w:color w:val="333333"/>
          <w:highlight w:val="yellow"/>
        </w:rPr>
        <w:t>REF Consensus Criteria paper</w:t>
      </w:r>
      <w:r w:rsidRPr="007D46AC">
        <w:rPr>
          <w:rFonts w:ascii="Times New Roman" w:eastAsia="Times New Roman" w:hAnsi="Times New Roman" w:cs="Times New Roman"/>
          <w:color w:val="333333"/>
        </w:rPr>
        <w:t>). The Task Force acknowledged that the</w:t>
      </w:r>
      <w:r w:rsidRPr="007D46AC">
        <w:rPr>
          <w:rFonts w:ascii="Times New Roman" w:eastAsia="Times New Roman" w:hAnsi="Times New Roman" w:cs="Times New Roman"/>
          <w:color w:val="333333"/>
        </w:rPr>
        <w:t xml:space="preserve"> more comprehensive 8-organ system model may have utility in some circumstances (e.g., research). The 4-organ system model included criteria for respiratory (mechanical ventilation, PaO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/FiO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 and SpO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/FiO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 xml:space="preserve"> ratios), cardiovascular (mean arterial pressure, lactate level, and vasoactive medications), coagulation (platelet count, INR, D-dimer, and fibrinogen), and neurologic dysfunction (Glasgow coma scale and pupillary reaction).</w:t>
      </w:r>
    </w:p>
    <w:p w14:paraId="000000B3" w14:textId="77777777" w:rsidR="00DF71A5" w:rsidRPr="007D46AC" w:rsidRDefault="00DF71A5">
      <w:pPr>
        <w:spacing w:line="480" w:lineRule="auto"/>
        <w:ind w:right="600"/>
        <w:rPr>
          <w:rFonts w:ascii="Times New Roman" w:eastAsia="Times New Roman" w:hAnsi="Times New Roman" w:cs="Times New Roman"/>
          <w:color w:val="333333"/>
        </w:rPr>
      </w:pPr>
    </w:p>
    <w:p w14:paraId="000000B4" w14:textId="77777777" w:rsidR="00DF71A5" w:rsidRPr="007D46AC" w:rsidRDefault="00197EEA">
      <w:pPr>
        <w:spacing w:line="480" w:lineRule="auto"/>
        <w:rPr>
          <w:rFonts w:ascii="Times New Roman" w:eastAsia="Times New Roman" w:hAnsi="Times New Roman" w:cs="Times New Roman"/>
          <w:color w:val="333333"/>
          <w:sz w:val="24"/>
          <w:szCs w:val="24"/>
        </w:rPr>
      </w:pPr>
      <w:r w:rsidRPr="007D46AC">
        <w:rPr>
          <w:rFonts w:ascii="Times New Roman" w:eastAsia="Times New Roman" w:hAnsi="Times New Roman" w:cs="Times New Roman"/>
          <w:b/>
          <w:color w:val="333333"/>
        </w:rPr>
        <w:t>From the Stacked Model to the</w:t>
      </w:r>
      <w:r w:rsidRPr="007D46AC">
        <w:rPr>
          <w:rFonts w:ascii="Times New Roman" w:eastAsia="Times New Roman" w:hAnsi="Times New Roman" w:cs="Times New Roman"/>
          <w:b/>
          <w:color w:val="333333"/>
        </w:rPr>
        <w:t xml:space="preserve"> Phoenix Sepsis Score </w:t>
      </w:r>
    </w:p>
    <w:p w14:paraId="000000B5" w14:textId="134F78B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sz w:val="24"/>
          <w:szCs w:val="24"/>
        </w:rPr>
        <w:t>T</w:t>
      </w:r>
      <w:r w:rsidRPr="007D46AC">
        <w:rPr>
          <w:rFonts w:ascii="Times New Roman" w:eastAsia="Times New Roman" w:hAnsi="Times New Roman" w:cs="Times New Roman"/>
          <w:color w:val="333333"/>
        </w:rPr>
        <w:t>he 4-organ system model was translated into an integer-based score, the Phoenix Sepsis Score (Table 2). In doing so, the individual levels were re-weighted using a grid search and collapsed into a single level when performance was u</w:t>
      </w:r>
      <w:r w:rsidRPr="007D46AC">
        <w:rPr>
          <w:rFonts w:ascii="Times New Roman" w:eastAsia="Times New Roman" w:hAnsi="Times New Roman" w:cs="Times New Roman"/>
          <w:color w:val="333333"/>
        </w:rPr>
        <w:t>naffected (e.g., the pSOFA respiratory subscores of 1 and 2 points were collapsed into a single level). Mortality increased with higher score values in both higher and lower resource settings (Figure 1A and 1B and eFigure 5). The Phoenix Sepsis Score had A</w:t>
      </w:r>
      <w:r w:rsidRPr="007D46AC">
        <w:rPr>
          <w:rFonts w:ascii="Times New Roman" w:eastAsia="Times New Roman" w:hAnsi="Times New Roman" w:cs="Times New Roman"/>
          <w:color w:val="333333"/>
        </w:rPr>
        <w:t xml:space="preserve">UPRCs of 0.23-0.38 (95% CIs range 0.20-0.39) and AUROCs of 0.71-0.92 (95% CIs range 0.70-0.92) to predict mortality  in the internal and external validation sets, similar to the stacked sepsis model (Figure 2, eFigures 6-8). Compared to the existing IPSCC </w:t>
      </w:r>
      <w:r w:rsidRPr="007D46AC">
        <w:rPr>
          <w:rFonts w:ascii="Times New Roman" w:eastAsia="Times New Roman" w:hAnsi="Times New Roman" w:cs="Times New Roman"/>
          <w:color w:val="333333"/>
        </w:rPr>
        <w:t>sepsis score as well as several organ dysfunction scores, the Phoenix Sepsis Score had the highest AUPRC to predict mortality at all validation sites combined, at all higher resource sites, and at three of the four lower resource sites (Figure 2). A notabl</w:t>
      </w:r>
      <w:r w:rsidRPr="007D46AC">
        <w:rPr>
          <w:rFonts w:ascii="Times New Roman" w:eastAsia="Times New Roman" w:hAnsi="Times New Roman" w:cs="Times New Roman"/>
          <w:color w:val="333333"/>
        </w:rPr>
        <w:t>e limitation is that lower resource sites 2-4 did not record respiratory support, even when the patient received it, which limited the range of the score and likely resulted in lower performance at those sites. Additionally, lower resource site 2 had no re</w:t>
      </w:r>
      <w:r w:rsidRPr="007D46AC">
        <w:rPr>
          <w:rFonts w:ascii="Times New Roman" w:eastAsia="Times New Roman" w:hAnsi="Times New Roman" w:cs="Times New Roman"/>
          <w:color w:val="333333"/>
        </w:rPr>
        <w:t>cording of neurologic status, further limiting score range and performance at that site. However, the score at lower resource site 1 included data for all 4 organ systems. To enable capture of other organ dysfunctions for research or epidemiological purpos</w:t>
      </w:r>
      <w:r w:rsidRPr="007D46AC">
        <w:rPr>
          <w:rFonts w:ascii="Times New Roman" w:eastAsia="Times New Roman" w:hAnsi="Times New Roman" w:cs="Times New Roman"/>
          <w:color w:val="333333"/>
        </w:rPr>
        <w:t>es, an expanded score based on the 8-organ system model was also developed and named the `Phoenix-8’ score (eFigure 9).</w:t>
      </w:r>
    </w:p>
    <w:p w14:paraId="000000B6" w14:textId="77777777" w:rsidR="00DF71A5" w:rsidRPr="007D46AC" w:rsidRDefault="00DF71A5">
      <w:pPr>
        <w:spacing w:line="480" w:lineRule="auto"/>
        <w:rPr>
          <w:rFonts w:ascii="Times New Roman" w:eastAsia="Times New Roman" w:hAnsi="Times New Roman" w:cs="Times New Roman"/>
          <w:color w:val="333333"/>
        </w:rPr>
      </w:pPr>
    </w:p>
    <w:p w14:paraId="000000B7" w14:textId="7777777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b/>
          <w:color w:val="333333"/>
        </w:rPr>
        <w:t>From the Phoenix Sepsis Score to the Criteria for Pediatric Sepsis and Septic Shock</w:t>
      </w:r>
    </w:p>
    <w:p w14:paraId="000000B8" w14:textId="4251C04A"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Gungsuh" w:hAnsi="Times New Roman" w:cs="Times New Roman"/>
          <w:color w:val="333333"/>
        </w:rPr>
        <w:t>The Task Force chose a Phoenix Sepsis Score ≥2 in p</w:t>
      </w:r>
      <w:r w:rsidRPr="007D46AC">
        <w:rPr>
          <w:rFonts w:ascii="Times New Roman" w:eastAsia="Gungsuh" w:hAnsi="Times New Roman" w:cs="Times New Roman"/>
          <w:color w:val="333333"/>
        </w:rPr>
        <w:t xml:space="preserve">atients with suspected infection as the new sepsis criteria, and sepsis with ≥1 cardiovascular point as criteria for septic shock. In the development set, children with sepsis in the first 24 hours had 7.1% mortality at the higher resource sites and 28.5% </w:t>
      </w:r>
      <w:r w:rsidRPr="007D46AC">
        <w:rPr>
          <w:rFonts w:ascii="Times New Roman" w:eastAsia="Gungsuh" w:hAnsi="Times New Roman" w:cs="Times New Roman"/>
          <w:color w:val="333333"/>
        </w:rPr>
        <w:t>mortality at the lower resource sites. Children with sepsis in both higher and lower resource settings had a median Phoenix Sepsis Score of 3 points (interquartile range 2-4). Children with septic shock in the first 24 hours had 10.8% mortality at the high</w:t>
      </w:r>
      <w:r w:rsidRPr="007D46AC">
        <w:rPr>
          <w:rFonts w:ascii="Times New Roman" w:eastAsia="Gungsuh" w:hAnsi="Times New Roman" w:cs="Times New Roman"/>
          <w:color w:val="333333"/>
        </w:rPr>
        <w:t>er resource sites and 33.5% mortality at the lower resource sites. The novel criteria had higher PPV and comparable or higher sensitivity than the IPSCC sepsis, severe sepsis, and septic shock criteria across all settings and using the secondary outcome of</w:t>
      </w:r>
      <w:r w:rsidRPr="007D46AC">
        <w:rPr>
          <w:rFonts w:ascii="Times New Roman" w:eastAsia="Gungsuh" w:hAnsi="Times New Roman" w:cs="Times New Roman"/>
          <w:color w:val="333333"/>
        </w:rPr>
        <w:t xml:space="preserve"> early death or ECMO (Figure 3, eFigure 10, and eTable 7). For example, for the primary outcome of death in the </w:t>
      </w:r>
      <w:r w:rsidRPr="007D46AC">
        <w:rPr>
          <w:rFonts w:ascii="Times New Roman" w:eastAsia="Times New Roman" w:hAnsi="Times New Roman" w:cs="Times New Roman"/>
          <w:color w:val="333333"/>
        </w:rPr>
        <w:t>higher resource sites, the Phoenix sepsis criteria had a PPV of 5.3% to 7.1% (with a baseline mortality of 0.6 to 0.7%) and a sensitivity of 69.</w:t>
      </w:r>
      <w:r w:rsidRPr="007D46AC">
        <w:rPr>
          <w:rFonts w:ascii="Times New Roman" w:eastAsia="Times New Roman" w:hAnsi="Times New Roman" w:cs="Times New Roman"/>
          <w:color w:val="333333"/>
        </w:rPr>
        <w:t>2% to 84.4% compared to the IPSCC severe sepsis criteria, which had a PPV of 3.6% to 4.8% and a sensitivity of 58.7% to 70.7%, in the development and external validation sets, respectively. In the derivation and internal validation set of lower resource si</w:t>
      </w:r>
      <w:r w:rsidRPr="007D46AC">
        <w:rPr>
          <w:rFonts w:ascii="Times New Roman" w:eastAsia="Times New Roman" w:hAnsi="Times New Roman" w:cs="Times New Roman"/>
          <w:color w:val="333333"/>
        </w:rPr>
        <w:t>te 1, which had complete data for assessment of the criteria, the Phoenix sepsis criteria had a PPV of 22.2% (baseline mortality rate of 4.1%) and a sensitivity of 81.2% compared to the IPSCC severe sepsis criteria, which had a PPV of 12.7% and a sensitivi</w:t>
      </w:r>
      <w:r w:rsidRPr="007D46AC">
        <w:rPr>
          <w:rFonts w:ascii="Times New Roman" w:eastAsia="Times New Roman" w:hAnsi="Times New Roman" w:cs="Times New Roman"/>
          <w:color w:val="333333"/>
        </w:rPr>
        <w:t>ty of 49.2%.</w:t>
      </w:r>
    </w:p>
    <w:p w14:paraId="000000B9" w14:textId="77777777" w:rsidR="00DF71A5" w:rsidRPr="007D46AC" w:rsidRDefault="00DF71A5">
      <w:pPr>
        <w:spacing w:line="480" w:lineRule="auto"/>
        <w:rPr>
          <w:rFonts w:ascii="Times New Roman" w:eastAsia="Times New Roman" w:hAnsi="Times New Roman" w:cs="Times New Roman"/>
          <w:color w:val="333333"/>
        </w:rPr>
      </w:pPr>
    </w:p>
    <w:p w14:paraId="000000BA" w14:textId="554AAD0D"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Per request of the Task Force, the concept of “organ dysfunction remote to the site of infection” was implemented</w:t>
      </w:r>
      <w:r w:rsidRPr="007D46AC">
        <w:rPr>
          <w:rFonts w:ascii="Times New Roman" w:eastAsia="Gungsuh" w:hAnsi="Times New Roman" w:cs="Times New Roman"/>
          <w:color w:val="333333"/>
        </w:rPr>
        <w:t xml:space="preserve"> by requiring that those with respiratory or neurologic dysfunction also had ≥1 point in a different organ system. Patients with </w:t>
      </w:r>
      <w:r w:rsidRPr="007D46AC">
        <w:rPr>
          <w:rFonts w:ascii="Times New Roman" w:eastAsia="Gungsuh" w:hAnsi="Times New Roman" w:cs="Times New Roman"/>
          <w:color w:val="333333"/>
        </w:rPr>
        <w:t xml:space="preserve">sepsis who had remote organ dysfunction accounted for 85.2% of sepsis cases and had higher mortality than the whole sepsis cohort: 8% in the higher resource sites and 32.3% in lower resource sites (eFigure 11). </w:t>
      </w:r>
    </w:p>
    <w:p w14:paraId="000000BB" w14:textId="77777777" w:rsidR="00DF71A5" w:rsidRPr="007D46AC" w:rsidRDefault="00DF71A5">
      <w:pPr>
        <w:spacing w:line="480" w:lineRule="auto"/>
        <w:rPr>
          <w:rFonts w:ascii="Times New Roman" w:eastAsia="Times New Roman" w:hAnsi="Times New Roman" w:cs="Times New Roman"/>
          <w:color w:val="333333"/>
        </w:rPr>
      </w:pPr>
    </w:p>
    <w:p w14:paraId="000000BC" w14:textId="77777777" w:rsidR="00DF71A5" w:rsidRPr="007D46AC" w:rsidRDefault="00197EEA">
      <w:pPr>
        <w:spacing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Sensitivity Analyses</w:t>
      </w:r>
    </w:p>
    <w:p w14:paraId="000000BD" w14:textId="4D7E9E7C"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Performance of the ped</w:t>
      </w:r>
      <w:r w:rsidRPr="007D46AC">
        <w:rPr>
          <w:rFonts w:ascii="Times New Roman" w:eastAsia="Times New Roman" w:hAnsi="Times New Roman" w:cs="Times New Roman"/>
          <w:color w:val="333333"/>
        </w:rPr>
        <w:t>iatric sepsis criteria was consistent across age groups, with higher sepsis incidence and mortality in younger age groups, as expected (eTable 8). Similarly, the performance was consistent in patients with no known prior comorbidities, those admitted to th</w:t>
      </w:r>
      <w:r w:rsidRPr="007D46AC">
        <w:rPr>
          <w:rFonts w:ascii="Times New Roman" w:eastAsia="Times New Roman" w:hAnsi="Times New Roman" w:cs="Times New Roman"/>
          <w:color w:val="333333"/>
        </w:rPr>
        <w:t xml:space="preserve">e ICU, and after excluding patients who underwent surgery (eTable 8). </w:t>
      </w:r>
    </w:p>
    <w:p w14:paraId="000000BE" w14:textId="77777777" w:rsidR="00DF71A5" w:rsidRPr="007D46AC" w:rsidRDefault="00DF71A5">
      <w:pPr>
        <w:spacing w:line="480" w:lineRule="auto"/>
        <w:rPr>
          <w:rFonts w:ascii="Times New Roman" w:eastAsia="Times New Roman" w:hAnsi="Times New Roman" w:cs="Times New Roman"/>
          <w:color w:val="333333"/>
        </w:rPr>
      </w:pPr>
    </w:p>
    <w:p w14:paraId="000000BF" w14:textId="7777777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Clinical vignettes for children presenting with sepsis and septic shock and their corresponding Phoenix Sepsis Scores are provided in the eAppendix.</w:t>
      </w:r>
    </w:p>
    <w:p w14:paraId="000000C0" w14:textId="77777777" w:rsidR="00DF71A5" w:rsidRPr="007D46AC" w:rsidRDefault="00DF71A5">
      <w:pPr>
        <w:spacing w:line="480" w:lineRule="auto"/>
        <w:ind w:right="600"/>
        <w:rPr>
          <w:rFonts w:ascii="Times New Roman" w:eastAsia="Times New Roman" w:hAnsi="Times New Roman" w:cs="Times New Roman"/>
          <w:b/>
          <w:color w:val="333333"/>
        </w:rPr>
      </w:pPr>
    </w:p>
    <w:p w14:paraId="000000C1"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DISCUSSION</w:t>
      </w:r>
    </w:p>
    <w:p w14:paraId="000000C2" w14:textId="77777777" w:rsidR="00DF71A5" w:rsidRPr="007D46AC" w:rsidRDefault="00DF71A5">
      <w:pPr>
        <w:spacing w:line="480" w:lineRule="auto"/>
        <w:rPr>
          <w:rFonts w:ascii="Times New Roman" w:eastAsia="Times New Roman" w:hAnsi="Times New Roman" w:cs="Times New Roman"/>
          <w:color w:val="333333"/>
        </w:rPr>
      </w:pPr>
    </w:p>
    <w:p w14:paraId="000000C3" w14:textId="0519AA5A"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 xml:space="preserve">New criteria for pediatric sepsis and septic shock were derived and validated by developing and curating a clinical database with &gt;3.6 million pediatric hospital encounters at 10 sites in 5 countries. The development dataset was built using structured EHR </w:t>
      </w:r>
      <w:r w:rsidRPr="007D46AC">
        <w:rPr>
          <w:rFonts w:ascii="Times New Roman" w:eastAsia="Times New Roman" w:hAnsi="Times New Roman" w:cs="Times New Roman"/>
          <w:color w:val="333333"/>
        </w:rPr>
        <w:t>data from an international cohort that was geographically and racially diverse and had widely varying resources, a major strength of this study. A pre-specified data-driven approach was used to determine the best-performing organ dysfunction measures in ch</w:t>
      </w:r>
      <w:r w:rsidRPr="007D46AC">
        <w:rPr>
          <w:rFonts w:ascii="Times New Roman" w:eastAsia="Times New Roman" w:hAnsi="Times New Roman" w:cs="Times New Roman"/>
          <w:color w:val="333333"/>
        </w:rPr>
        <w:t>ildren with suspected infection. An interpretable machine learning approach was used to develop a composite model that was the basis for the new Phoenix Sepsis Score and the new criteria. The new Phoenix criteria for pediatric sepsis and septic shock had h</w:t>
      </w:r>
      <w:r w:rsidRPr="007D46AC">
        <w:rPr>
          <w:rFonts w:ascii="Times New Roman" w:eastAsia="Times New Roman" w:hAnsi="Times New Roman" w:cs="Times New Roman"/>
          <w:color w:val="333333"/>
        </w:rPr>
        <w:t>igher PPV and comparable to or higher sensitivity than the IPSCC criteria for predicting mortality across differently resourced settings. These findings were consistent in multiple sensitivity analyses that included age, absence of prior comorbidities, ICU</w:t>
      </w:r>
      <w:r w:rsidRPr="007D46AC">
        <w:rPr>
          <w:rFonts w:ascii="Times New Roman" w:eastAsia="Times New Roman" w:hAnsi="Times New Roman" w:cs="Times New Roman"/>
          <w:color w:val="333333"/>
        </w:rPr>
        <w:t xml:space="preserve"> admission, and surgery.</w:t>
      </w:r>
    </w:p>
    <w:p w14:paraId="000000C4" w14:textId="77777777" w:rsidR="00DF71A5" w:rsidRPr="007D46AC" w:rsidRDefault="00DF71A5">
      <w:pPr>
        <w:spacing w:line="480" w:lineRule="auto"/>
        <w:rPr>
          <w:rFonts w:ascii="Times New Roman" w:eastAsia="Times New Roman" w:hAnsi="Times New Roman" w:cs="Times New Roman"/>
          <w:color w:val="333333"/>
        </w:rPr>
      </w:pPr>
    </w:p>
    <w:p w14:paraId="000000C5" w14:textId="77777777" w:rsidR="00DF71A5" w:rsidRPr="007D46AC" w:rsidRDefault="00DF71A5">
      <w:pPr>
        <w:spacing w:line="480" w:lineRule="auto"/>
        <w:rPr>
          <w:rFonts w:ascii="Times New Roman" w:eastAsia="Times New Roman" w:hAnsi="Times New Roman" w:cs="Times New Roman"/>
          <w:color w:val="333333"/>
        </w:rPr>
      </w:pPr>
    </w:p>
    <w:p w14:paraId="000000C6" w14:textId="44A904AE" w:rsidR="00DF71A5" w:rsidRPr="007D46AC" w:rsidRDefault="00197EEA">
      <w:pPr>
        <w:spacing w:line="480" w:lineRule="auto"/>
        <w:rPr>
          <w:rFonts w:ascii="Times New Roman" w:eastAsia="Times New Roman" w:hAnsi="Times New Roman" w:cs="Times New Roman"/>
          <w:b/>
          <w:color w:val="333333"/>
        </w:rPr>
      </w:pPr>
      <w:r w:rsidRPr="007D46AC">
        <w:rPr>
          <w:rFonts w:ascii="Times New Roman" w:eastAsia="Times New Roman" w:hAnsi="Times New Roman" w:cs="Times New Roman"/>
          <w:color w:val="333333"/>
        </w:rPr>
        <w:t>Comparison</w:t>
      </w:r>
      <w:r w:rsidRPr="007D46AC">
        <w:rPr>
          <w:rFonts w:ascii="Times New Roman" w:eastAsia="Times New Roman" w:hAnsi="Times New Roman" w:cs="Times New Roman"/>
          <w:b/>
          <w:color w:val="333333"/>
        </w:rPr>
        <w:t xml:space="preserve"> with the adult Sepsis-3 criteria</w:t>
      </w:r>
    </w:p>
    <w:p w14:paraId="000000C7" w14:textId="0391B88C"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The approach used in this study had both similarities with and differences from the derivation of the adult Sepsis-3 criteria.</w:t>
      </w:r>
      <w:hyperlink r:id="rId20">
        <w:r w:rsidRPr="007D46AC">
          <w:rPr>
            <w:rFonts w:ascii="Times New Roman" w:eastAsia="Times New Roman" w:hAnsi="Times New Roman" w:cs="Times New Roman"/>
            <w:color w:val="000000"/>
            <w:vertAlign w:val="superscript"/>
          </w:rPr>
          <w:t>4</w:t>
        </w:r>
      </w:hyperlink>
      <w:r w:rsidRPr="007D46AC">
        <w:rPr>
          <w:rFonts w:ascii="Times New Roman" w:eastAsia="Times New Roman" w:hAnsi="Times New Roman" w:cs="Times New Roman"/>
          <w:color w:val="333333"/>
        </w:rPr>
        <w:t xml:space="preserve"> Similar to Sepsis-3, the definition of sepsis was implemented as the combination of suspected infection with life-threatening organ dysfunction. Also, existing organ dysfunction scores and a large EHR database were used to develop the new criteria and in-</w:t>
      </w:r>
      <w:r w:rsidRPr="007D46AC">
        <w:rPr>
          <w:rFonts w:ascii="Times New Roman" w:eastAsia="Times New Roman" w:hAnsi="Times New Roman" w:cs="Times New Roman"/>
          <w:color w:val="333333"/>
        </w:rPr>
        <w:t xml:space="preserve">hospital mortality was the primary outcome. However, there were also several important differences. First, instead of using existing complete organ dysfunction scores (e.g., the Sequential Organ Failure Assessment [SOFA] score) to derive the new criteria, </w:t>
      </w:r>
      <w:r w:rsidRPr="007D46AC">
        <w:rPr>
          <w:rFonts w:ascii="Times New Roman" w:eastAsia="Times New Roman" w:hAnsi="Times New Roman" w:cs="Times New Roman"/>
          <w:color w:val="333333"/>
        </w:rPr>
        <w:t>the best-performing individual organ measures of existing scores were used to develop a novel composite score using stacked regression. Additionally, a database was built that included a geographically and demographically diverse population of children fro</w:t>
      </w:r>
      <w:r w:rsidRPr="007D46AC">
        <w:rPr>
          <w:rFonts w:ascii="Times New Roman" w:eastAsia="Times New Roman" w:hAnsi="Times New Roman" w:cs="Times New Roman"/>
          <w:color w:val="333333"/>
        </w:rPr>
        <w:t xml:space="preserve">m both higher and lower resource settings to maximize generalizability. Furthermore, the performance of the individual organ dysfunction measures, the stacked models, and the Phoenix Sepsis Score was primarily evaluated using AUPRC, instead of AUROC, with </w:t>
      </w:r>
      <w:r w:rsidRPr="007D46AC">
        <w:rPr>
          <w:rFonts w:ascii="Times New Roman" w:eastAsia="Times New Roman" w:hAnsi="Times New Roman" w:cs="Times New Roman"/>
          <w:color w:val="333333"/>
        </w:rPr>
        <w:t>the goal of maximizing the PPV and sensitivity of the final criteria. AUPRC is considered a better measure of classification performance for rare events (in this case, deaths) when compared to AUROC, which can have inflated performance when the proportions</w:t>
      </w:r>
      <w:r w:rsidRPr="007D46AC">
        <w:rPr>
          <w:rFonts w:ascii="Times New Roman" w:eastAsia="Times New Roman" w:hAnsi="Times New Roman" w:cs="Times New Roman"/>
          <w:color w:val="333333"/>
        </w:rPr>
        <w:t xml:space="preserve"> of events (deaths) and non-event (survivors) are imbalanced,</w:t>
      </w:r>
      <w:hyperlink r:id="rId21">
        <w:r w:rsidRPr="007D46AC">
          <w:rPr>
            <w:rFonts w:ascii="Times New Roman" w:eastAsia="Times New Roman" w:hAnsi="Times New Roman" w:cs="Times New Roman"/>
            <w:color w:val="000000"/>
            <w:vertAlign w:val="superscript"/>
          </w:rPr>
          <w:t>10,19</w:t>
        </w:r>
      </w:hyperlink>
      <w:r w:rsidRPr="007D46AC">
        <w:rPr>
          <w:rFonts w:ascii="Times New Roman" w:eastAsia="Times New Roman" w:hAnsi="Times New Roman" w:cs="Times New Roman"/>
          <w:color w:val="333333"/>
        </w:rPr>
        <w:t xml:space="preserve"> an issue that is particularly relevant in children with infections given their lower mortality compared to adults. Finally, thi</w:t>
      </w:r>
      <w:r w:rsidRPr="007D46AC">
        <w:rPr>
          <w:rFonts w:ascii="Times New Roman" w:eastAsia="Times New Roman" w:hAnsi="Times New Roman" w:cs="Times New Roman"/>
          <w:color w:val="333333"/>
        </w:rPr>
        <w:t>s analysis focused on diagnosis of sepsis within the first 24 hours of presentation to a hospital setting, when the majority of pediatric sepsis is diagnosed.</w:t>
      </w:r>
      <w:hyperlink r:id="rId22">
        <w:r w:rsidRPr="007D46AC">
          <w:rPr>
            <w:rFonts w:ascii="Times New Roman" w:eastAsia="Times New Roman" w:hAnsi="Times New Roman" w:cs="Times New Roman"/>
            <w:color w:val="000000"/>
            <w:vertAlign w:val="superscript"/>
          </w:rPr>
          <w:t>20</w:t>
        </w:r>
      </w:hyperlink>
      <w:r w:rsidRPr="007D46AC">
        <w:rPr>
          <w:rFonts w:ascii="Times New Roman" w:eastAsia="Times New Roman" w:hAnsi="Times New Roman" w:cs="Times New Roman"/>
          <w:color w:val="333333"/>
        </w:rPr>
        <w:t xml:space="preserve"> </w:t>
      </w:r>
    </w:p>
    <w:p w14:paraId="000000C8" w14:textId="77777777" w:rsidR="00DF71A5" w:rsidRPr="007D46AC" w:rsidRDefault="00DF71A5">
      <w:pPr>
        <w:spacing w:line="480" w:lineRule="auto"/>
        <w:rPr>
          <w:rFonts w:ascii="Times New Roman" w:eastAsia="Times New Roman" w:hAnsi="Times New Roman" w:cs="Times New Roman"/>
          <w:color w:val="333333"/>
        </w:rPr>
      </w:pPr>
    </w:p>
    <w:p w14:paraId="000000C9" w14:textId="46F7D4B1" w:rsidR="00DF71A5" w:rsidRPr="007D46AC" w:rsidRDefault="00197EEA">
      <w:pPr>
        <w:spacing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Leveraging digital technology to deve</w:t>
      </w:r>
      <w:r w:rsidRPr="007D46AC">
        <w:rPr>
          <w:rFonts w:ascii="Times New Roman" w:eastAsia="Times New Roman" w:hAnsi="Times New Roman" w:cs="Times New Roman"/>
          <w:b/>
          <w:color w:val="333333"/>
        </w:rPr>
        <w:t xml:space="preserve">lop and implement the Phoenix Sepsis Score </w:t>
      </w:r>
    </w:p>
    <w:p w14:paraId="000000CA" w14:textId="2FB8DDEB"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This approach to the development of the Phoenix Sepsis Score and the criteria for sepsis and septic shock is a reflection of the growing digitization of healthcare around the world.</w:t>
      </w:r>
      <w:hyperlink r:id="rId23">
        <w:r w:rsidRPr="007D46AC">
          <w:rPr>
            <w:rFonts w:ascii="Times New Roman" w:eastAsia="Times New Roman" w:hAnsi="Times New Roman" w:cs="Times New Roman"/>
            <w:color w:val="000000"/>
            <w:vertAlign w:val="superscript"/>
          </w:rPr>
          <w:t>21</w:t>
        </w:r>
      </w:hyperlink>
      <w:r w:rsidRPr="007D46AC">
        <w:rPr>
          <w:rFonts w:ascii="Times New Roman" w:eastAsia="Times New Roman" w:hAnsi="Times New Roman" w:cs="Times New Roman"/>
          <w:color w:val="333333"/>
        </w:rPr>
        <w:t xml:space="preserve"> Most of the vital signs, laboratory tests, and interventions that are included in the Phoenix Sepsis Score are routinely collected in most lower resource settings and nearly all higher resource settings, according to the interna</w:t>
      </w:r>
      <w:r w:rsidRPr="007D46AC">
        <w:rPr>
          <w:rFonts w:ascii="Times New Roman" w:eastAsia="Times New Roman" w:hAnsi="Times New Roman" w:cs="Times New Roman"/>
          <w:color w:val="333333"/>
        </w:rPr>
        <w:t>tional survey conducted by the Pediatric Sepsis Definition Task Force.</w:t>
      </w:r>
      <w:hyperlink r:id="rId24">
        <w:r w:rsidRPr="007D46AC">
          <w:rPr>
            <w:rFonts w:ascii="Times New Roman" w:eastAsia="Times New Roman" w:hAnsi="Times New Roman" w:cs="Times New Roman"/>
            <w:color w:val="000000"/>
            <w:vertAlign w:val="superscript"/>
          </w:rPr>
          <w:t>22</w:t>
        </w:r>
      </w:hyperlink>
      <w:r w:rsidRPr="007D46AC">
        <w:rPr>
          <w:rFonts w:ascii="Times New Roman" w:eastAsia="Times New Roman" w:hAnsi="Times New Roman" w:cs="Times New Roman"/>
          <w:color w:val="333333"/>
        </w:rPr>
        <w:t xml:space="preserve"> Even in settings where not all variables are available, the Phoenix Sepsis Score was designed to accurately identify children w</w:t>
      </w:r>
      <w:r w:rsidRPr="007D46AC">
        <w:rPr>
          <w:rFonts w:ascii="Times New Roman" w:eastAsia="Times New Roman" w:hAnsi="Times New Roman" w:cs="Times New Roman"/>
          <w:color w:val="333333"/>
        </w:rPr>
        <w:t>ith sepsis. The Score functions when not all variables are available because of its redundancy</w:t>
      </w:r>
      <w:r w:rsidR="007F51D9">
        <w:rPr>
          <w:rFonts w:ascii="Times New Roman" w:eastAsia="Times New Roman" w:hAnsi="Times New Roman" w:cs="Times New Roman"/>
          <w:color w:val="333333"/>
        </w:rPr>
        <w:t>. Because</w:t>
      </w:r>
      <w:r w:rsidRPr="007D46AC">
        <w:rPr>
          <w:rFonts w:ascii="Times New Roman" w:eastAsia="Times New Roman" w:hAnsi="Times New Roman" w:cs="Times New Roman"/>
          <w:color w:val="333333"/>
        </w:rPr>
        <w:t xml:space="preserve"> the score has a possible range of 0 to 13 points, there </w:t>
      </w:r>
      <w:r w:rsidR="007F51D9">
        <w:rPr>
          <w:rFonts w:ascii="Times New Roman" w:eastAsia="Times New Roman" w:hAnsi="Times New Roman" w:cs="Times New Roman"/>
          <w:color w:val="333333"/>
        </w:rPr>
        <w:t xml:space="preserve">are several ways </w:t>
      </w:r>
      <w:r w:rsidRPr="007D46AC">
        <w:rPr>
          <w:rFonts w:ascii="Times New Roman" w:eastAsia="Times New Roman" w:hAnsi="Times New Roman" w:cs="Times New Roman"/>
          <w:color w:val="333333"/>
        </w:rPr>
        <w:t xml:space="preserve">to achieve the threshold of 2 points for sepsis diagnosis, as evidenced by the </w:t>
      </w:r>
      <w:r w:rsidRPr="007D46AC">
        <w:rPr>
          <w:rFonts w:ascii="Times New Roman" w:eastAsia="Times New Roman" w:hAnsi="Times New Roman" w:cs="Times New Roman"/>
          <w:color w:val="333333"/>
        </w:rPr>
        <w:t>fact that patients with sepsis in both higher and lower resourced settings had a median Phoenix Sepsis Score of 3 points. This feature was primarily assessed in the datasets from lower resource settings. For example, although platelets were commonly measur</w:t>
      </w:r>
      <w:r w:rsidRPr="007D46AC">
        <w:rPr>
          <w:rFonts w:ascii="Times New Roman" w:eastAsia="Times New Roman" w:hAnsi="Times New Roman" w:cs="Times New Roman"/>
          <w:color w:val="333333"/>
        </w:rPr>
        <w:t>ed at most sites, coagulation tests (e.g., D-Dimer and fibrinogen) were less frequently available. At lower resource site 1, where platelet count was routinely measured but coagulation factors such as D-Dimer and fibrinogen were not, the Phoenix Sepsis Sco</w:t>
      </w:r>
      <w:r w:rsidRPr="007D46AC">
        <w:rPr>
          <w:rFonts w:ascii="Times New Roman" w:eastAsia="Times New Roman" w:hAnsi="Times New Roman" w:cs="Times New Roman"/>
          <w:color w:val="333333"/>
        </w:rPr>
        <w:t>re had excellent performance and the Phoenix sepsis criteria had higher sensitivity and PPV than the IPSCC sepsis and severe sepsis criteria. This makes the score and criteria readily translatable into EHR and other digital tools, such as web-based and mob</w:t>
      </w:r>
      <w:r w:rsidRPr="007D46AC">
        <w:rPr>
          <w:rFonts w:ascii="Times New Roman" w:eastAsia="Times New Roman" w:hAnsi="Times New Roman" w:cs="Times New Roman"/>
          <w:color w:val="333333"/>
        </w:rPr>
        <w:t>ile applications across differently resourced settings, even when some of the variables are not routinely collected.</w:t>
      </w:r>
      <w:hyperlink r:id="rId25">
        <w:r w:rsidRPr="007D46AC">
          <w:rPr>
            <w:rFonts w:ascii="Times New Roman" w:eastAsia="Times New Roman" w:hAnsi="Times New Roman" w:cs="Times New Roman"/>
            <w:color w:val="000000"/>
            <w:vertAlign w:val="superscript"/>
          </w:rPr>
          <w:t>23</w:t>
        </w:r>
      </w:hyperlink>
      <w:r w:rsidRPr="007D46AC">
        <w:rPr>
          <w:rFonts w:ascii="Times New Roman" w:eastAsia="Times New Roman" w:hAnsi="Times New Roman" w:cs="Times New Roman"/>
          <w:color w:val="333333"/>
        </w:rPr>
        <w:t xml:space="preserve"> Furthermore, digital implementation of the Phoenix Sepsis Score can enable longit</w:t>
      </w:r>
      <w:r w:rsidRPr="007D46AC">
        <w:rPr>
          <w:rFonts w:ascii="Times New Roman" w:eastAsia="Times New Roman" w:hAnsi="Times New Roman" w:cs="Times New Roman"/>
          <w:color w:val="333333"/>
        </w:rPr>
        <w:t>udinal monitoring and provide clinicians and researchers with a tool to stratify severity of sepsis.</w:t>
      </w:r>
    </w:p>
    <w:p w14:paraId="000000CB" w14:textId="77777777" w:rsidR="00DF71A5" w:rsidRPr="007D46AC" w:rsidRDefault="00DF71A5">
      <w:pPr>
        <w:spacing w:line="480" w:lineRule="auto"/>
        <w:rPr>
          <w:rFonts w:ascii="Times New Roman" w:eastAsia="Times New Roman" w:hAnsi="Times New Roman" w:cs="Times New Roman"/>
          <w:color w:val="333333"/>
        </w:rPr>
      </w:pPr>
    </w:p>
    <w:p w14:paraId="000000CC" w14:textId="7777777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Additional considerations for the implementation and use of the Phoenix Sepsis Score and the novel criteria are discussed in the Special Communication art</w:t>
      </w:r>
      <w:r w:rsidRPr="007D46AC">
        <w:rPr>
          <w:rFonts w:ascii="Times New Roman" w:eastAsia="Times New Roman" w:hAnsi="Times New Roman" w:cs="Times New Roman"/>
          <w:color w:val="333333"/>
        </w:rPr>
        <w:t>icle in this issue [</w:t>
      </w:r>
      <w:r w:rsidRPr="007D46AC">
        <w:rPr>
          <w:rFonts w:ascii="Times New Roman" w:eastAsia="Times New Roman" w:hAnsi="Times New Roman" w:cs="Times New Roman"/>
          <w:color w:val="333333"/>
          <w:highlight w:val="yellow"/>
        </w:rPr>
        <w:t>Ref Consensus Criteria paper</w:t>
      </w:r>
      <w:r w:rsidRPr="007D46AC">
        <w:rPr>
          <w:rFonts w:ascii="Times New Roman" w:eastAsia="Times New Roman" w:hAnsi="Times New Roman" w:cs="Times New Roman"/>
          <w:color w:val="333333"/>
        </w:rPr>
        <w:t>]</w:t>
      </w:r>
    </w:p>
    <w:p w14:paraId="000000CD" w14:textId="77777777" w:rsidR="00DF71A5" w:rsidRPr="007D46AC" w:rsidRDefault="00DF71A5">
      <w:pPr>
        <w:spacing w:line="480" w:lineRule="auto"/>
        <w:rPr>
          <w:rFonts w:ascii="Times New Roman" w:eastAsia="Times New Roman" w:hAnsi="Times New Roman" w:cs="Times New Roman"/>
          <w:b/>
          <w:color w:val="333333"/>
        </w:rPr>
      </w:pPr>
    </w:p>
    <w:p w14:paraId="000000CE" w14:textId="77777777"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b/>
          <w:color w:val="333333"/>
        </w:rPr>
        <w:t>Limitations</w:t>
      </w:r>
    </w:p>
    <w:p w14:paraId="000000CF" w14:textId="64359E55" w:rsidR="00DF71A5" w:rsidRPr="007D46AC" w:rsidRDefault="00197EEA">
      <w:pPr>
        <w:spacing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This study has several limitations. Retrospective data obtained from EHRs may have missing data and data entry errors. In this study, a robust quality assurance and harmonization process was de</w:t>
      </w:r>
      <w:r w:rsidRPr="007D46AC">
        <w:rPr>
          <w:rFonts w:ascii="Times New Roman" w:eastAsia="Times New Roman" w:hAnsi="Times New Roman" w:cs="Times New Roman"/>
          <w:color w:val="333333"/>
        </w:rPr>
        <w:t>veloped and best practices were used to address outliers and missing data. However, not all errors or missing data can be reconciled. For example, at lower resource site 2 in the development dataset, which represents a lower-middle income country, respirat</w:t>
      </w:r>
      <w:r w:rsidRPr="007D46AC">
        <w:rPr>
          <w:rFonts w:ascii="Times New Roman" w:eastAsia="Times New Roman" w:hAnsi="Times New Roman" w:cs="Times New Roman"/>
          <w:color w:val="333333"/>
        </w:rPr>
        <w:t>ory support (e.g., mechanical ventilation, FiO</w:t>
      </w:r>
      <w:r w:rsidRPr="007D46AC">
        <w:rPr>
          <w:rFonts w:ascii="Times New Roman" w:eastAsia="Times New Roman" w:hAnsi="Times New Roman" w:cs="Times New Roman"/>
          <w:color w:val="333333"/>
          <w:vertAlign w:val="subscript"/>
        </w:rPr>
        <w:t>2</w:t>
      </w:r>
      <w:r w:rsidRPr="007D46AC">
        <w:rPr>
          <w:rFonts w:ascii="Times New Roman" w:eastAsia="Times New Roman" w:hAnsi="Times New Roman" w:cs="Times New Roman"/>
          <w:color w:val="333333"/>
        </w:rPr>
        <w:t xml:space="preserve">) and neurologic assessments (e.g., level of consciousness and pupillary reaction) are performed but not recorded in their clinical information systems. This reduces the ability to assess the score and criteria at that site. In contrast, score performance </w:t>
      </w:r>
      <w:r w:rsidRPr="007D46AC">
        <w:rPr>
          <w:rFonts w:ascii="Times New Roman" w:eastAsia="Times New Roman" w:hAnsi="Times New Roman" w:cs="Times New Roman"/>
          <w:color w:val="333333"/>
        </w:rPr>
        <w:t>was excellent at  lower resource site 1 and comparable to the higher resource sites. This demonstrates the potential for score performance in lower resource environments when these variables are recorded. Second, when deriving the stacked regression models</w:t>
      </w:r>
      <w:r w:rsidRPr="007D46AC">
        <w:rPr>
          <w:rFonts w:ascii="Times New Roman" w:eastAsia="Times New Roman" w:hAnsi="Times New Roman" w:cs="Times New Roman"/>
          <w:color w:val="333333"/>
        </w:rPr>
        <w:t>, the Phoenix Sepsis Score, and the new criteria for sepsis and septic shock, a pragmatic approach was intentionally chosen, using the data as recorded during routine care as an indicator of how the criteria would perform in real-world implementations. How</w:t>
      </w:r>
      <w:r w:rsidRPr="007D46AC">
        <w:rPr>
          <w:rFonts w:ascii="Times New Roman" w:eastAsia="Times New Roman" w:hAnsi="Times New Roman" w:cs="Times New Roman"/>
          <w:color w:val="333333"/>
        </w:rPr>
        <w:t>ever, it is acknowledged that some of the organ dysfunction measures used in the modeling process may not have reflected actual organ dysfunction, but rather were due to iatrogenic effects or clinician therapeutic choices, such as a lower GCS score in a pa</w:t>
      </w:r>
      <w:r w:rsidRPr="007D46AC">
        <w:rPr>
          <w:rFonts w:ascii="Times New Roman" w:eastAsia="Times New Roman" w:hAnsi="Times New Roman" w:cs="Times New Roman"/>
          <w:color w:val="333333"/>
        </w:rPr>
        <w:t>tient receiving sedation or initiation of vasoactive medications in a patient with minimal cardiovascular dysfunction. Future work to determine the effects of these variables and clinician choices on the performance of the criteria is needed. Third, simila</w:t>
      </w:r>
      <w:r w:rsidRPr="007D46AC">
        <w:rPr>
          <w:rFonts w:ascii="Times New Roman" w:eastAsia="Times New Roman" w:hAnsi="Times New Roman" w:cs="Times New Roman"/>
          <w:color w:val="333333"/>
        </w:rPr>
        <w:t>r to the Sepsis-3 validation study, unique criteria for patients with chronic organ dysfunction were not developed.</w:t>
      </w:r>
      <w:hyperlink r:id="rId26">
        <w:r w:rsidRPr="007D46AC">
          <w:rPr>
            <w:rFonts w:ascii="Times New Roman" w:eastAsia="Times New Roman" w:hAnsi="Times New Roman" w:cs="Times New Roman"/>
            <w:color w:val="000000"/>
            <w:vertAlign w:val="superscript"/>
          </w:rPr>
          <w:t>4</w:t>
        </w:r>
      </w:hyperlink>
      <w:r w:rsidRPr="007D46AC">
        <w:rPr>
          <w:rFonts w:ascii="Times New Roman" w:eastAsia="Times New Roman" w:hAnsi="Times New Roman" w:cs="Times New Roman"/>
          <w:color w:val="333333"/>
        </w:rPr>
        <w:t xml:space="preserve"> Fourth, few databases from lower resource settings were available (a form of data p</w:t>
      </w:r>
      <w:r w:rsidRPr="007D46AC">
        <w:rPr>
          <w:rFonts w:ascii="Times New Roman" w:eastAsia="Times New Roman" w:hAnsi="Times New Roman" w:cs="Times New Roman"/>
          <w:color w:val="333333"/>
        </w:rPr>
        <w:t>overty),</w:t>
      </w:r>
      <w:hyperlink r:id="rId27">
        <w:r w:rsidRPr="007D46AC">
          <w:rPr>
            <w:rFonts w:ascii="Times New Roman" w:eastAsia="Times New Roman" w:hAnsi="Times New Roman" w:cs="Times New Roman"/>
            <w:color w:val="000000"/>
            <w:vertAlign w:val="superscript"/>
          </w:rPr>
          <w:t>24</w:t>
        </w:r>
      </w:hyperlink>
      <w:r w:rsidRPr="007D46AC">
        <w:rPr>
          <w:rFonts w:ascii="Times New Roman" w:eastAsia="Times New Roman" w:hAnsi="Times New Roman" w:cs="Times New Roman"/>
          <w:color w:val="333333"/>
        </w:rPr>
        <w:t xml:space="preserve"> and the ones used may not be generalizable to every low resource environment. Fifth, the data from higher resource settings were exclusively from tertiary U.S. pediatric centers. Sixth, the</w:t>
      </w:r>
      <w:r w:rsidRPr="007D46AC">
        <w:rPr>
          <w:rFonts w:ascii="Times New Roman" w:eastAsia="Times New Roman" w:hAnsi="Times New Roman" w:cs="Times New Roman"/>
          <w:color w:val="333333"/>
        </w:rPr>
        <w:t xml:space="preserve"> datasets from some of the sites included 10 years of data, possibly including changes in practice over that timeframe. </w:t>
      </w:r>
    </w:p>
    <w:p w14:paraId="000000D0" w14:textId="77777777" w:rsidR="00DF71A5" w:rsidRPr="007D46AC" w:rsidRDefault="00DF71A5">
      <w:pPr>
        <w:spacing w:line="480" w:lineRule="auto"/>
        <w:ind w:right="600"/>
        <w:rPr>
          <w:rFonts w:ascii="Times New Roman" w:eastAsia="Times New Roman" w:hAnsi="Times New Roman" w:cs="Times New Roman"/>
          <w:b/>
          <w:color w:val="333333"/>
        </w:rPr>
      </w:pPr>
    </w:p>
    <w:p w14:paraId="000000D1" w14:textId="77777777" w:rsidR="00DF71A5" w:rsidRPr="007D46AC" w:rsidRDefault="00197EEA">
      <w:pPr>
        <w:spacing w:line="480" w:lineRule="auto"/>
        <w:ind w:right="600"/>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CONCLUSIONS</w:t>
      </w:r>
    </w:p>
    <w:p w14:paraId="000000D2" w14:textId="77777777" w:rsidR="00DF71A5" w:rsidRPr="007D46AC" w:rsidRDefault="00197EEA">
      <w:pPr>
        <w:spacing w:after="300" w:line="480" w:lineRule="auto"/>
        <w:rPr>
          <w:rFonts w:ascii="Times New Roman" w:eastAsia="Times New Roman" w:hAnsi="Times New Roman" w:cs="Times New Roman"/>
          <w:color w:val="333333"/>
        </w:rPr>
      </w:pPr>
      <w:r w:rsidRPr="007D46AC">
        <w:rPr>
          <w:rFonts w:ascii="Times New Roman" w:eastAsia="Times New Roman" w:hAnsi="Times New Roman" w:cs="Times New Roman"/>
          <w:color w:val="333333"/>
        </w:rPr>
        <w:t>The novel Phoenix sepsis criteria, which were derived and validated using a large international database of pediatric hosp</w:t>
      </w:r>
      <w:r w:rsidRPr="007D46AC">
        <w:rPr>
          <w:rFonts w:ascii="Times New Roman" w:eastAsia="Times New Roman" w:hAnsi="Times New Roman" w:cs="Times New Roman"/>
          <w:color w:val="333333"/>
        </w:rPr>
        <w:t>ital encounters in higher and lower resource settings, had a higher sensitivity and positive predictive value for the diagnosis of pediatric sepsis and septic shock than existing International Pediatric Sepsis Consensus Conference Criteria.</w:t>
      </w:r>
    </w:p>
    <w:p w14:paraId="000000D3" w14:textId="77777777" w:rsidR="00DF71A5" w:rsidRPr="007D46AC" w:rsidRDefault="00197EEA">
      <w:pPr>
        <w:spacing w:after="160" w:line="480" w:lineRule="auto"/>
        <w:rPr>
          <w:rFonts w:ascii="Times New Roman" w:eastAsia="Times New Roman" w:hAnsi="Times New Roman" w:cs="Times New Roman"/>
          <w:b/>
        </w:rPr>
      </w:pPr>
      <w:r w:rsidRPr="007D46AC">
        <w:rPr>
          <w:rFonts w:ascii="Times New Roman" w:eastAsia="Times New Roman" w:hAnsi="Times New Roman" w:cs="Times New Roman"/>
          <w:b/>
        </w:rPr>
        <w:t>Acknowledgement</w:t>
      </w:r>
      <w:r w:rsidRPr="007D46AC">
        <w:rPr>
          <w:rFonts w:ascii="Times New Roman" w:eastAsia="Times New Roman" w:hAnsi="Times New Roman" w:cs="Times New Roman"/>
          <w:b/>
        </w:rPr>
        <w:t xml:space="preserve">s: </w:t>
      </w:r>
    </w:p>
    <w:p w14:paraId="000000D4"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rPr>
        <w:t xml:space="preserve">The authors would like to thank the members of the Society of Critical Care Medicine Pediatric Sepsis Definition Task Force for their contributions to this work. In addition, Kathy Vermoch, Lori Harmon, and Lynn Retford at the Society of Critical Care </w:t>
      </w:r>
      <w:r w:rsidRPr="007D46AC">
        <w:rPr>
          <w:rFonts w:ascii="Times New Roman" w:eastAsia="Times New Roman" w:hAnsi="Times New Roman" w:cs="Times New Roman"/>
        </w:rPr>
        <w:t xml:space="preserve">Medicine provided invaluable assistance throughout this project. </w:t>
      </w:r>
    </w:p>
    <w:p w14:paraId="000000D5" w14:textId="77777777" w:rsidR="00DF71A5" w:rsidRPr="007D46AC" w:rsidRDefault="00197EEA">
      <w:pPr>
        <w:spacing w:after="160" w:line="480" w:lineRule="auto"/>
        <w:rPr>
          <w:rFonts w:ascii="Times New Roman" w:eastAsia="Times New Roman" w:hAnsi="Times New Roman" w:cs="Times New Roman"/>
          <w:b/>
        </w:rPr>
      </w:pPr>
      <w:r w:rsidRPr="007D46AC">
        <w:rPr>
          <w:rFonts w:ascii="Times New Roman" w:eastAsia="Times New Roman" w:hAnsi="Times New Roman" w:cs="Times New Roman"/>
          <w:b/>
        </w:rPr>
        <w:t>Author contributions:</w:t>
      </w:r>
    </w:p>
    <w:p w14:paraId="000000D6"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i/>
        </w:rPr>
        <w:t>Concept and design:</w:t>
      </w:r>
      <w:r w:rsidRPr="007D46AC">
        <w:rPr>
          <w:rFonts w:ascii="Times New Roman" w:eastAsia="Times New Roman" w:hAnsi="Times New Roman" w:cs="Times New Roman"/>
        </w:rPr>
        <w:t xml:space="preserve"> The plan for this work was developed by TDB, LNS-P, and DJA. The project plan for the Pediatric Sepsis Definition Task Force was drafted by LJS, RSW</w:t>
      </w:r>
      <w:r w:rsidRPr="007D46AC">
        <w:rPr>
          <w:rFonts w:ascii="Times New Roman" w:eastAsia="Times New Roman" w:hAnsi="Times New Roman" w:cs="Times New Roman"/>
        </w:rPr>
        <w:t xml:space="preserve">, LRS, AA, NK, and JZ. </w:t>
      </w:r>
    </w:p>
    <w:p w14:paraId="000000D7"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i/>
        </w:rPr>
        <w:t>Acquisition, analysis, or interpretation of data:</w:t>
      </w:r>
      <w:r w:rsidRPr="007D46AC">
        <w:rPr>
          <w:rFonts w:ascii="Times New Roman" w:eastAsia="Times New Roman" w:hAnsi="Times New Roman" w:cs="Times New Roman"/>
        </w:rPr>
        <w:t xml:space="preserve"> TDB and LNS-P led data acquisition and analysis including the building of the harmonized international database used to develop and validate the new criteria. FB, MB, TDB, MJC, IE, C</w:t>
      </w:r>
      <w:r w:rsidRPr="007D46AC">
        <w:rPr>
          <w:rFonts w:ascii="Times New Roman" w:eastAsia="Times New Roman" w:hAnsi="Times New Roman" w:cs="Times New Roman"/>
        </w:rPr>
        <w:t>H, JCJ-B, LNS-P, RSW, and SW curated data at contributing sites, performed data quality checks, and contributed to data harmonization. TDB and LNS-P led a team including DJA, PED, BM, MNR, and SR who conducted the harmonization and analysis of the data, wi</w:t>
      </w:r>
      <w:r w:rsidRPr="007D46AC">
        <w:rPr>
          <w:rFonts w:ascii="Times New Roman" w:eastAsia="Times New Roman" w:hAnsi="Times New Roman" w:cs="Times New Roman"/>
        </w:rPr>
        <w:t>th clinical and scientific contributions by RSW, LJS, HS, SW, FB, ERA, and KM. All Task Force members contributed to the interpretation of the data.</w:t>
      </w:r>
    </w:p>
    <w:p w14:paraId="000000D8"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i/>
        </w:rPr>
        <w:t>Drafting of the manuscript:</w:t>
      </w:r>
      <w:r w:rsidRPr="007D46AC">
        <w:rPr>
          <w:rFonts w:ascii="Times New Roman" w:eastAsia="Times New Roman" w:hAnsi="Times New Roman" w:cs="Times New Roman"/>
        </w:rPr>
        <w:t xml:space="preserve"> TDB and LNS-P wrote the first draft of the manuscript.</w:t>
      </w:r>
    </w:p>
    <w:p w14:paraId="000000D9"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i/>
        </w:rPr>
        <w:t xml:space="preserve">Critical review of the </w:t>
      </w:r>
      <w:r w:rsidRPr="007D46AC">
        <w:rPr>
          <w:rFonts w:ascii="Times New Roman" w:eastAsia="Times New Roman" w:hAnsi="Times New Roman" w:cs="Times New Roman"/>
          <w:i/>
        </w:rPr>
        <w:t>manuscript for important intellectual content:</w:t>
      </w:r>
      <w:r w:rsidRPr="007D46AC">
        <w:rPr>
          <w:rFonts w:ascii="Times New Roman" w:eastAsia="Times New Roman" w:hAnsi="Times New Roman" w:cs="Times New Roman"/>
        </w:rPr>
        <w:t xml:space="preserve"> All authors provided revisions to the manuscript and reviewed and approved the final version.</w:t>
      </w:r>
    </w:p>
    <w:p w14:paraId="000000DA"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i/>
        </w:rPr>
        <w:t>Obtained Funding:</w:t>
      </w:r>
      <w:r w:rsidRPr="007D46AC">
        <w:rPr>
          <w:rFonts w:ascii="Times New Roman" w:eastAsia="Times New Roman" w:hAnsi="Times New Roman" w:cs="Times New Roman"/>
        </w:rPr>
        <w:t xml:space="preserve"> TDB and LNS-P obtained NIH funding for this work. JZ, NK, LJS, and RSW obtained funding for the T</w:t>
      </w:r>
      <w:r w:rsidRPr="007D46AC">
        <w:rPr>
          <w:rFonts w:ascii="Times New Roman" w:eastAsia="Times New Roman" w:hAnsi="Times New Roman" w:cs="Times New Roman"/>
        </w:rPr>
        <w:t xml:space="preserve">ask Force through the Society of Critical Care Medicine. </w:t>
      </w:r>
    </w:p>
    <w:p w14:paraId="000000DB" w14:textId="77777777" w:rsidR="00DF71A5" w:rsidRPr="007D46AC" w:rsidRDefault="00197EEA">
      <w:pPr>
        <w:tabs>
          <w:tab w:val="center" w:pos="4536"/>
          <w:tab w:val="right" w:pos="9072"/>
        </w:tabs>
        <w:spacing w:line="480" w:lineRule="auto"/>
        <w:rPr>
          <w:rFonts w:ascii="Times New Roman" w:eastAsia="Times New Roman" w:hAnsi="Times New Roman" w:cs="Times New Roman"/>
        </w:rPr>
      </w:pPr>
      <w:r w:rsidRPr="007D46AC">
        <w:rPr>
          <w:rFonts w:ascii="Times New Roman" w:eastAsia="Times New Roman" w:hAnsi="Times New Roman" w:cs="Times New Roman"/>
          <w:i/>
        </w:rPr>
        <w:t>Administrative, technical, or material support:</w:t>
      </w:r>
      <w:r w:rsidRPr="007D46AC">
        <w:rPr>
          <w:rFonts w:ascii="Times New Roman" w:eastAsia="Times New Roman" w:hAnsi="Times New Roman" w:cs="Times New Roman"/>
        </w:rPr>
        <w:t xml:space="preserve"> LJS, RSW, AA, LRS served as co-Chairs and co-Vice Chairs of the Task Force and together with SCCM staff were responsible for the organization of the T</w:t>
      </w:r>
      <w:r w:rsidRPr="007D46AC">
        <w:rPr>
          <w:rFonts w:ascii="Times New Roman" w:eastAsia="Times New Roman" w:hAnsi="Times New Roman" w:cs="Times New Roman"/>
        </w:rPr>
        <w:t>ask Force work. TDB, LNS-P, and MNR organized the work of the analytic team.</w:t>
      </w:r>
    </w:p>
    <w:p w14:paraId="000000DC" w14:textId="77777777" w:rsidR="00DF71A5" w:rsidRPr="007D46AC" w:rsidRDefault="00DF71A5">
      <w:pPr>
        <w:tabs>
          <w:tab w:val="center" w:pos="4536"/>
          <w:tab w:val="right" w:pos="9072"/>
        </w:tabs>
        <w:spacing w:line="480" w:lineRule="auto"/>
        <w:rPr>
          <w:rFonts w:ascii="Times New Roman" w:eastAsia="Times New Roman" w:hAnsi="Times New Roman" w:cs="Times New Roman"/>
        </w:rPr>
      </w:pPr>
    </w:p>
    <w:p w14:paraId="000000DD" w14:textId="77777777" w:rsidR="00DF71A5" w:rsidRPr="007D46AC" w:rsidRDefault="00197EEA">
      <w:pPr>
        <w:tabs>
          <w:tab w:val="center" w:pos="4536"/>
          <w:tab w:val="right" w:pos="9072"/>
        </w:tabs>
        <w:spacing w:line="480" w:lineRule="auto"/>
        <w:rPr>
          <w:rFonts w:ascii="Times New Roman" w:eastAsia="Times New Roman" w:hAnsi="Times New Roman" w:cs="Times New Roman"/>
        </w:rPr>
      </w:pPr>
      <w:r w:rsidRPr="007D46AC">
        <w:rPr>
          <w:rFonts w:ascii="Times New Roman" w:eastAsia="Times New Roman" w:hAnsi="Times New Roman" w:cs="Times New Roman"/>
          <w:b/>
        </w:rPr>
        <w:t>Conflict of Interest Statement</w:t>
      </w:r>
      <w:r w:rsidRPr="007D46AC">
        <w:rPr>
          <w:rFonts w:ascii="Times New Roman" w:eastAsia="Times New Roman" w:hAnsi="Times New Roman" w:cs="Times New Roman"/>
        </w:rPr>
        <w:t xml:space="preserve">: </w:t>
      </w:r>
    </w:p>
    <w:p w14:paraId="000000DE" w14:textId="77777777" w:rsidR="00DF71A5" w:rsidRPr="007D46AC" w:rsidRDefault="00197EEA">
      <w:pPr>
        <w:spacing w:before="240" w:after="240" w:line="480" w:lineRule="auto"/>
        <w:rPr>
          <w:rFonts w:ascii="Times New Roman" w:eastAsia="Times New Roman" w:hAnsi="Times New Roman" w:cs="Times New Roman"/>
        </w:rPr>
      </w:pPr>
      <w:r w:rsidRPr="007D46AC">
        <w:rPr>
          <w:rFonts w:ascii="Times New Roman" w:eastAsia="Times New Roman" w:hAnsi="Times New Roman" w:cs="Times New Roman"/>
        </w:rPr>
        <w:t>Lauren R. Sorce is an elected member of the Executive Committee and serves as President-elect of the Society of Critical Care Medicine (SCCM) for</w:t>
      </w:r>
      <w:r w:rsidRPr="007D46AC">
        <w:rPr>
          <w:rFonts w:ascii="Times New Roman" w:eastAsia="Times New Roman" w:hAnsi="Times New Roman" w:cs="Times New Roman"/>
        </w:rPr>
        <w:t xml:space="preserve"> 2023-2024 and President for 2024-2025. The research presented is her own work and does not represent SCCM. The rest of the authors declare no relevant conflicts of interest related to this work.</w:t>
      </w:r>
    </w:p>
    <w:p w14:paraId="000000DF"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b/>
        </w:rPr>
        <w:t>Funding sources:</w:t>
      </w:r>
      <w:r w:rsidRPr="007D46AC">
        <w:rPr>
          <w:rFonts w:ascii="Times New Roman" w:eastAsia="Times New Roman" w:hAnsi="Times New Roman" w:cs="Times New Roman"/>
        </w:rPr>
        <w:t xml:space="preserve"> </w:t>
      </w:r>
    </w:p>
    <w:p w14:paraId="000000E0"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rPr>
        <w:t>This work was supported by the Eunice Kenn</w:t>
      </w:r>
      <w:r w:rsidRPr="007D46AC">
        <w:rPr>
          <w:rFonts w:ascii="Times New Roman" w:eastAsia="Times New Roman" w:hAnsi="Times New Roman" w:cs="Times New Roman"/>
        </w:rPr>
        <w:t>edy Shriver National Institute of Child Health and Human Development (NICHD) grant number R01HD105939 to TDB and LNS-P. LJS received support from the NOMIS foundation. The Society of Critical Care Medicine provided support to the Pediatric Sepsis Definitio</w:t>
      </w:r>
      <w:r w:rsidRPr="007D46AC">
        <w:rPr>
          <w:rFonts w:ascii="Times New Roman" w:eastAsia="Times New Roman" w:hAnsi="Times New Roman" w:cs="Times New Roman"/>
        </w:rPr>
        <w:t>n Task Force for travel of members, coordination of meetings, and other logistical support.</w:t>
      </w:r>
    </w:p>
    <w:p w14:paraId="000000E1" w14:textId="77777777" w:rsidR="00DF71A5" w:rsidRPr="007D46AC" w:rsidRDefault="00DF71A5">
      <w:pPr>
        <w:spacing w:after="160" w:line="480" w:lineRule="auto"/>
        <w:rPr>
          <w:rFonts w:ascii="Times New Roman" w:eastAsia="Times New Roman" w:hAnsi="Times New Roman" w:cs="Times New Roman"/>
          <w:b/>
        </w:rPr>
      </w:pPr>
    </w:p>
    <w:p w14:paraId="000000E2" w14:textId="77777777" w:rsidR="00DF71A5" w:rsidRPr="007D46AC" w:rsidRDefault="00197EEA">
      <w:pPr>
        <w:spacing w:after="160" w:line="480" w:lineRule="auto"/>
        <w:rPr>
          <w:rFonts w:ascii="Times New Roman" w:eastAsia="Times New Roman" w:hAnsi="Times New Roman" w:cs="Times New Roman"/>
          <w:b/>
        </w:rPr>
      </w:pPr>
      <w:r w:rsidRPr="007D46AC">
        <w:rPr>
          <w:rFonts w:ascii="Times New Roman" w:eastAsia="Times New Roman" w:hAnsi="Times New Roman" w:cs="Times New Roman"/>
          <w:b/>
        </w:rPr>
        <w:t xml:space="preserve">Role of the Funders: </w:t>
      </w:r>
    </w:p>
    <w:p w14:paraId="000000E3" w14:textId="77777777" w:rsidR="00DF71A5" w:rsidRPr="007D46AC" w:rsidRDefault="00197EEA">
      <w:pPr>
        <w:spacing w:after="160" w:line="480" w:lineRule="auto"/>
        <w:rPr>
          <w:rFonts w:ascii="Times New Roman" w:eastAsia="Times New Roman" w:hAnsi="Times New Roman" w:cs="Times New Roman"/>
        </w:rPr>
      </w:pPr>
      <w:r w:rsidRPr="007D46AC">
        <w:rPr>
          <w:rFonts w:ascii="Times New Roman" w:eastAsia="Times New Roman" w:hAnsi="Times New Roman" w:cs="Times New Roman"/>
        </w:rPr>
        <w:t>The funding sources had no role in the design and conduct of the study; collection, management, analysis, and interpretation of the data; pre</w:t>
      </w:r>
      <w:r w:rsidRPr="007D46AC">
        <w:rPr>
          <w:rFonts w:ascii="Times New Roman" w:eastAsia="Times New Roman" w:hAnsi="Times New Roman" w:cs="Times New Roman"/>
        </w:rPr>
        <w:t>paration, review, or approval of the manuscript; and decision to submit the manuscript for publication.</w:t>
      </w:r>
    </w:p>
    <w:p w14:paraId="000000E4" w14:textId="77777777" w:rsidR="00DF71A5" w:rsidRPr="007D46AC" w:rsidRDefault="00197EEA">
      <w:pPr>
        <w:spacing w:line="480" w:lineRule="auto"/>
        <w:rPr>
          <w:rFonts w:ascii="Times New Roman" w:eastAsia="Times New Roman" w:hAnsi="Times New Roman" w:cs="Times New Roman"/>
        </w:rPr>
      </w:pPr>
      <w:r w:rsidRPr="007D46AC">
        <w:rPr>
          <w:rFonts w:ascii="Times New Roman" w:eastAsia="Times New Roman" w:hAnsi="Times New Roman" w:cs="Times New Roman"/>
          <w:b/>
        </w:rPr>
        <w:t>Data Sharing Statement:</w:t>
      </w:r>
      <w:r w:rsidRPr="007D46AC">
        <w:rPr>
          <w:rFonts w:ascii="Times New Roman" w:eastAsia="Times New Roman" w:hAnsi="Times New Roman" w:cs="Times New Roman"/>
        </w:rPr>
        <w:t xml:space="preserve"> The data that support the findings of this study are not publicly available because the study sites retain data ownership. The d</w:t>
      </w:r>
      <w:r w:rsidRPr="007D46AC">
        <w:rPr>
          <w:rFonts w:ascii="Times New Roman" w:eastAsia="Times New Roman" w:hAnsi="Times New Roman" w:cs="Times New Roman"/>
        </w:rPr>
        <w:t>ata contain information that could compromise the privacy of research participants. We will share analytic code in free, publicly available repositories hosted by the gold-standard code-sharing site, GitHub (github.com).</w:t>
      </w:r>
    </w:p>
    <w:p w14:paraId="000000E5" w14:textId="77777777" w:rsidR="00DF71A5" w:rsidRPr="007D46AC" w:rsidRDefault="00DF71A5">
      <w:pPr>
        <w:spacing w:line="480" w:lineRule="auto"/>
        <w:rPr>
          <w:rFonts w:ascii="Times New Roman" w:eastAsia="Times New Roman" w:hAnsi="Times New Roman" w:cs="Times New Roman"/>
        </w:rPr>
      </w:pPr>
    </w:p>
    <w:p w14:paraId="000000E6" w14:textId="77777777" w:rsidR="00DF71A5" w:rsidRPr="007D46AC" w:rsidRDefault="00197EEA">
      <w:pPr>
        <w:tabs>
          <w:tab w:val="center" w:pos="4536"/>
          <w:tab w:val="right" w:pos="9072"/>
        </w:tabs>
        <w:spacing w:line="480" w:lineRule="auto"/>
        <w:rPr>
          <w:rFonts w:ascii="Times New Roman" w:eastAsia="Times New Roman" w:hAnsi="Times New Roman" w:cs="Times New Roman"/>
        </w:rPr>
      </w:pPr>
      <w:r w:rsidRPr="007D46AC">
        <w:rPr>
          <w:rFonts w:ascii="Times New Roman" w:eastAsia="Times New Roman" w:hAnsi="Times New Roman" w:cs="Times New Roman"/>
          <w:b/>
        </w:rPr>
        <w:t>Pediatric Sepsis Definition Task F</w:t>
      </w:r>
      <w:r w:rsidRPr="007D46AC">
        <w:rPr>
          <w:rFonts w:ascii="Times New Roman" w:eastAsia="Times New Roman" w:hAnsi="Times New Roman" w:cs="Times New Roman"/>
          <w:b/>
        </w:rPr>
        <w:t>orce Group Information</w:t>
      </w:r>
      <w:r w:rsidRPr="007D46AC">
        <w:rPr>
          <w:rFonts w:ascii="Times New Roman" w:eastAsia="Times New Roman" w:hAnsi="Times New Roman" w:cs="Times New Roman"/>
        </w:rPr>
        <w:t>: See Supplement</w:t>
      </w:r>
    </w:p>
    <w:p w14:paraId="000000E7" w14:textId="77777777" w:rsidR="00DF71A5" w:rsidRPr="007D46AC" w:rsidRDefault="00DF71A5">
      <w:pPr>
        <w:tabs>
          <w:tab w:val="center" w:pos="4536"/>
          <w:tab w:val="right" w:pos="9072"/>
        </w:tabs>
        <w:spacing w:line="480" w:lineRule="auto"/>
        <w:rPr>
          <w:rFonts w:ascii="Times New Roman" w:eastAsia="Times New Roman" w:hAnsi="Times New Roman" w:cs="Times New Roman"/>
          <w:color w:val="333333"/>
        </w:rPr>
      </w:pPr>
    </w:p>
    <w:p w14:paraId="000000E8" w14:textId="77777777" w:rsidR="00DF71A5" w:rsidRPr="007D46AC" w:rsidRDefault="00197EEA">
      <w:pPr>
        <w:tabs>
          <w:tab w:val="center" w:pos="4536"/>
          <w:tab w:val="right" w:pos="9072"/>
        </w:tabs>
        <w:spacing w:line="480" w:lineRule="auto"/>
        <w:rPr>
          <w:rFonts w:ascii="Times New Roman" w:eastAsia="Times New Roman" w:hAnsi="Times New Roman" w:cs="Times New Roman"/>
          <w:b/>
          <w:color w:val="333333"/>
        </w:rPr>
      </w:pPr>
      <w:r w:rsidRPr="007D46AC">
        <w:rPr>
          <w:rFonts w:ascii="Times New Roman" w:eastAsia="Times New Roman" w:hAnsi="Times New Roman" w:cs="Times New Roman"/>
          <w:b/>
          <w:color w:val="333333"/>
        </w:rPr>
        <w:t>REFERENCES</w:t>
      </w:r>
    </w:p>
    <w:p w14:paraId="000000E9" w14:textId="77777777" w:rsidR="00DF71A5" w:rsidRPr="007D46AC" w:rsidRDefault="00197EEA">
      <w:pPr>
        <w:widowControl w:val="0"/>
        <w:pBdr>
          <w:top w:val="nil"/>
          <w:left w:val="nil"/>
          <w:bottom w:val="nil"/>
          <w:right w:val="nil"/>
          <w:between w:val="nil"/>
        </w:pBdr>
        <w:spacing w:before="220"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w:t>
      </w:r>
      <w:r w:rsidRPr="007D46AC">
        <w:rPr>
          <w:rFonts w:ascii="Times New Roman" w:eastAsia="Times New Roman" w:hAnsi="Times New Roman" w:cs="Times New Roman"/>
          <w:color w:val="000000"/>
        </w:rPr>
        <w:tab/>
      </w:r>
      <w:hyperlink r:id="rId28">
        <w:r w:rsidRPr="007D46AC">
          <w:rPr>
            <w:rFonts w:ascii="Times New Roman" w:eastAsia="Times New Roman" w:hAnsi="Times New Roman" w:cs="Times New Roman"/>
            <w:color w:val="000000"/>
          </w:rPr>
          <w:t>Rudd KE, Johnson SC, Agesa KM, et al. Global, regional, and national sepsis incidence</w:t>
        </w:r>
        <w:r w:rsidRPr="007D46AC">
          <w:rPr>
            <w:rFonts w:ascii="Times New Roman" w:eastAsia="Times New Roman" w:hAnsi="Times New Roman" w:cs="Times New Roman"/>
            <w:color w:val="000000"/>
          </w:rPr>
          <w:t xml:space="preserve"> and mortality, 1990-2017: analysis for the Global Burden of Disease Study. </w:t>
        </w:r>
      </w:hyperlink>
      <w:hyperlink r:id="rId29">
        <w:r w:rsidRPr="007D46AC">
          <w:rPr>
            <w:rFonts w:ascii="Times New Roman" w:eastAsia="Times New Roman" w:hAnsi="Times New Roman" w:cs="Times New Roman"/>
            <w:i/>
            <w:color w:val="000000"/>
          </w:rPr>
          <w:t>Lancet</w:t>
        </w:r>
      </w:hyperlink>
      <w:hyperlink r:id="rId30">
        <w:r w:rsidRPr="007D46AC">
          <w:rPr>
            <w:rFonts w:ascii="Times New Roman" w:eastAsia="Times New Roman" w:hAnsi="Times New Roman" w:cs="Times New Roman"/>
            <w:color w:val="000000"/>
          </w:rPr>
          <w:t>. 2020;395(10219):200-211.</w:t>
        </w:r>
      </w:hyperlink>
    </w:p>
    <w:p w14:paraId="000000EA"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2.</w:t>
      </w:r>
      <w:r w:rsidRPr="007D46AC">
        <w:rPr>
          <w:rFonts w:ascii="Times New Roman" w:eastAsia="Times New Roman" w:hAnsi="Times New Roman" w:cs="Times New Roman"/>
          <w:color w:val="000000"/>
        </w:rPr>
        <w:tab/>
      </w:r>
      <w:hyperlink r:id="rId31">
        <w:r w:rsidRPr="007D46AC">
          <w:rPr>
            <w:rFonts w:ascii="Times New Roman" w:eastAsia="Times New Roman" w:hAnsi="Times New Roman" w:cs="Times New Roman"/>
            <w:color w:val="000000"/>
          </w:rPr>
          <w:t>Goldstein B, Giroir B, Randolph A, International Consensus Conference on Pediatric Sepsis. International pediatric sepsis consensus conference: definitions for sepsis and organ dysfunction in pediatrics.</w:t>
        </w:r>
        <w:r w:rsidRPr="007D46AC">
          <w:rPr>
            <w:rFonts w:ascii="Times New Roman" w:eastAsia="Times New Roman" w:hAnsi="Times New Roman" w:cs="Times New Roman"/>
            <w:color w:val="000000"/>
          </w:rPr>
          <w:t xml:space="preserve"> </w:t>
        </w:r>
      </w:hyperlink>
      <w:hyperlink r:id="rId32">
        <w:r w:rsidRPr="007D46AC">
          <w:rPr>
            <w:rFonts w:ascii="Times New Roman" w:eastAsia="Times New Roman" w:hAnsi="Times New Roman" w:cs="Times New Roman"/>
            <w:i/>
            <w:color w:val="000000"/>
          </w:rPr>
          <w:t>Pediatr Crit Care Med</w:t>
        </w:r>
      </w:hyperlink>
      <w:hyperlink r:id="rId33">
        <w:r w:rsidRPr="007D46AC">
          <w:rPr>
            <w:rFonts w:ascii="Times New Roman" w:eastAsia="Times New Roman" w:hAnsi="Times New Roman" w:cs="Times New Roman"/>
            <w:color w:val="000000"/>
          </w:rPr>
          <w:t>. 2005;6(1):2-8.</w:t>
        </w:r>
      </w:hyperlink>
    </w:p>
    <w:p w14:paraId="000000EB"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3.</w:t>
      </w:r>
      <w:r w:rsidRPr="007D46AC">
        <w:rPr>
          <w:rFonts w:ascii="Times New Roman" w:eastAsia="Times New Roman" w:hAnsi="Times New Roman" w:cs="Times New Roman"/>
          <w:color w:val="000000"/>
        </w:rPr>
        <w:tab/>
      </w:r>
      <w:hyperlink r:id="rId34">
        <w:r w:rsidRPr="007D46AC">
          <w:rPr>
            <w:rFonts w:ascii="Times New Roman" w:eastAsia="Times New Roman" w:hAnsi="Times New Roman" w:cs="Times New Roman"/>
            <w:color w:val="000000"/>
          </w:rPr>
          <w:t>Weiss SL, Fitzgerald JC, Maffei FA, et al. Discor</w:t>
        </w:r>
        <w:r w:rsidRPr="007D46AC">
          <w:rPr>
            <w:rFonts w:ascii="Times New Roman" w:eastAsia="Times New Roman" w:hAnsi="Times New Roman" w:cs="Times New Roman"/>
            <w:color w:val="000000"/>
          </w:rPr>
          <w:t xml:space="preserve">dant identification of pediatric severe sepsis by research and clinical definitions in the SPROUT international point prevalence study. </w:t>
        </w:r>
      </w:hyperlink>
      <w:hyperlink r:id="rId35">
        <w:r w:rsidRPr="007D46AC">
          <w:rPr>
            <w:rFonts w:ascii="Times New Roman" w:eastAsia="Times New Roman" w:hAnsi="Times New Roman" w:cs="Times New Roman"/>
            <w:i/>
            <w:color w:val="000000"/>
          </w:rPr>
          <w:t>Crit Care</w:t>
        </w:r>
      </w:hyperlink>
      <w:hyperlink r:id="rId36">
        <w:r w:rsidRPr="007D46AC">
          <w:rPr>
            <w:rFonts w:ascii="Times New Roman" w:eastAsia="Times New Roman" w:hAnsi="Times New Roman" w:cs="Times New Roman"/>
            <w:color w:val="000000"/>
          </w:rPr>
          <w:t>.</w:t>
        </w:r>
        <w:r w:rsidRPr="007D46AC">
          <w:rPr>
            <w:rFonts w:ascii="Times New Roman" w:eastAsia="Times New Roman" w:hAnsi="Times New Roman" w:cs="Times New Roman"/>
            <w:color w:val="000000"/>
          </w:rPr>
          <w:t xml:space="preserve"> 2015;19(1):325.</w:t>
        </w:r>
      </w:hyperlink>
    </w:p>
    <w:p w14:paraId="000000EC"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4.</w:t>
      </w:r>
      <w:r w:rsidRPr="007D46AC">
        <w:rPr>
          <w:rFonts w:ascii="Times New Roman" w:eastAsia="Times New Roman" w:hAnsi="Times New Roman" w:cs="Times New Roman"/>
          <w:color w:val="000000"/>
        </w:rPr>
        <w:tab/>
      </w:r>
      <w:hyperlink r:id="rId37">
        <w:r w:rsidRPr="007D46AC">
          <w:rPr>
            <w:rFonts w:ascii="Times New Roman" w:eastAsia="Times New Roman" w:hAnsi="Times New Roman" w:cs="Times New Roman"/>
            <w:color w:val="000000"/>
          </w:rPr>
          <w:t xml:space="preserve">Seymour CW, Liu VX, Iwashyna TJ, et al. Assessment of Clinical Criteria for Sepsis: For the Third International Consensus Definitions for Sepsis and Septic Shock (Sepsis-3). </w:t>
        </w:r>
      </w:hyperlink>
      <w:hyperlink r:id="rId38">
        <w:r w:rsidRPr="007D46AC">
          <w:rPr>
            <w:rFonts w:ascii="Times New Roman" w:eastAsia="Times New Roman" w:hAnsi="Times New Roman" w:cs="Times New Roman"/>
            <w:i/>
            <w:color w:val="000000"/>
          </w:rPr>
          <w:t>JAMA</w:t>
        </w:r>
      </w:hyperlink>
      <w:hyperlink r:id="rId39">
        <w:r w:rsidRPr="007D46AC">
          <w:rPr>
            <w:rFonts w:ascii="Times New Roman" w:eastAsia="Times New Roman" w:hAnsi="Times New Roman" w:cs="Times New Roman"/>
            <w:color w:val="000000"/>
          </w:rPr>
          <w:t>. 2016;315(8):762-774.</w:t>
        </w:r>
      </w:hyperlink>
    </w:p>
    <w:p w14:paraId="000000ED"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5.</w:t>
      </w:r>
      <w:r w:rsidRPr="007D46AC">
        <w:rPr>
          <w:rFonts w:ascii="Times New Roman" w:eastAsia="Times New Roman" w:hAnsi="Times New Roman" w:cs="Times New Roman"/>
          <w:color w:val="000000"/>
        </w:rPr>
        <w:tab/>
      </w:r>
      <w:hyperlink r:id="rId40">
        <w:r w:rsidRPr="007D46AC">
          <w:rPr>
            <w:rFonts w:ascii="Times New Roman" w:eastAsia="Times New Roman" w:hAnsi="Times New Roman" w:cs="Times New Roman"/>
            <w:color w:val="000000"/>
          </w:rPr>
          <w:t xml:space="preserve">Singer M, Deutschman CS, Seymour CW, et al. The Third International </w:t>
        </w:r>
        <w:r w:rsidRPr="007D46AC">
          <w:rPr>
            <w:rFonts w:ascii="Times New Roman" w:eastAsia="Times New Roman" w:hAnsi="Times New Roman" w:cs="Times New Roman"/>
            <w:color w:val="000000"/>
          </w:rPr>
          <w:t xml:space="preserve">Consensus Definitions for Sepsis and Septic Shock (Sepsis-3). </w:t>
        </w:r>
      </w:hyperlink>
      <w:hyperlink r:id="rId41">
        <w:r w:rsidRPr="007D46AC">
          <w:rPr>
            <w:rFonts w:ascii="Times New Roman" w:eastAsia="Times New Roman" w:hAnsi="Times New Roman" w:cs="Times New Roman"/>
            <w:i/>
            <w:color w:val="000000"/>
          </w:rPr>
          <w:t>JAMA</w:t>
        </w:r>
      </w:hyperlink>
      <w:hyperlink r:id="rId42">
        <w:r w:rsidRPr="007D46AC">
          <w:rPr>
            <w:rFonts w:ascii="Times New Roman" w:eastAsia="Times New Roman" w:hAnsi="Times New Roman" w:cs="Times New Roman"/>
            <w:color w:val="000000"/>
          </w:rPr>
          <w:t>. 2016;315(8):801-810.</w:t>
        </w:r>
      </w:hyperlink>
    </w:p>
    <w:p w14:paraId="000000EE"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6.</w:t>
      </w:r>
      <w:r w:rsidRPr="007D46AC">
        <w:rPr>
          <w:rFonts w:ascii="Times New Roman" w:eastAsia="Times New Roman" w:hAnsi="Times New Roman" w:cs="Times New Roman"/>
          <w:color w:val="000000"/>
        </w:rPr>
        <w:tab/>
      </w:r>
      <w:hyperlink r:id="rId43">
        <w:r w:rsidRPr="007D46AC">
          <w:rPr>
            <w:rFonts w:ascii="Times New Roman" w:eastAsia="Times New Roman" w:hAnsi="Times New Roman" w:cs="Times New Roman"/>
            <w:color w:val="000000"/>
          </w:rPr>
          <w:t xml:space="preserve">Zeng X, Yu G, Lu Y, et al. PIC, a paediatric-specific intensive care database. </w:t>
        </w:r>
      </w:hyperlink>
      <w:hyperlink r:id="rId44">
        <w:r w:rsidRPr="007D46AC">
          <w:rPr>
            <w:rFonts w:ascii="Times New Roman" w:eastAsia="Times New Roman" w:hAnsi="Times New Roman" w:cs="Times New Roman"/>
            <w:i/>
            <w:color w:val="000000"/>
          </w:rPr>
          <w:t>Sci Data</w:t>
        </w:r>
      </w:hyperlink>
      <w:hyperlink r:id="rId45">
        <w:r w:rsidRPr="007D46AC">
          <w:rPr>
            <w:rFonts w:ascii="Times New Roman" w:eastAsia="Times New Roman" w:hAnsi="Times New Roman" w:cs="Times New Roman"/>
            <w:color w:val="000000"/>
          </w:rPr>
          <w:t>. 2020;7(1):14.</w:t>
        </w:r>
      </w:hyperlink>
    </w:p>
    <w:p w14:paraId="000000EF"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7.</w:t>
      </w:r>
      <w:r w:rsidRPr="007D46AC">
        <w:rPr>
          <w:rFonts w:ascii="Times New Roman" w:eastAsia="Times New Roman" w:hAnsi="Times New Roman" w:cs="Times New Roman"/>
          <w:color w:val="000000"/>
        </w:rPr>
        <w:tab/>
      </w:r>
      <w:hyperlink r:id="rId46">
        <w:r w:rsidRPr="007D46AC">
          <w:rPr>
            <w:rFonts w:ascii="Times New Roman" w:eastAsia="Times New Roman" w:hAnsi="Times New Roman" w:cs="Times New Roman"/>
            <w:color w:val="000000"/>
          </w:rPr>
          <w:t xml:space="preserve">Feinstein JA, Russell S, DeWitt PE, Feudtner C, Dai D, Bennett TD. R Package for Pediatric Complex Chronic Condition Classification. </w:t>
        </w:r>
      </w:hyperlink>
      <w:hyperlink r:id="rId47">
        <w:r w:rsidRPr="007D46AC">
          <w:rPr>
            <w:rFonts w:ascii="Times New Roman" w:eastAsia="Times New Roman" w:hAnsi="Times New Roman" w:cs="Times New Roman"/>
            <w:i/>
            <w:color w:val="000000"/>
          </w:rPr>
          <w:t>JAMA Pediatr</w:t>
        </w:r>
      </w:hyperlink>
      <w:hyperlink r:id="rId48">
        <w:r w:rsidRPr="007D46AC">
          <w:rPr>
            <w:rFonts w:ascii="Times New Roman" w:eastAsia="Times New Roman" w:hAnsi="Times New Roman" w:cs="Times New Roman"/>
            <w:color w:val="000000"/>
          </w:rPr>
          <w:t>. 2018;172(6):596-598.</w:t>
        </w:r>
      </w:hyperlink>
    </w:p>
    <w:p w14:paraId="000000F0"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8.</w:t>
      </w:r>
      <w:r w:rsidRPr="007D46AC">
        <w:rPr>
          <w:rFonts w:ascii="Times New Roman" w:eastAsia="Times New Roman" w:hAnsi="Times New Roman" w:cs="Times New Roman"/>
          <w:color w:val="000000"/>
        </w:rPr>
        <w:tab/>
      </w:r>
      <w:hyperlink r:id="rId49">
        <w:r w:rsidRPr="007D46AC">
          <w:rPr>
            <w:rFonts w:ascii="Times New Roman" w:eastAsia="Times New Roman" w:hAnsi="Times New Roman" w:cs="Times New Roman"/>
            <w:color w:val="000000"/>
          </w:rPr>
          <w:t xml:space="preserve">World Health Organization. Nutrition for Health and Development. </w:t>
        </w:r>
      </w:hyperlink>
      <w:hyperlink r:id="rId50">
        <w:r w:rsidRPr="007D46AC">
          <w:rPr>
            <w:rFonts w:ascii="Times New Roman" w:eastAsia="Times New Roman" w:hAnsi="Times New Roman" w:cs="Times New Roman"/>
            <w:i/>
            <w:color w:val="000000"/>
          </w:rPr>
          <w:t>WHO</w:t>
        </w:r>
        <w:r w:rsidRPr="007D46AC">
          <w:rPr>
            <w:rFonts w:ascii="Times New Roman" w:eastAsia="Times New Roman" w:hAnsi="Times New Roman" w:cs="Times New Roman"/>
            <w:i/>
            <w:color w:val="000000"/>
          </w:rPr>
          <w:t xml:space="preserve"> Child Growth Standards: Growth Velocity Based on Weight, Length and Head Circumference : Methods and Development</w:t>
        </w:r>
      </w:hyperlink>
      <w:hyperlink r:id="rId51">
        <w:r w:rsidRPr="007D46AC">
          <w:rPr>
            <w:rFonts w:ascii="Times New Roman" w:eastAsia="Times New Roman" w:hAnsi="Times New Roman" w:cs="Times New Roman"/>
            <w:color w:val="000000"/>
          </w:rPr>
          <w:t>. World Health Organization; 2009.</w:t>
        </w:r>
      </w:hyperlink>
    </w:p>
    <w:p w14:paraId="000000F1"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9.</w:t>
      </w:r>
      <w:r w:rsidRPr="007D46AC">
        <w:rPr>
          <w:rFonts w:ascii="Times New Roman" w:eastAsia="Times New Roman" w:hAnsi="Times New Roman" w:cs="Times New Roman"/>
          <w:color w:val="000000"/>
        </w:rPr>
        <w:tab/>
      </w:r>
      <w:hyperlink r:id="rId52">
        <w:r w:rsidRPr="007D46AC">
          <w:rPr>
            <w:rFonts w:ascii="Times New Roman" w:eastAsia="Times New Roman" w:hAnsi="Times New Roman" w:cs="Times New Roman"/>
            <w:color w:val="000000"/>
          </w:rPr>
          <w:t xml:space="preserve">Ozenne B, Subtil F, Maucort-Boulch D. The precision--recall curve overcame the optimism of the receiver operating characteristic curve in rare diseases. </w:t>
        </w:r>
      </w:hyperlink>
      <w:hyperlink r:id="rId53">
        <w:r w:rsidRPr="007D46AC">
          <w:rPr>
            <w:rFonts w:ascii="Times New Roman" w:eastAsia="Times New Roman" w:hAnsi="Times New Roman" w:cs="Times New Roman"/>
            <w:i/>
            <w:color w:val="000000"/>
          </w:rPr>
          <w:t>J Clin Epidemiol</w:t>
        </w:r>
      </w:hyperlink>
      <w:hyperlink r:id="rId54">
        <w:r w:rsidRPr="007D46AC">
          <w:rPr>
            <w:rFonts w:ascii="Times New Roman" w:eastAsia="Times New Roman" w:hAnsi="Times New Roman" w:cs="Times New Roman"/>
            <w:color w:val="000000"/>
          </w:rPr>
          <w:t>. 2015;68(8):855-859.</w:t>
        </w:r>
      </w:hyperlink>
    </w:p>
    <w:p w14:paraId="000000F2"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10.</w:t>
      </w:r>
      <w:r w:rsidRPr="007D46AC">
        <w:rPr>
          <w:rFonts w:ascii="Times New Roman" w:eastAsia="Times New Roman" w:hAnsi="Times New Roman" w:cs="Times New Roman"/>
          <w:color w:val="000000"/>
        </w:rPr>
        <w:tab/>
      </w:r>
      <w:hyperlink r:id="rId55">
        <w:r w:rsidRPr="007D46AC">
          <w:rPr>
            <w:rFonts w:ascii="Times New Roman" w:eastAsia="Times New Roman" w:hAnsi="Times New Roman" w:cs="Times New Roman"/>
            <w:color w:val="000000"/>
          </w:rPr>
          <w:t xml:space="preserve">Saito T, Rehmsmeier M. The Precision-Recall Plot Is More Informative than the ROC Plot When Evaluating Binary Classifiers on Imbalanced Datasets. </w:t>
        </w:r>
      </w:hyperlink>
      <w:hyperlink r:id="rId56">
        <w:r w:rsidRPr="007D46AC">
          <w:rPr>
            <w:rFonts w:ascii="Times New Roman" w:eastAsia="Times New Roman" w:hAnsi="Times New Roman" w:cs="Times New Roman"/>
            <w:i/>
            <w:color w:val="000000"/>
          </w:rPr>
          <w:t>PLoS One</w:t>
        </w:r>
      </w:hyperlink>
      <w:hyperlink r:id="rId57">
        <w:r w:rsidRPr="007D46AC">
          <w:rPr>
            <w:rFonts w:ascii="Times New Roman" w:eastAsia="Times New Roman" w:hAnsi="Times New Roman" w:cs="Times New Roman"/>
            <w:color w:val="000000"/>
          </w:rPr>
          <w:t>. 2015;10(3):e0118432.</w:t>
        </w:r>
      </w:hyperlink>
    </w:p>
    <w:p w14:paraId="000000F3"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11.</w:t>
      </w:r>
      <w:r w:rsidRPr="007D46AC">
        <w:rPr>
          <w:rFonts w:ascii="Times New Roman" w:eastAsia="Times New Roman" w:hAnsi="Times New Roman" w:cs="Times New Roman"/>
          <w:color w:val="000000"/>
        </w:rPr>
        <w:tab/>
      </w:r>
      <w:hyperlink r:id="rId58">
        <w:r w:rsidRPr="007D46AC">
          <w:rPr>
            <w:rFonts w:ascii="Times New Roman" w:eastAsia="Times New Roman" w:hAnsi="Times New Roman" w:cs="Times New Roman"/>
            <w:color w:val="000000"/>
          </w:rPr>
          <w:t xml:space="preserve">Wolpert DH. Stacked generalization. </w:t>
        </w:r>
      </w:hyperlink>
      <w:hyperlink r:id="rId59">
        <w:r w:rsidRPr="007D46AC">
          <w:rPr>
            <w:rFonts w:ascii="Times New Roman" w:eastAsia="Times New Roman" w:hAnsi="Times New Roman" w:cs="Times New Roman"/>
            <w:i/>
            <w:color w:val="000000"/>
          </w:rPr>
          <w:t>Neural Netw</w:t>
        </w:r>
      </w:hyperlink>
      <w:hyperlink r:id="rId60">
        <w:r w:rsidRPr="007D46AC">
          <w:rPr>
            <w:rFonts w:ascii="Times New Roman" w:eastAsia="Times New Roman" w:hAnsi="Times New Roman" w:cs="Times New Roman"/>
            <w:color w:val="000000"/>
          </w:rPr>
          <w:t>. 1992;5(2):241-259.</w:t>
        </w:r>
      </w:hyperlink>
    </w:p>
    <w:p w14:paraId="000000F4"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12.</w:t>
      </w:r>
      <w:r w:rsidRPr="007D46AC">
        <w:rPr>
          <w:rFonts w:ascii="Times New Roman" w:eastAsia="Times New Roman" w:hAnsi="Times New Roman" w:cs="Times New Roman"/>
          <w:color w:val="000000"/>
        </w:rPr>
        <w:tab/>
      </w:r>
      <w:hyperlink r:id="rId61">
        <w:r w:rsidRPr="007D46AC">
          <w:rPr>
            <w:rFonts w:ascii="Times New Roman" w:eastAsia="Times New Roman" w:hAnsi="Times New Roman" w:cs="Times New Roman"/>
            <w:color w:val="000000"/>
          </w:rPr>
          <w:t xml:space="preserve">Breiman L. Stacked regressions. </w:t>
        </w:r>
      </w:hyperlink>
      <w:hyperlink r:id="rId62">
        <w:r w:rsidRPr="007D46AC">
          <w:rPr>
            <w:rFonts w:ascii="Times New Roman" w:eastAsia="Times New Roman" w:hAnsi="Times New Roman" w:cs="Times New Roman"/>
            <w:i/>
            <w:color w:val="000000"/>
          </w:rPr>
          <w:t>Mach Learn</w:t>
        </w:r>
      </w:hyperlink>
      <w:hyperlink r:id="rId63">
        <w:r w:rsidRPr="007D46AC">
          <w:rPr>
            <w:rFonts w:ascii="Times New Roman" w:eastAsia="Times New Roman" w:hAnsi="Times New Roman" w:cs="Times New Roman"/>
            <w:color w:val="000000"/>
          </w:rPr>
          <w:t>. 1996;24(1):49-64.</w:t>
        </w:r>
      </w:hyperlink>
    </w:p>
    <w:p w14:paraId="000000F5"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13.</w:t>
      </w:r>
      <w:r w:rsidRPr="007D46AC">
        <w:rPr>
          <w:rFonts w:ascii="Times New Roman" w:eastAsia="Times New Roman" w:hAnsi="Times New Roman" w:cs="Times New Roman"/>
          <w:color w:val="000000"/>
        </w:rPr>
        <w:tab/>
      </w:r>
      <w:hyperlink r:id="rId64">
        <w:r w:rsidRPr="007D46AC">
          <w:rPr>
            <w:rFonts w:ascii="Times New Roman" w:eastAsia="Times New Roman" w:hAnsi="Times New Roman" w:cs="Times New Roman"/>
            <w:color w:val="000000"/>
          </w:rPr>
          <w:t>Proulx F, Fayon M, Farrell CA, Lacroix J, Gauthier M. Epide</w:t>
        </w:r>
        <w:r w:rsidRPr="007D46AC">
          <w:rPr>
            <w:rFonts w:ascii="Times New Roman" w:eastAsia="Times New Roman" w:hAnsi="Times New Roman" w:cs="Times New Roman"/>
            <w:color w:val="000000"/>
          </w:rPr>
          <w:t xml:space="preserve">miology of sepsis and multiple organ dysfunction syndrome in children. </w:t>
        </w:r>
      </w:hyperlink>
      <w:hyperlink r:id="rId65">
        <w:r w:rsidRPr="007D46AC">
          <w:rPr>
            <w:rFonts w:ascii="Times New Roman" w:eastAsia="Times New Roman" w:hAnsi="Times New Roman" w:cs="Times New Roman"/>
            <w:i/>
            <w:color w:val="000000"/>
          </w:rPr>
          <w:t>Chest</w:t>
        </w:r>
      </w:hyperlink>
      <w:hyperlink r:id="rId66">
        <w:r w:rsidRPr="007D46AC">
          <w:rPr>
            <w:rFonts w:ascii="Times New Roman" w:eastAsia="Times New Roman" w:hAnsi="Times New Roman" w:cs="Times New Roman"/>
            <w:color w:val="000000"/>
          </w:rPr>
          <w:t>. 1996;109(4):1033-1037.</w:t>
        </w:r>
      </w:hyperlink>
    </w:p>
    <w:p w14:paraId="000000F6"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14.</w:t>
      </w:r>
      <w:r w:rsidRPr="007D46AC">
        <w:rPr>
          <w:rFonts w:ascii="Times New Roman" w:eastAsia="Times New Roman" w:hAnsi="Times New Roman" w:cs="Times New Roman"/>
          <w:color w:val="000000"/>
        </w:rPr>
        <w:tab/>
      </w:r>
      <w:hyperlink r:id="rId67">
        <w:r w:rsidRPr="007D46AC">
          <w:rPr>
            <w:rFonts w:ascii="Times New Roman" w:eastAsia="Times New Roman" w:hAnsi="Times New Roman" w:cs="Times New Roman"/>
            <w:color w:val="000000"/>
          </w:rPr>
          <w:t xml:space="preserve">Matics TJ, Sanchez-Pinto LN. Adaptation and Validation of a Pediatric Sequential Organ Failure Assessment Score and Evaluation of the Sepsis-3 Definitions in Critically Ill Children. </w:t>
        </w:r>
      </w:hyperlink>
      <w:hyperlink r:id="rId68">
        <w:r w:rsidRPr="007D46AC">
          <w:rPr>
            <w:rFonts w:ascii="Times New Roman" w:eastAsia="Times New Roman" w:hAnsi="Times New Roman" w:cs="Times New Roman"/>
            <w:i/>
            <w:color w:val="000000"/>
          </w:rPr>
          <w:t>JAMA</w:t>
        </w:r>
        <w:r w:rsidRPr="007D46AC">
          <w:rPr>
            <w:rFonts w:ascii="Times New Roman" w:eastAsia="Times New Roman" w:hAnsi="Times New Roman" w:cs="Times New Roman"/>
            <w:i/>
            <w:color w:val="000000"/>
          </w:rPr>
          <w:t xml:space="preserve"> Pediatr</w:t>
        </w:r>
      </w:hyperlink>
      <w:hyperlink r:id="rId69">
        <w:r w:rsidRPr="007D46AC">
          <w:rPr>
            <w:rFonts w:ascii="Times New Roman" w:eastAsia="Times New Roman" w:hAnsi="Times New Roman" w:cs="Times New Roman"/>
            <w:color w:val="000000"/>
          </w:rPr>
          <w:t>. 2017;171(10):e172352.</w:t>
        </w:r>
      </w:hyperlink>
    </w:p>
    <w:p w14:paraId="000000F7"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15.</w:t>
      </w:r>
      <w:r w:rsidRPr="007D46AC">
        <w:rPr>
          <w:rFonts w:ascii="Times New Roman" w:eastAsia="Times New Roman" w:hAnsi="Times New Roman" w:cs="Times New Roman"/>
          <w:color w:val="000000"/>
        </w:rPr>
        <w:tab/>
      </w:r>
      <w:hyperlink r:id="rId70">
        <w:r w:rsidRPr="007D46AC">
          <w:rPr>
            <w:rFonts w:ascii="Times New Roman" w:eastAsia="Times New Roman" w:hAnsi="Times New Roman" w:cs="Times New Roman"/>
            <w:color w:val="000000"/>
          </w:rPr>
          <w:t>Leteurtre S, Duhamel A, Salleron J, et al. PELOD-2: an update of the PEdiatric logistic organ dysfunction scor</w:t>
        </w:r>
        <w:r w:rsidRPr="007D46AC">
          <w:rPr>
            <w:rFonts w:ascii="Times New Roman" w:eastAsia="Times New Roman" w:hAnsi="Times New Roman" w:cs="Times New Roman"/>
            <w:color w:val="000000"/>
          </w:rPr>
          <w:t xml:space="preserve">e. </w:t>
        </w:r>
      </w:hyperlink>
      <w:hyperlink r:id="rId71">
        <w:r w:rsidRPr="007D46AC">
          <w:rPr>
            <w:rFonts w:ascii="Times New Roman" w:eastAsia="Times New Roman" w:hAnsi="Times New Roman" w:cs="Times New Roman"/>
            <w:i/>
            <w:color w:val="000000"/>
          </w:rPr>
          <w:t>Crit Care Med</w:t>
        </w:r>
      </w:hyperlink>
      <w:hyperlink r:id="rId72">
        <w:r w:rsidRPr="007D46AC">
          <w:rPr>
            <w:rFonts w:ascii="Times New Roman" w:eastAsia="Times New Roman" w:hAnsi="Times New Roman" w:cs="Times New Roman"/>
            <w:color w:val="000000"/>
          </w:rPr>
          <w:t>. 2013;41(7):1761-1773.</w:t>
        </w:r>
      </w:hyperlink>
    </w:p>
    <w:p w14:paraId="000000F8"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16.</w:t>
      </w:r>
      <w:r w:rsidRPr="007D46AC">
        <w:rPr>
          <w:rFonts w:ascii="Times New Roman" w:eastAsia="Times New Roman" w:hAnsi="Times New Roman" w:cs="Times New Roman"/>
          <w:color w:val="000000"/>
        </w:rPr>
        <w:tab/>
      </w:r>
      <w:hyperlink r:id="rId73">
        <w:r w:rsidRPr="007D46AC">
          <w:rPr>
            <w:rFonts w:ascii="Times New Roman" w:eastAsia="Times New Roman" w:hAnsi="Times New Roman" w:cs="Times New Roman"/>
            <w:color w:val="000000"/>
          </w:rPr>
          <w:t>Rousseaux J, Grandbastien B, Dorkenoo A, Lampin</w:t>
        </w:r>
        <w:r w:rsidRPr="007D46AC">
          <w:rPr>
            <w:rFonts w:ascii="Times New Roman" w:eastAsia="Times New Roman" w:hAnsi="Times New Roman" w:cs="Times New Roman"/>
            <w:color w:val="000000"/>
          </w:rPr>
          <w:t xml:space="preserve"> ME, Leteurtre S, Leclerc F. Prognostic value of shock index in children with septic shock. </w:t>
        </w:r>
      </w:hyperlink>
      <w:hyperlink r:id="rId74">
        <w:r w:rsidRPr="007D46AC">
          <w:rPr>
            <w:rFonts w:ascii="Times New Roman" w:eastAsia="Times New Roman" w:hAnsi="Times New Roman" w:cs="Times New Roman"/>
            <w:i/>
            <w:color w:val="000000"/>
          </w:rPr>
          <w:t>Pediatr Emerg Care</w:t>
        </w:r>
      </w:hyperlink>
      <w:hyperlink r:id="rId75">
        <w:r w:rsidRPr="007D46AC">
          <w:rPr>
            <w:rFonts w:ascii="Times New Roman" w:eastAsia="Times New Roman" w:hAnsi="Times New Roman" w:cs="Times New Roman"/>
            <w:color w:val="000000"/>
          </w:rPr>
          <w:t>. 2013;29(10):1055-1059.</w:t>
        </w:r>
      </w:hyperlink>
    </w:p>
    <w:p w14:paraId="000000F9"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17.</w:t>
      </w:r>
      <w:r w:rsidRPr="007D46AC">
        <w:rPr>
          <w:rFonts w:ascii="Times New Roman" w:eastAsia="Times New Roman" w:hAnsi="Times New Roman" w:cs="Times New Roman"/>
          <w:color w:val="000000"/>
        </w:rPr>
        <w:tab/>
      </w:r>
      <w:hyperlink r:id="rId76">
        <w:r w:rsidRPr="007D46AC">
          <w:rPr>
            <w:rFonts w:ascii="Times New Roman" w:eastAsia="Times New Roman" w:hAnsi="Times New Roman" w:cs="Times New Roman"/>
            <w:color w:val="000000"/>
          </w:rPr>
          <w:t xml:space="preserve">Khemani RG, Bart RD, Alonzo TA, Hatzakis G, Hallam D, Newth CJL. Disseminated intravascular coagulation score is associated with mortality for children with shock. </w:t>
        </w:r>
      </w:hyperlink>
      <w:hyperlink r:id="rId77">
        <w:r w:rsidRPr="007D46AC">
          <w:rPr>
            <w:rFonts w:ascii="Times New Roman" w:eastAsia="Times New Roman" w:hAnsi="Times New Roman" w:cs="Times New Roman"/>
            <w:i/>
            <w:color w:val="000000"/>
          </w:rPr>
          <w:t>Intensive Care Med</w:t>
        </w:r>
      </w:hyperlink>
      <w:hyperlink r:id="rId78">
        <w:r w:rsidRPr="007D46AC">
          <w:rPr>
            <w:rFonts w:ascii="Times New Roman" w:eastAsia="Times New Roman" w:hAnsi="Times New Roman" w:cs="Times New Roman"/>
            <w:color w:val="000000"/>
          </w:rPr>
          <w:t>. 2009;35(2):327-333.</w:t>
        </w:r>
      </w:hyperlink>
    </w:p>
    <w:p w14:paraId="000000FA"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18.</w:t>
      </w:r>
      <w:r w:rsidRPr="007D46AC">
        <w:rPr>
          <w:rFonts w:ascii="Times New Roman" w:eastAsia="Times New Roman" w:hAnsi="Times New Roman" w:cs="Times New Roman"/>
          <w:color w:val="000000"/>
        </w:rPr>
        <w:tab/>
      </w:r>
      <w:hyperlink r:id="rId79">
        <w:r w:rsidRPr="007D46AC">
          <w:rPr>
            <w:rFonts w:ascii="Times New Roman" w:eastAsia="Times New Roman" w:hAnsi="Times New Roman" w:cs="Times New Roman"/>
            <w:color w:val="000000"/>
          </w:rPr>
          <w:t xml:space="preserve">Haque A, Siddiqui NR, Munir O, Saleem S, Mian A. Association between vasoactive-inotropic score and mortality in pediatric septic shock. </w:t>
        </w:r>
      </w:hyperlink>
      <w:hyperlink r:id="rId80">
        <w:r w:rsidRPr="007D46AC">
          <w:rPr>
            <w:rFonts w:ascii="Times New Roman" w:eastAsia="Times New Roman" w:hAnsi="Times New Roman" w:cs="Times New Roman"/>
            <w:i/>
            <w:color w:val="000000"/>
          </w:rPr>
          <w:t>Indian Pediatr</w:t>
        </w:r>
      </w:hyperlink>
      <w:hyperlink r:id="rId81">
        <w:r w:rsidRPr="007D46AC">
          <w:rPr>
            <w:rFonts w:ascii="Times New Roman" w:eastAsia="Times New Roman" w:hAnsi="Times New Roman" w:cs="Times New Roman"/>
            <w:color w:val="000000"/>
          </w:rPr>
          <w:t>. 2015;52(4):311-313.</w:t>
        </w:r>
      </w:hyperlink>
    </w:p>
    <w:p w14:paraId="000000FB"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19.</w:t>
      </w:r>
      <w:r w:rsidRPr="007D46AC">
        <w:rPr>
          <w:rFonts w:ascii="Times New Roman" w:eastAsia="Times New Roman" w:hAnsi="Times New Roman" w:cs="Times New Roman"/>
          <w:color w:val="000000"/>
        </w:rPr>
        <w:tab/>
      </w:r>
      <w:hyperlink r:id="rId82">
        <w:r w:rsidRPr="007D46AC">
          <w:rPr>
            <w:rFonts w:ascii="Times New Roman" w:eastAsia="Times New Roman" w:hAnsi="Times New Roman" w:cs="Times New Roman"/>
            <w:color w:val="000000"/>
          </w:rPr>
          <w:t xml:space="preserve">Tharwat A. Classification assessment methods. </w:t>
        </w:r>
      </w:hyperlink>
      <w:hyperlink r:id="rId83">
        <w:r w:rsidRPr="007D46AC">
          <w:rPr>
            <w:rFonts w:ascii="Times New Roman" w:eastAsia="Times New Roman" w:hAnsi="Times New Roman" w:cs="Times New Roman"/>
            <w:i/>
            <w:color w:val="000000"/>
          </w:rPr>
          <w:t>Applied Computing and Informatics</w:t>
        </w:r>
      </w:hyperlink>
      <w:hyperlink r:id="rId84">
        <w:r w:rsidRPr="007D46AC">
          <w:rPr>
            <w:rFonts w:ascii="Times New Roman" w:eastAsia="Times New Roman" w:hAnsi="Times New Roman" w:cs="Times New Roman"/>
            <w:color w:val="000000"/>
          </w:rPr>
          <w:t>. 2020;17(1):168-192.</w:t>
        </w:r>
      </w:hyperlink>
    </w:p>
    <w:p w14:paraId="000000FC"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20.</w:t>
      </w:r>
      <w:r w:rsidRPr="007D46AC">
        <w:rPr>
          <w:rFonts w:ascii="Times New Roman" w:eastAsia="Times New Roman" w:hAnsi="Times New Roman" w:cs="Times New Roman"/>
          <w:color w:val="000000"/>
        </w:rPr>
        <w:tab/>
      </w:r>
      <w:hyperlink r:id="rId85">
        <w:r w:rsidRPr="007D46AC">
          <w:rPr>
            <w:rFonts w:ascii="Times New Roman" w:eastAsia="Times New Roman" w:hAnsi="Times New Roman" w:cs="Times New Roman"/>
            <w:color w:val="000000"/>
          </w:rPr>
          <w:t>Scott HF, Brilli RJ, Paul R, et al. Evaluating Pediatric Sepsis Definitions Designed for Electronic Health Record Extraction and Multicenter Quality Improve</w:t>
        </w:r>
        <w:r w:rsidRPr="007D46AC">
          <w:rPr>
            <w:rFonts w:ascii="Times New Roman" w:eastAsia="Times New Roman" w:hAnsi="Times New Roman" w:cs="Times New Roman"/>
            <w:color w:val="000000"/>
          </w:rPr>
          <w:t xml:space="preserve">ment. </w:t>
        </w:r>
      </w:hyperlink>
      <w:hyperlink r:id="rId86">
        <w:r w:rsidRPr="007D46AC">
          <w:rPr>
            <w:rFonts w:ascii="Times New Roman" w:eastAsia="Times New Roman" w:hAnsi="Times New Roman" w:cs="Times New Roman"/>
            <w:i/>
            <w:color w:val="000000"/>
          </w:rPr>
          <w:t>Crit Care Med</w:t>
        </w:r>
      </w:hyperlink>
      <w:hyperlink r:id="rId87">
        <w:r w:rsidRPr="007D46AC">
          <w:rPr>
            <w:rFonts w:ascii="Times New Roman" w:eastAsia="Times New Roman" w:hAnsi="Times New Roman" w:cs="Times New Roman"/>
            <w:color w:val="000000"/>
          </w:rPr>
          <w:t>. 2020;48(10):e916-e926.</w:t>
        </w:r>
      </w:hyperlink>
    </w:p>
    <w:p w14:paraId="000000FD"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21.</w:t>
      </w:r>
      <w:r w:rsidRPr="007D46AC">
        <w:rPr>
          <w:rFonts w:ascii="Times New Roman" w:eastAsia="Times New Roman" w:hAnsi="Times New Roman" w:cs="Times New Roman"/>
          <w:color w:val="000000"/>
        </w:rPr>
        <w:tab/>
      </w:r>
      <w:hyperlink r:id="rId88">
        <w:r w:rsidRPr="007D46AC">
          <w:rPr>
            <w:rFonts w:ascii="Times New Roman" w:eastAsia="Times New Roman" w:hAnsi="Times New Roman" w:cs="Times New Roman"/>
            <w:color w:val="000000"/>
          </w:rPr>
          <w:t>Wyber R, Vaillancourt S, Perry W, Mannava P</w:t>
        </w:r>
        <w:r w:rsidRPr="007D46AC">
          <w:rPr>
            <w:rFonts w:ascii="Times New Roman" w:eastAsia="Times New Roman" w:hAnsi="Times New Roman" w:cs="Times New Roman"/>
            <w:color w:val="000000"/>
          </w:rPr>
          <w:t xml:space="preserve">, Folaranmi T, Celi LA. Big data in global health: improving health in low- and middle-income countries. </w:t>
        </w:r>
      </w:hyperlink>
      <w:hyperlink r:id="rId89">
        <w:r w:rsidRPr="007D46AC">
          <w:rPr>
            <w:rFonts w:ascii="Times New Roman" w:eastAsia="Times New Roman" w:hAnsi="Times New Roman" w:cs="Times New Roman"/>
            <w:i/>
            <w:color w:val="000000"/>
          </w:rPr>
          <w:t>Bull World Health Organ</w:t>
        </w:r>
      </w:hyperlink>
      <w:hyperlink r:id="rId90">
        <w:r w:rsidRPr="007D46AC">
          <w:rPr>
            <w:rFonts w:ascii="Times New Roman" w:eastAsia="Times New Roman" w:hAnsi="Times New Roman" w:cs="Times New Roman"/>
            <w:color w:val="000000"/>
          </w:rPr>
          <w:t>. 2015;93(3):203-2</w:t>
        </w:r>
        <w:r w:rsidRPr="007D46AC">
          <w:rPr>
            <w:rFonts w:ascii="Times New Roman" w:eastAsia="Times New Roman" w:hAnsi="Times New Roman" w:cs="Times New Roman"/>
            <w:color w:val="000000"/>
          </w:rPr>
          <w:t>08.</w:t>
        </w:r>
      </w:hyperlink>
    </w:p>
    <w:p w14:paraId="000000FE"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22.</w:t>
      </w:r>
      <w:r w:rsidRPr="007D46AC">
        <w:rPr>
          <w:rFonts w:ascii="Times New Roman" w:eastAsia="Times New Roman" w:hAnsi="Times New Roman" w:cs="Times New Roman"/>
          <w:color w:val="000000"/>
        </w:rPr>
        <w:tab/>
      </w:r>
      <w:hyperlink r:id="rId91">
        <w:r w:rsidRPr="007D46AC">
          <w:rPr>
            <w:rFonts w:ascii="Times New Roman" w:eastAsia="Times New Roman" w:hAnsi="Times New Roman" w:cs="Times New Roman"/>
            <w:color w:val="000000"/>
          </w:rPr>
          <w:t xml:space="preserve">Morin L, Hall M, de Souza D, et al. The Current and Future State of Pediatric Sepsis Definitions: An International Survey. </w:t>
        </w:r>
      </w:hyperlink>
      <w:hyperlink r:id="rId92">
        <w:r w:rsidRPr="007D46AC">
          <w:rPr>
            <w:rFonts w:ascii="Times New Roman" w:eastAsia="Times New Roman" w:hAnsi="Times New Roman" w:cs="Times New Roman"/>
            <w:i/>
            <w:color w:val="000000"/>
          </w:rPr>
          <w:t>Pediatrics</w:t>
        </w:r>
      </w:hyperlink>
      <w:hyperlink r:id="rId93">
        <w:r w:rsidRPr="007D46AC">
          <w:rPr>
            <w:rFonts w:ascii="Times New Roman" w:eastAsia="Times New Roman" w:hAnsi="Times New Roman" w:cs="Times New Roman"/>
            <w:color w:val="000000"/>
          </w:rPr>
          <w:t>. 2022;149(6). doi:</w:t>
        </w:r>
      </w:hyperlink>
      <w:hyperlink r:id="rId94">
        <w:r w:rsidRPr="007D46AC">
          <w:rPr>
            <w:rFonts w:ascii="Times New Roman" w:eastAsia="Times New Roman" w:hAnsi="Times New Roman" w:cs="Times New Roman"/>
            <w:color w:val="000000"/>
          </w:rPr>
          <w:t>10.1542/peds.2021-052565</w:t>
        </w:r>
      </w:hyperlink>
    </w:p>
    <w:p w14:paraId="000000FF"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23.</w:t>
      </w:r>
      <w:r w:rsidRPr="007D46AC">
        <w:rPr>
          <w:rFonts w:ascii="Times New Roman" w:eastAsia="Times New Roman" w:hAnsi="Times New Roman" w:cs="Times New Roman"/>
          <w:color w:val="000000"/>
        </w:rPr>
        <w:tab/>
      </w:r>
      <w:hyperlink r:id="rId95">
        <w:r w:rsidRPr="007D46AC">
          <w:rPr>
            <w:rFonts w:ascii="Times New Roman" w:eastAsia="Times New Roman" w:hAnsi="Times New Roman" w:cs="Times New Roman"/>
            <w:color w:val="000000"/>
          </w:rPr>
          <w:t>Jimenez-Zambrano A, Ritger C, Rebull</w:t>
        </w:r>
        <w:r w:rsidRPr="007D46AC">
          <w:rPr>
            <w:rFonts w:ascii="Times New Roman" w:eastAsia="Times New Roman" w:hAnsi="Times New Roman" w:cs="Times New Roman"/>
            <w:color w:val="000000"/>
          </w:rPr>
          <w:t xml:space="preserve"> M, et al. Clinical decision support tools for paediatric sepsis in resource-poor settings: an international qualitative study. </w:t>
        </w:r>
      </w:hyperlink>
      <w:hyperlink r:id="rId96">
        <w:r w:rsidRPr="007D46AC">
          <w:rPr>
            <w:rFonts w:ascii="Times New Roman" w:eastAsia="Times New Roman" w:hAnsi="Times New Roman" w:cs="Times New Roman"/>
            <w:i/>
            <w:color w:val="000000"/>
          </w:rPr>
          <w:t>BMJ Open</w:t>
        </w:r>
      </w:hyperlink>
      <w:hyperlink r:id="rId97">
        <w:r w:rsidRPr="007D46AC">
          <w:rPr>
            <w:rFonts w:ascii="Times New Roman" w:eastAsia="Times New Roman" w:hAnsi="Times New Roman" w:cs="Times New Roman"/>
            <w:color w:val="000000"/>
          </w:rPr>
          <w:t>. 2023;13(</w:t>
        </w:r>
        <w:r w:rsidRPr="007D46AC">
          <w:rPr>
            <w:rFonts w:ascii="Times New Roman" w:eastAsia="Times New Roman" w:hAnsi="Times New Roman" w:cs="Times New Roman"/>
            <w:color w:val="000000"/>
          </w:rPr>
          <w:t>10):e074458.</w:t>
        </w:r>
      </w:hyperlink>
    </w:p>
    <w:p w14:paraId="00000100" w14:textId="77777777" w:rsidR="00DF71A5" w:rsidRPr="007D46AC" w:rsidRDefault="00197EEA">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7D46AC">
        <w:rPr>
          <w:rFonts w:ascii="Times New Roman" w:eastAsia="Times New Roman" w:hAnsi="Times New Roman" w:cs="Times New Roman"/>
          <w:color w:val="000000"/>
        </w:rPr>
        <w:t>24.</w:t>
      </w:r>
      <w:r w:rsidRPr="007D46AC">
        <w:rPr>
          <w:rFonts w:ascii="Times New Roman" w:eastAsia="Times New Roman" w:hAnsi="Times New Roman" w:cs="Times New Roman"/>
          <w:color w:val="000000"/>
        </w:rPr>
        <w:tab/>
      </w:r>
      <w:hyperlink r:id="rId98">
        <w:r w:rsidRPr="007D46AC">
          <w:rPr>
            <w:rFonts w:ascii="Times New Roman" w:eastAsia="Times New Roman" w:hAnsi="Times New Roman" w:cs="Times New Roman"/>
            <w:color w:val="000000"/>
          </w:rPr>
          <w:t xml:space="preserve">Ibrahim H, Liu X, Zariffa N, Morris AD, Denniston AK. Health data poverty: an assailable barrier to equitable digital health care. </w:t>
        </w:r>
      </w:hyperlink>
      <w:hyperlink r:id="rId99">
        <w:r w:rsidRPr="007D46AC">
          <w:rPr>
            <w:rFonts w:ascii="Times New Roman" w:eastAsia="Times New Roman" w:hAnsi="Times New Roman" w:cs="Times New Roman"/>
            <w:i/>
            <w:color w:val="000000"/>
          </w:rPr>
          <w:t>Lancet Digit Health</w:t>
        </w:r>
      </w:hyperlink>
      <w:hyperlink r:id="rId100">
        <w:r w:rsidRPr="007D46AC">
          <w:rPr>
            <w:rFonts w:ascii="Times New Roman" w:eastAsia="Times New Roman" w:hAnsi="Times New Roman" w:cs="Times New Roman"/>
            <w:color w:val="000000"/>
          </w:rPr>
          <w:t>. 2021;3(4):e260-e265.</w:t>
        </w:r>
      </w:hyperlink>
    </w:p>
    <w:p w14:paraId="00000101" w14:textId="77777777" w:rsidR="00DF71A5" w:rsidRPr="007D46AC" w:rsidRDefault="00DF71A5">
      <w:pPr>
        <w:spacing w:line="480" w:lineRule="auto"/>
        <w:rPr>
          <w:rFonts w:ascii="Times New Roman" w:eastAsia="Times New Roman" w:hAnsi="Times New Roman" w:cs="Times New Roman"/>
        </w:rPr>
      </w:pPr>
    </w:p>
    <w:p w14:paraId="00000105" w14:textId="4A80AD54" w:rsidR="00DF71A5" w:rsidRDefault="00197EEA">
      <w:pPr>
        <w:spacing w:line="480" w:lineRule="auto"/>
        <w:rPr>
          <w:rFonts w:ascii="Times New Roman" w:eastAsia="Times New Roman" w:hAnsi="Times New Roman" w:cs="Times New Roman"/>
        </w:rPr>
      </w:pPr>
      <w:r w:rsidRPr="007D46AC">
        <w:rPr>
          <w:rFonts w:ascii="Times New Roman" w:eastAsia="Times New Roman" w:hAnsi="Times New Roman" w:cs="Times New Roman"/>
        </w:rPr>
        <w:t xml:space="preserve"> </w:t>
      </w:r>
    </w:p>
    <w:p w14:paraId="4B740717" w14:textId="77777777" w:rsidR="006B3A11" w:rsidRPr="004720F7" w:rsidRDefault="006B3A11" w:rsidP="006B3A11">
      <w:pPr>
        <w:rPr>
          <w:rFonts w:ascii="Times New Roman" w:hAnsi="Times New Roman" w:cs="Times New Roman"/>
          <w:b/>
          <w:bCs/>
          <w:color w:val="000000"/>
        </w:rPr>
      </w:pPr>
      <w:r w:rsidRPr="004720F7">
        <w:rPr>
          <w:rFonts w:ascii="Times New Roman" w:hAnsi="Times New Roman" w:cs="Times New Roman"/>
          <w:b/>
          <w:bCs/>
          <w:color w:val="000000"/>
        </w:rPr>
        <w:t>Figure 1A. In-hospital mortality associated with the Phoenix Sepsis Score in patients at higher resource settings with suspected infection in the first 24 hours</w:t>
      </w:r>
    </w:p>
    <w:p w14:paraId="3D40D865" w14:textId="77777777" w:rsidR="006B3A11" w:rsidRPr="004720F7" w:rsidRDefault="006B3A11" w:rsidP="006B3A11">
      <w:pPr>
        <w:rPr>
          <w:rFonts w:ascii="Times New Roman" w:hAnsi="Times New Roman" w:cs="Times New Roman"/>
          <w:b/>
          <w:bCs/>
          <w:color w:val="000000"/>
        </w:rPr>
      </w:pPr>
    </w:p>
    <w:p w14:paraId="7BBA68C3" w14:textId="77777777" w:rsidR="006B3A11" w:rsidRPr="004720F7" w:rsidRDefault="006B3A11" w:rsidP="006B3A11">
      <w:pPr>
        <w:rPr>
          <w:rFonts w:ascii="Times New Roman" w:hAnsi="Times New Roman" w:cs="Times New Roman"/>
          <w:b/>
          <w:bCs/>
          <w:color w:val="000000"/>
        </w:rPr>
      </w:pPr>
    </w:p>
    <w:p w14:paraId="39520B62" w14:textId="77777777" w:rsidR="006B3A11" w:rsidRPr="004720F7" w:rsidRDefault="006B3A11" w:rsidP="006B3A11">
      <w:pPr>
        <w:rPr>
          <w:rFonts w:ascii="Times New Roman" w:hAnsi="Times New Roman" w:cs="Times New Roman"/>
          <w:b/>
          <w:bCs/>
          <w:color w:val="000000"/>
        </w:rPr>
      </w:pPr>
      <w:r w:rsidRPr="004720F7">
        <w:rPr>
          <w:rFonts w:ascii="Times New Roman" w:hAnsi="Times New Roman" w:cs="Times New Roman"/>
          <w:b/>
          <w:bCs/>
          <w:color w:val="000000"/>
        </w:rPr>
        <w:t>Figure 1B. In-hospital mortality associated with the Phoenix Sepsis Score in patients at lower resource settings with suspected infection in the first 24 hours</w:t>
      </w:r>
    </w:p>
    <w:p w14:paraId="1B8B82E6" w14:textId="77777777" w:rsidR="006B3A11" w:rsidRPr="004720F7" w:rsidRDefault="006B3A11" w:rsidP="006B3A11">
      <w:pPr>
        <w:rPr>
          <w:rFonts w:ascii="Times New Roman" w:hAnsi="Times New Roman" w:cs="Times New Roman"/>
        </w:rPr>
      </w:pPr>
    </w:p>
    <w:p w14:paraId="5229724B" w14:textId="77777777" w:rsidR="006B3A11" w:rsidRPr="004720F7" w:rsidRDefault="006B3A11" w:rsidP="006B3A11">
      <w:pPr>
        <w:rPr>
          <w:rFonts w:ascii="Times New Roman" w:hAnsi="Times New Roman" w:cs="Times New Roman"/>
          <w:color w:val="000000"/>
          <w:sz w:val="18"/>
          <w:szCs w:val="18"/>
        </w:rPr>
      </w:pPr>
      <w:r w:rsidRPr="004720F7">
        <w:rPr>
          <w:rFonts w:ascii="Times New Roman" w:hAnsi="Times New Roman" w:cs="Times New Roman"/>
          <w:color w:val="000000"/>
          <w:sz w:val="18"/>
          <w:szCs w:val="18"/>
        </w:rPr>
        <w:t>Figure 1 shows the calibration of the Phoenix Sepsis Score in higher resource settings (sites with more technological resources, e.g. laboratory equipment, ventilators, and renal replacement therapy devices, to support organ dysfunction, panel A) and lower resource settings (sites with fewer technological resources to support organ dysfunction, panel B). For patients with suspected infection who have each possible integer value (lower x-axis) of the Phoenix Sepsis Score in the first 24 hours of the encounter, the y-axis shows mortality among those at the development (red), and internal validation sites (green) and the external validation sites (blue). Binomial confidence intervals for the mortality point estimate in each group are also shown. The middle of each panel shows cumulative mortality across Phoenix Sepsis Score categories. The number of encounters “at risk” and mortality counts in each group are shown across the bottom of that plot. At lower resource sites, some variables were rarely available (e.g., D-dimer and fibrinogen for coagulation dysfunction), even when other variables for the same organ systems were recorded (e.g, platelet count and INR), thus the maximum cumulative score achieved at lower resource sites was 9, instead of the maximum possible of 13.</w:t>
      </w:r>
    </w:p>
    <w:p w14:paraId="1B127EB1" w14:textId="77777777" w:rsidR="006B3A11" w:rsidRDefault="006B3A11" w:rsidP="006B3A11">
      <w:pPr>
        <w:rPr>
          <w:rFonts w:ascii="Times New Roman" w:hAnsi="Times New Roman" w:cs="Times New Roman"/>
          <w:color w:val="000000"/>
          <w:sz w:val="18"/>
          <w:szCs w:val="18"/>
        </w:rPr>
      </w:pPr>
    </w:p>
    <w:p w14:paraId="2F92FECE" w14:textId="77777777" w:rsidR="006B3A11" w:rsidRPr="004720F7" w:rsidRDefault="006B3A11" w:rsidP="006B3A11">
      <w:pPr>
        <w:rPr>
          <w:rFonts w:ascii="Times New Roman" w:hAnsi="Times New Roman" w:cs="Times New Roman"/>
          <w:color w:val="000000"/>
          <w:sz w:val="18"/>
          <w:szCs w:val="18"/>
        </w:rPr>
      </w:pPr>
    </w:p>
    <w:p w14:paraId="3545E8A6" w14:textId="77777777" w:rsidR="006B3A11" w:rsidRPr="004720F7" w:rsidRDefault="006B3A11" w:rsidP="006B3A11">
      <w:pPr>
        <w:rPr>
          <w:rFonts w:ascii="Times New Roman" w:hAnsi="Times New Roman" w:cs="Times New Roman"/>
          <w:b/>
          <w:bCs/>
          <w:color w:val="000000"/>
        </w:rPr>
      </w:pPr>
      <w:r w:rsidRPr="004720F7">
        <w:rPr>
          <w:rFonts w:ascii="Times New Roman" w:hAnsi="Times New Roman" w:cs="Times New Roman"/>
          <w:b/>
          <w:bCs/>
          <w:color w:val="000000"/>
        </w:rPr>
        <w:t>Figure 2. Mortality prediction performance of the Phoenix Sepsis Score and organ dysfunction scores</w:t>
      </w:r>
    </w:p>
    <w:p w14:paraId="55FAEA8A" w14:textId="77777777" w:rsidR="006B3A11" w:rsidRPr="004720F7" w:rsidRDefault="006B3A11" w:rsidP="006B3A11">
      <w:pPr>
        <w:rPr>
          <w:rFonts w:ascii="Times New Roman" w:hAnsi="Times New Roman" w:cs="Times New Roman"/>
          <w:b/>
          <w:bCs/>
          <w:color w:val="000000"/>
        </w:rPr>
      </w:pPr>
    </w:p>
    <w:p w14:paraId="16049FDB" w14:textId="77777777" w:rsidR="006B3A11" w:rsidRPr="004720F7" w:rsidRDefault="006B3A11" w:rsidP="006B3A11">
      <w:pPr>
        <w:rPr>
          <w:rFonts w:ascii="Times New Roman" w:hAnsi="Times New Roman" w:cs="Times New Roman"/>
          <w:color w:val="000000"/>
          <w:sz w:val="18"/>
          <w:szCs w:val="18"/>
        </w:rPr>
      </w:pPr>
      <w:r w:rsidRPr="004720F7">
        <w:rPr>
          <w:rFonts w:ascii="Times New Roman" w:hAnsi="Times New Roman" w:cs="Times New Roman"/>
          <w:color w:val="000000"/>
          <w:sz w:val="18"/>
          <w:szCs w:val="18"/>
        </w:rPr>
        <w:t xml:space="preserve">Figure 2 shows the performance of the Phoenix Sepsis Score (across the entire range from 0 to 13 points) across sites and in comparison to validated pediatric organ dysfunction scores and criteria to predict mortality in patients with suspected infection in the first 24 hours. Equivalent performance metrics for the secondary outcome, early death or ECMO, are shown in eFigure 7. All organ dysfunctions are evaluated across their respective full ranges, with higher scores indicating more organ dysfunction burden. The scores for IPSCC, Proulx, and PODIUM are based on the count of organ dysfunctions. More information about these scores is provided in the Methods and eTable 2. </w:t>
      </w:r>
      <w:r w:rsidRPr="004720F7">
        <w:rPr>
          <w:rFonts w:ascii="Times New Roman" w:hAnsi="Times New Roman" w:cs="Times New Roman"/>
          <w:b/>
          <w:bCs/>
          <w:color w:val="000000"/>
          <w:sz w:val="18"/>
          <w:szCs w:val="18"/>
        </w:rPr>
        <w:t>Bolded</w:t>
      </w:r>
      <w:r w:rsidRPr="004720F7">
        <w:rPr>
          <w:rFonts w:ascii="Times New Roman" w:hAnsi="Times New Roman" w:cs="Times New Roman"/>
          <w:color w:val="000000"/>
          <w:sz w:val="18"/>
          <w:szCs w:val="18"/>
        </w:rPr>
        <w:t xml:space="preserve"> values indicate the best-performing score for the respective dataset and performance measure. The performance is presented as both quantitative AUPRC (top) and AUROC (bottom), with 95% confidence intervals (calculated using Logit transform and shown below each point estimate of performance), as well as visually using a color heatmap. Shading indicates highest (darkest) to lowest (lightest) in each row, blue for AUPRC and yellow for AUROC. AUPRC is the area under a curve drawn with sensitivity (also referred to as “recall”) and positive predictive value (also referred to as “precision”), across all potential thresholds for the points in the scores. AUPRC is a more reliable classifier performance metric than AUROC when the classes are imbalanced, for example when mortality is very low as in this study. AUROC is the area under a curve drawn with false positive rate on the x-axis and true positive rate on y-axis, again across all potential thresholds for the points in the scores. In this study, it is an indicator of how well a classifier can rank encounters with respect to mortality risk. </w:t>
      </w:r>
      <w:r w:rsidRPr="004720F7">
        <w:rPr>
          <w:rFonts w:ascii="Times New Roman" w:hAnsi="Times New Roman" w:cs="Times New Roman"/>
          <w:i/>
          <w:iCs/>
          <w:color w:val="000000"/>
          <w:sz w:val="18"/>
          <w:szCs w:val="18"/>
        </w:rPr>
        <w:t>IPSCC</w:t>
      </w:r>
      <w:r w:rsidRPr="004720F7">
        <w:rPr>
          <w:rFonts w:ascii="Times New Roman" w:hAnsi="Times New Roman" w:cs="Times New Roman"/>
          <w:color w:val="000000"/>
          <w:sz w:val="18"/>
          <w:szCs w:val="18"/>
        </w:rPr>
        <w:t xml:space="preserve">, International Pediatric Sepsis Consensus Conference, </w:t>
      </w:r>
      <w:r w:rsidRPr="004720F7">
        <w:rPr>
          <w:rFonts w:ascii="Times New Roman" w:hAnsi="Times New Roman" w:cs="Times New Roman"/>
          <w:i/>
          <w:iCs/>
          <w:color w:val="000000"/>
          <w:sz w:val="18"/>
          <w:szCs w:val="18"/>
        </w:rPr>
        <w:t>PELOD-2</w:t>
      </w:r>
      <w:r w:rsidRPr="004720F7">
        <w:rPr>
          <w:rFonts w:ascii="Times New Roman" w:hAnsi="Times New Roman" w:cs="Times New Roman"/>
          <w:color w:val="000000"/>
          <w:sz w:val="18"/>
          <w:szCs w:val="18"/>
        </w:rPr>
        <w:t xml:space="preserve">, Pediatric Logistic Organ Dysfunction, version 2; </w:t>
      </w:r>
      <w:r w:rsidRPr="004720F7">
        <w:rPr>
          <w:rFonts w:ascii="Times New Roman" w:hAnsi="Times New Roman" w:cs="Times New Roman"/>
          <w:i/>
          <w:iCs/>
          <w:color w:val="000000"/>
          <w:sz w:val="18"/>
          <w:szCs w:val="18"/>
        </w:rPr>
        <w:t>pSOFA</w:t>
      </w:r>
      <w:r w:rsidRPr="004720F7">
        <w:rPr>
          <w:rFonts w:ascii="Times New Roman" w:hAnsi="Times New Roman" w:cs="Times New Roman"/>
          <w:color w:val="000000"/>
          <w:sz w:val="18"/>
          <w:szCs w:val="18"/>
        </w:rPr>
        <w:t xml:space="preserve">, pediatric Sequential Organ Failure Assessment; </w:t>
      </w:r>
      <w:r w:rsidRPr="004720F7">
        <w:rPr>
          <w:rFonts w:ascii="Times New Roman" w:hAnsi="Times New Roman" w:cs="Times New Roman"/>
          <w:i/>
          <w:iCs/>
          <w:color w:val="000000"/>
          <w:sz w:val="18"/>
          <w:szCs w:val="18"/>
        </w:rPr>
        <w:t>PODIUM</w:t>
      </w:r>
      <w:r w:rsidRPr="004720F7">
        <w:rPr>
          <w:rFonts w:ascii="Times New Roman" w:hAnsi="Times New Roman" w:cs="Times New Roman"/>
          <w:color w:val="000000"/>
          <w:sz w:val="18"/>
          <w:szCs w:val="18"/>
        </w:rPr>
        <w:t>, Pediatric Organ Dysfunction Information Update Mandate.</w:t>
      </w:r>
    </w:p>
    <w:p w14:paraId="4A75415E" w14:textId="77777777" w:rsidR="006B3A11" w:rsidRPr="004720F7" w:rsidRDefault="006B3A11" w:rsidP="006B3A11">
      <w:pPr>
        <w:rPr>
          <w:rFonts w:ascii="Times New Roman" w:hAnsi="Times New Roman" w:cs="Times New Roman"/>
          <w:color w:val="000000"/>
          <w:sz w:val="18"/>
          <w:szCs w:val="18"/>
        </w:rPr>
      </w:pPr>
    </w:p>
    <w:p w14:paraId="0F597E74" w14:textId="77777777" w:rsidR="006B3A11" w:rsidRPr="004720F7" w:rsidRDefault="006B3A11" w:rsidP="006B3A11">
      <w:pPr>
        <w:rPr>
          <w:rFonts w:ascii="Times New Roman" w:hAnsi="Times New Roman" w:cs="Times New Roman"/>
          <w:color w:val="000000"/>
          <w:sz w:val="18"/>
          <w:szCs w:val="18"/>
        </w:rPr>
      </w:pPr>
    </w:p>
    <w:p w14:paraId="7754F0AB" w14:textId="77777777" w:rsidR="006B3A11" w:rsidRPr="004720F7" w:rsidRDefault="006B3A11" w:rsidP="006B3A11">
      <w:pPr>
        <w:rPr>
          <w:rFonts w:ascii="Times New Roman" w:hAnsi="Times New Roman" w:cs="Times New Roman"/>
          <w:color w:val="000000"/>
          <w:sz w:val="18"/>
          <w:szCs w:val="18"/>
        </w:rPr>
      </w:pPr>
    </w:p>
    <w:p w14:paraId="10A1C9BC" w14:textId="44EFE7DA" w:rsidR="006B3A11" w:rsidRPr="004720F7" w:rsidRDefault="006B3A11" w:rsidP="006B3A11">
      <w:pPr>
        <w:rPr>
          <w:rFonts w:ascii="Times New Roman" w:hAnsi="Times New Roman" w:cs="Times New Roman"/>
          <w:b/>
          <w:bCs/>
          <w:color w:val="000000"/>
        </w:rPr>
      </w:pPr>
      <w:r w:rsidRPr="004720F7">
        <w:rPr>
          <w:rFonts w:ascii="Times New Roman" w:hAnsi="Times New Roman" w:cs="Times New Roman"/>
          <w:b/>
          <w:bCs/>
          <w:color w:val="000000"/>
        </w:rPr>
        <w:t xml:space="preserve">Figure 3. Comparison of the sensitivity and positive predictive value of the novel Phoenix </w:t>
      </w:r>
      <w:r>
        <w:rPr>
          <w:rFonts w:ascii="Times New Roman" w:hAnsi="Times New Roman" w:cs="Times New Roman"/>
          <w:b/>
          <w:bCs/>
          <w:color w:val="000000"/>
        </w:rPr>
        <w:t>s</w:t>
      </w:r>
      <w:r w:rsidRPr="004720F7">
        <w:rPr>
          <w:rFonts w:ascii="Times New Roman" w:hAnsi="Times New Roman" w:cs="Times New Roman"/>
          <w:b/>
          <w:bCs/>
          <w:color w:val="000000"/>
        </w:rPr>
        <w:t xml:space="preserve">epsis </w:t>
      </w:r>
      <w:r>
        <w:rPr>
          <w:rFonts w:ascii="Times New Roman" w:hAnsi="Times New Roman" w:cs="Times New Roman"/>
          <w:b/>
          <w:bCs/>
          <w:color w:val="000000"/>
        </w:rPr>
        <w:t>c</w:t>
      </w:r>
      <w:r w:rsidRPr="004720F7">
        <w:rPr>
          <w:rFonts w:ascii="Times New Roman" w:hAnsi="Times New Roman" w:cs="Times New Roman"/>
          <w:b/>
          <w:bCs/>
          <w:color w:val="000000"/>
        </w:rPr>
        <w:t>riteria with the current IPSCC sepsis and severe sepsis criteria across outcomes and patient subgroups in the internal validation sets</w:t>
      </w:r>
    </w:p>
    <w:p w14:paraId="29C4DD48" w14:textId="77777777" w:rsidR="006B3A11" w:rsidRPr="004720F7" w:rsidRDefault="006B3A11" w:rsidP="006B3A11">
      <w:pPr>
        <w:rPr>
          <w:rFonts w:ascii="Times New Roman" w:hAnsi="Times New Roman" w:cs="Times New Roman"/>
          <w:sz w:val="18"/>
          <w:szCs w:val="18"/>
        </w:rPr>
      </w:pPr>
    </w:p>
    <w:p w14:paraId="0069DE8A" w14:textId="77777777" w:rsidR="006B3A11" w:rsidRPr="004720F7" w:rsidRDefault="006B3A11" w:rsidP="006B3A11">
      <w:pPr>
        <w:pStyle w:val="NormalWeb"/>
        <w:spacing w:before="0" w:beforeAutospacing="0" w:after="0" w:afterAutospacing="0"/>
        <w:rPr>
          <w:sz w:val="18"/>
          <w:szCs w:val="18"/>
        </w:rPr>
      </w:pPr>
      <w:r w:rsidRPr="004720F7">
        <w:rPr>
          <w:color w:val="000000"/>
          <w:sz w:val="18"/>
          <w:szCs w:val="18"/>
        </w:rPr>
        <w:t>Figure 3 shows the positive predictive value (PPV, or precision) and sensitivity for the Phoenix Sepsis Criteria compared to the 2005 International Pediatric Sepsis Consensus Conference (IPSCC) criteria for sepsis in children with suspected infection. The Phoenix Sepsis Criteria was based on achieving ≥2 points in the Phoenix Sepsis Score among patients with suspected infection in the first 24 hours of an encounter. The IPSCC sepsis and severe sepsis criteria were based on the systemic inflammatory response syndrome (SIRS) and IPSCC-based organ dysfunction among patients with suspected infection in the first 24 hours of an encounter. The baseline rate of the outcome in each group (death or early death or extracorporeal membrane oxygenation [ECMO]) is shown as a horizontal dashed red line. Confidence intervals for each component (sensitivity, PPV) are shown as bands from each point in the plane representing that component (e.g., confidence intervals for PPV are parallel to the y-axis). When a confidence band is not visible, that means that it is narrow enough to be completely hidden by the point. These figures are similar to AUPRCs except at a single threshold for criteria that generate a binary response (e.g., yes/no sepsis criteria met) instead of across the entire range of possible points in the curve (e.g., 0-13 points of the Phoenix Sepsis Score, which is shown in Figure 2). Better performing criteria on these figures will be closer to the top right corner of the figure. A tradeoff exists between sensitivity and PPV for the different outcomes, with more sensitive criteria usually having lower PPV, and more specific criteria usually having higher PPV and lower sensitivity. Criteria that are close to the baseline outcome rate (horizontal dashed red line) have poor predictive value. This comparison is stratified by higher resource setting (HRS) sites 1-5 (the held-out 25% internal validation sets) with encounter mortality (A) and death in the first 72 hours or use of extracorporeal membrane oxygenation (ECMO) (B) as the outcomes (or prediction targets). Panel C and D shows the same comparisons for children in higher resource settings who have no known comorbidity and encounters including ICU stays, respectively. Panels E and F show the same comparison at lower resource setting (LRS) sites 1-2. *At LRS sites 2 to 4, some of the Phoenix Sepsis Score and IPSCC data inputs (e.g., invasive mechanical ventilation, Glasgow Coma Scale score) are not recorded, even when they are performed, thus the assessment of the criteria performance at those sites is limited. LRS sites 1 and all HRS sites have inputs for all relevant organ systems in the criteria. The comparison of the sepsis criteria in the external validation sites is presented in eFigure 10 and shows similar results. The diagnostic performance measures for this comparison can also be found in eTable 7.</w:t>
      </w:r>
    </w:p>
    <w:p w14:paraId="788AFD44" w14:textId="77777777" w:rsidR="006B3A11" w:rsidRPr="004720F7" w:rsidRDefault="006B3A11" w:rsidP="006B3A11">
      <w:pPr>
        <w:rPr>
          <w:rFonts w:ascii="Times New Roman" w:hAnsi="Times New Roman" w:cs="Times New Roman"/>
          <w:sz w:val="18"/>
          <w:szCs w:val="18"/>
        </w:rPr>
      </w:pPr>
    </w:p>
    <w:p w14:paraId="07230F32" w14:textId="77777777" w:rsidR="006B3A11" w:rsidRPr="004720F7" w:rsidRDefault="006B3A11" w:rsidP="006B3A11">
      <w:pPr>
        <w:rPr>
          <w:rFonts w:ascii="Times New Roman" w:hAnsi="Times New Roman" w:cs="Times New Roman"/>
          <w:sz w:val="18"/>
          <w:szCs w:val="18"/>
        </w:rPr>
      </w:pPr>
    </w:p>
    <w:p w14:paraId="670AABD5" w14:textId="77777777" w:rsidR="006B3A11" w:rsidRPr="004720F7" w:rsidRDefault="006B3A11" w:rsidP="006B3A11">
      <w:pPr>
        <w:rPr>
          <w:rFonts w:ascii="Times New Roman" w:hAnsi="Times New Roman" w:cs="Times New Roman"/>
          <w:sz w:val="18"/>
          <w:szCs w:val="18"/>
        </w:rPr>
      </w:pPr>
    </w:p>
    <w:p w14:paraId="1F6EECD6" w14:textId="77777777" w:rsidR="006B3A11" w:rsidRPr="004720F7" w:rsidRDefault="006B3A11" w:rsidP="006B3A11">
      <w:pPr>
        <w:rPr>
          <w:rFonts w:ascii="Times New Roman" w:hAnsi="Times New Roman" w:cs="Times New Roman"/>
          <w:sz w:val="18"/>
          <w:szCs w:val="18"/>
        </w:rPr>
      </w:pPr>
    </w:p>
    <w:p w14:paraId="246489B2" w14:textId="77777777" w:rsidR="006B3A11" w:rsidRDefault="006B3A11">
      <w:pPr>
        <w:spacing w:line="480" w:lineRule="auto"/>
        <w:rPr>
          <w:rFonts w:ascii="Times New Roman" w:eastAsia="Times New Roman" w:hAnsi="Times New Roman" w:cs="Times New Roman"/>
        </w:rPr>
      </w:pPr>
    </w:p>
    <w:p w14:paraId="49202691" w14:textId="77777777" w:rsidR="00F42E39" w:rsidRDefault="00F42E39">
      <w:pPr>
        <w:spacing w:line="480" w:lineRule="auto"/>
        <w:rPr>
          <w:rFonts w:ascii="Times New Roman" w:eastAsia="Times New Roman" w:hAnsi="Times New Roman" w:cs="Times New Roman"/>
        </w:rPr>
      </w:pPr>
    </w:p>
    <w:p w14:paraId="19A0ABDE" w14:textId="77777777" w:rsidR="00F42E39" w:rsidRDefault="00F42E39">
      <w:pPr>
        <w:spacing w:line="480" w:lineRule="auto"/>
        <w:rPr>
          <w:rFonts w:ascii="Times New Roman" w:eastAsia="Times New Roman" w:hAnsi="Times New Roman" w:cs="Times New Roman"/>
        </w:rPr>
      </w:pPr>
    </w:p>
    <w:p w14:paraId="231ED416" w14:textId="77777777" w:rsidR="00F42E39" w:rsidRDefault="00F42E39">
      <w:pPr>
        <w:spacing w:line="480" w:lineRule="auto"/>
        <w:rPr>
          <w:rFonts w:ascii="Times New Roman" w:eastAsia="Times New Roman" w:hAnsi="Times New Roman" w:cs="Times New Roman"/>
        </w:rPr>
      </w:pPr>
    </w:p>
    <w:p w14:paraId="56BC6800" w14:textId="77777777" w:rsidR="00F42E39" w:rsidRDefault="00F42E39">
      <w:pPr>
        <w:spacing w:line="480" w:lineRule="auto"/>
        <w:rPr>
          <w:rFonts w:ascii="Times New Roman" w:eastAsia="Times New Roman" w:hAnsi="Times New Roman" w:cs="Times New Roman"/>
        </w:rPr>
      </w:pPr>
    </w:p>
    <w:p w14:paraId="215C0B6F" w14:textId="77777777" w:rsidR="00F42E39" w:rsidRDefault="00F42E39">
      <w:pPr>
        <w:spacing w:line="480" w:lineRule="auto"/>
        <w:rPr>
          <w:rFonts w:ascii="Times New Roman" w:eastAsia="Times New Roman" w:hAnsi="Times New Roman" w:cs="Times New Roman"/>
        </w:rPr>
      </w:pPr>
    </w:p>
    <w:p w14:paraId="2EC01580" w14:textId="77777777" w:rsidR="00F42E39" w:rsidRDefault="00F42E39">
      <w:pPr>
        <w:spacing w:line="480" w:lineRule="auto"/>
        <w:rPr>
          <w:rFonts w:ascii="Times New Roman" w:eastAsia="Times New Roman" w:hAnsi="Times New Roman" w:cs="Times New Roman"/>
        </w:rPr>
      </w:pPr>
    </w:p>
    <w:p w14:paraId="65E2446A" w14:textId="77777777" w:rsidR="00F42E39" w:rsidRDefault="00F42E39">
      <w:pPr>
        <w:spacing w:line="480" w:lineRule="auto"/>
        <w:rPr>
          <w:rFonts w:ascii="Times New Roman" w:eastAsia="Times New Roman" w:hAnsi="Times New Roman" w:cs="Times New Roman"/>
        </w:rPr>
      </w:pPr>
    </w:p>
    <w:p w14:paraId="01C07BD1" w14:textId="77777777" w:rsidR="00F42E39" w:rsidRDefault="00F42E39">
      <w:pPr>
        <w:spacing w:line="480" w:lineRule="auto"/>
        <w:rPr>
          <w:rFonts w:ascii="Times New Roman" w:eastAsia="Times New Roman" w:hAnsi="Times New Roman" w:cs="Times New Roman"/>
        </w:rPr>
      </w:pPr>
    </w:p>
    <w:p w14:paraId="404F418B" w14:textId="77777777" w:rsidR="00F42E39" w:rsidRDefault="00F42E39">
      <w:pPr>
        <w:spacing w:line="480" w:lineRule="auto"/>
        <w:rPr>
          <w:rFonts w:ascii="Times New Roman" w:eastAsia="Times New Roman" w:hAnsi="Times New Roman" w:cs="Times New Roman"/>
        </w:rPr>
      </w:pPr>
    </w:p>
    <w:p w14:paraId="77A5C54C" w14:textId="77777777" w:rsidR="00F42E39" w:rsidRDefault="00F42E39">
      <w:pPr>
        <w:spacing w:line="480" w:lineRule="auto"/>
        <w:rPr>
          <w:rFonts w:ascii="Times New Roman" w:eastAsia="Times New Roman" w:hAnsi="Times New Roman" w:cs="Times New Roman"/>
        </w:rPr>
      </w:pPr>
    </w:p>
    <w:p w14:paraId="5F754B57" w14:textId="77777777" w:rsidR="00F42E39" w:rsidRDefault="00F42E39">
      <w:pPr>
        <w:spacing w:line="480" w:lineRule="auto"/>
        <w:rPr>
          <w:rFonts w:ascii="Times New Roman" w:eastAsia="Times New Roman" w:hAnsi="Times New Roman" w:cs="Times New Roman"/>
        </w:rPr>
      </w:pPr>
    </w:p>
    <w:p w14:paraId="4F4337D5" w14:textId="77777777" w:rsidR="00F42E39" w:rsidRDefault="00F42E39">
      <w:pPr>
        <w:spacing w:line="480" w:lineRule="auto"/>
        <w:rPr>
          <w:rFonts w:ascii="Times New Roman" w:eastAsia="Times New Roman" w:hAnsi="Times New Roman" w:cs="Times New Roman"/>
        </w:rPr>
      </w:pPr>
    </w:p>
    <w:p w14:paraId="025CE883" w14:textId="77777777" w:rsidR="00F42E39" w:rsidRDefault="00F42E39">
      <w:pPr>
        <w:spacing w:line="480" w:lineRule="auto"/>
        <w:rPr>
          <w:rFonts w:ascii="Times New Roman" w:eastAsia="Times New Roman" w:hAnsi="Times New Roman" w:cs="Times New Roman"/>
        </w:rPr>
      </w:pPr>
    </w:p>
    <w:p w14:paraId="4EA8EFB3" w14:textId="77777777" w:rsidR="00F42E39" w:rsidRDefault="00F42E39">
      <w:pPr>
        <w:spacing w:line="480" w:lineRule="auto"/>
        <w:rPr>
          <w:rFonts w:ascii="Times New Roman" w:eastAsia="Times New Roman" w:hAnsi="Times New Roman" w:cs="Times New Roman"/>
        </w:rPr>
      </w:pPr>
    </w:p>
    <w:p w14:paraId="2A472187" w14:textId="77777777" w:rsidR="00F42E39" w:rsidRDefault="00F42E39">
      <w:pPr>
        <w:spacing w:line="480" w:lineRule="auto"/>
        <w:rPr>
          <w:rFonts w:ascii="Times New Roman" w:eastAsia="Times New Roman" w:hAnsi="Times New Roman" w:cs="Times New Roman"/>
        </w:rPr>
      </w:pPr>
    </w:p>
    <w:p w14:paraId="0C8F4EE3" w14:textId="77777777" w:rsidR="00F42E39" w:rsidRDefault="00F42E39" w:rsidP="00F42E39">
      <w:pPr>
        <w:rPr>
          <w:rFonts w:ascii="Times New Roman" w:eastAsia="Times New Roman" w:hAnsi="Times New Roman" w:cs="Times New Roman"/>
          <w:b/>
          <w:color w:val="000000"/>
        </w:rPr>
      </w:pPr>
      <w:r>
        <w:rPr>
          <w:rFonts w:ascii="Times New Roman" w:eastAsia="Times New Roman" w:hAnsi="Times New Roman" w:cs="Times New Roman"/>
          <w:b/>
          <w:color w:val="000000"/>
        </w:rPr>
        <w:t>Table 1. Cohort characteristics of encounters with suspected infection in the first 24 hours in the development dataset</w:t>
      </w:r>
    </w:p>
    <w:p w14:paraId="70D207A5" w14:textId="77777777" w:rsidR="00F42E39" w:rsidRDefault="00F42E39" w:rsidP="00F42E39">
      <w:pPr>
        <w:rPr>
          <w:rFonts w:ascii="Times New Roman" w:eastAsia="Times New Roman" w:hAnsi="Times New Roman" w:cs="Times New Roman"/>
          <w:b/>
          <w:color w:val="000000"/>
        </w:rPr>
      </w:pPr>
    </w:p>
    <w:tbl>
      <w:tblPr>
        <w:tblW w:w="9340" w:type="dxa"/>
        <w:tblLayout w:type="fixed"/>
        <w:tblLook w:val="0400" w:firstRow="0" w:lastRow="0" w:firstColumn="0" w:lastColumn="0" w:noHBand="0" w:noVBand="1"/>
      </w:tblPr>
      <w:tblGrid>
        <w:gridCol w:w="3770"/>
        <w:gridCol w:w="1890"/>
        <w:gridCol w:w="1890"/>
        <w:gridCol w:w="1790"/>
      </w:tblGrid>
      <w:tr w:rsidR="00F42E39" w14:paraId="01EE4521" w14:textId="77777777" w:rsidTr="002D5949">
        <w:trPr>
          <w:trHeight w:val="462"/>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47C3316"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BC0AD6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20"/>
                <w:szCs w:val="20"/>
              </w:rPr>
              <w:t>Derivation Cohort</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9CA380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20"/>
                <w:szCs w:val="20"/>
              </w:rPr>
              <w:t>Internal Validation Cohort</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DD3D06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20"/>
                <w:szCs w:val="20"/>
              </w:rPr>
              <w:t>External Validation Cohort</w:t>
            </w:r>
          </w:p>
        </w:tc>
      </w:tr>
      <w:tr w:rsidR="00F42E39" w14:paraId="1C9F9940"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CDEAA5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Encounters, No.</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53919D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129,584</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AA1C006"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43,400</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A507B8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45,855</w:t>
            </w:r>
          </w:p>
        </w:tc>
      </w:tr>
      <w:tr w:rsidR="00F42E39" w14:paraId="4B6F8F9E"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1C6F05C"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Resource Setting,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7FFD788"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CFC5BA3"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8547740" w14:textId="77777777" w:rsidR="00F42E39" w:rsidRDefault="00F42E39" w:rsidP="002D5949">
            <w:pPr>
              <w:rPr>
                <w:rFonts w:ascii="Times New Roman" w:eastAsia="Times New Roman" w:hAnsi="Times New Roman" w:cs="Times New Roman"/>
              </w:rPr>
            </w:pPr>
          </w:p>
        </w:tc>
      </w:tr>
      <w:tr w:rsidR="00F42E39" w14:paraId="0CF5D9DB"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1E5712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Higher Resource Settings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A33777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108,177 (83.5)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37B8300"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36,202 (83.4)</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45D5E4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33,020 (72.0)</w:t>
            </w:r>
          </w:p>
        </w:tc>
      </w:tr>
      <w:tr w:rsidR="00F42E39" w14:paraId="3C3A96F0"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EB34BCC"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Lower Resource Settings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F6FB58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21,407 (16.5)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B934BB8"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7,198 (16.6)</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CCC7F40"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12,835 (28.0)</w:t>
            </w:r>
          </w:p>
        </w:tc>
      </w:tr>
      <w:tr w:rsidR="00F42E39" w14:paraId="6227E0BE"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EBD431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Age in years, median (IQR)</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DC485C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3.7 (0.9, 9.4)</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74CFFC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3.7 (0.9, 9.3)</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FFC6E80"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2.6 (0.6, 7.6)</w:t>
            </w:r>
          </w:p>
        </w:tc>
      </w:tr>
      <w:tr w:rsidR="00F42E39" w14:paraId="5B831381"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EE5B45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Sex,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D45175F"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E9E6B36"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E83A5F9" w14:textId="77777777" w:rsidR="00F42E39" w:rsidRDefault="00F42E39" w:rsidP="002D5949">
            <w:pPr>
              <w:rPr>
                <w:rFonts w:ascii="Times New Roman" w:eastAsia="Times New Roman" w:hAnsi="Times New Roman" w:cs="Times New Roman"/>
              </w:rPr>
            </w:pPr>
          </w:p>
        </w:tc>
      </w:tr>
      <w:tr w:rsidR="00F42E39" w14:paraId="4DE4DC18"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E9011B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Female</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80512EC"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62.868 (48.5)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5B38EF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21,041 (48.5)</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481AD5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22,295 (48.6)</w:t>
            </w:r>
          </w:p>
        </w:tc>
      </w:tr>
      <w:tr w:rsidR="00F42E39" w14:paraId="7496785E"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FDC629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Male</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4BF9EA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66,712 (51.5)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635B43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22,357 (51.5)</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550B758"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21,555 (47.0)</w:t>
            </w:r>
          </w:p>
        </w:tc>
      </w:tr>
      <w:tr w:rsidR="00F42E39" w14:paraId="379F8A2C"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B94A05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Resource Setting,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FD7FC8E"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C0089FC"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BBA5D70" w14:textId="77777777" w:rsidR="00F42E39" w:rsidRDefault="00F42E39" w:rsidP="002D5949">
            <w:pPr>
              <w:rPr>
                <w:rFonts w:ascii="Times New Roman" w:eastAsia="Times New Roman" w:hAnsi="Times New Roman" w:cs="Times New Roman"/>
              </w:rPr>
            </w:pPr>
          </w:p>
        </w:tc>
      </w:tr>
      <w:tr w:rsidR="00F42E39" w14:paraId="53995D80"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E8496D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Higher Resource Settings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F9AD22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108,177 (83.5)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17CF052"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36,202 (83.4)</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11C3E93" w14:textId="77777777" w:rsidR="00F42E39" w:rsidRDefault="00F42E39" w:rsidP="002D5949">
            <w:pPr>
              <w:rPr>
                <w:rFonts w:ascii="Times New Roman" w:eastAsia="Times New Roman" w:hAnsi="Times New Roman" w:cs="Times New Roman"/>
              </w:rPr>
            </w:pPr>
          </w:p>
        </w:tc>
      </w:tr>
      <w:tr w:rsidR="00F42E39" w14:paraId="106DD74F"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DA4D802"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Lower Resource Settings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7FF9CC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21,407 (16.5)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42DF57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7,198 (16.6)</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22E2C80" w14:textId="77777777" w:rsidR="00F42E39" w:rsidRDefault="00F42E39" w:rsidP="002D5949">
            <w:pPr>
              <w:rPr>
                <w:rFonts w:ascii="Times New Roman" w:eastAsia="Times New Roman" w:hAnsi="Times New Roman" w:cs="Times New Roman"/>
              </w:rPr>
            </w:pPr>
          </w:p>
        </w:tc>
      </w:tr>
      <w:tr w:rsidR="00F42E39" w14:paraId="7074E1C5"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0E9BD00"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Race,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20497E6"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543FF71"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CAB3DF7" w14:textId="77777777" w:rsidR="00F42E39" w:rsidRDefault="00F42E39" w:rsidP="002D5949">
            <w:pPr>
              <w:rPr>
                <w:rFonts w:ascii="Times New Roman" w:eastAsia="Times New Roman" w:hAnsi="Times New Roman" w:cs="Times New Roman"/>
              </w:rPr>
            </w:pPr>
          </w:p>
        </w:tc>
      </w:tr>
      <w:tr w:rsidR="00F42E39" w14:paraId="110D69C5" w14:textId="77777777" w:rsidTr="002D5949">
        <w:trPr>
          <w:trHeight w:val="267"/>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F06243C"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American Indian or Alaskan Native</w:t>
            </w:r>
          </w:p>
        </w:tc>
        <w:tc>
          <w:tcPr>
            <w:tcW w:w="18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bottom"/>
          </w:tcPr>
          <w:p w14:paraId="39A8F5F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109 (0.1)</w:t>
            </w:r>
          </w:p>
        </w:tc>
        <w:tc>
          <w:tcPr>
            <w:tcW w:w="18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bottom"/>
          </w:tcPr>
          <w:p w14:paraId="21F14C0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21 (0.0)</w:t>
            </w:r>
          </w:p>
        </w:tc>
        <w:tc>
          <w:tcPr>
            <w:tcW w:w="17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bottom"/>
          </w:tcPr>
          <w:p w14:paraId="40FEFBC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59 (0.1)</w:t>
            </w:r>
          </w:p>
        </w:tc>
      </w:tr>
      <w:tr w:rsidR="00F42E39" w14:paraId="02D75E0A"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A9F5CB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Asian</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EB3DFF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5,149 (4.0)</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5A5107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1,703 (3.9)</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876062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506 (1.1)</w:t>
            </w:r>
          </w:p>
        </w:tc>
      </w:tr>
      <w:tr w:rsidR="00F42E39" w14:paraId="7C7B63EB"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B3F64E0"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Black</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A0DA48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22,709 (17.5)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86E37B2"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7,512 (17.3)</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75B8148"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7,476 (16.3)</w:t>
            </w:r>
          </w:p>
        </w:tc>
      </w:tr>
      <w:tr w:rsidR="00F42E39" w14:paraId="065ADDCA"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4B53A7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Multiple Races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7919AA9"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22,113 (17.1)</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7E729A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7,343 (16.9)</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A35A07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277 (0.6)</w:t>
            </w:r>
          </w:p>
        </w:tc>
      </w:tr>
      <w:tr w:rsidR="00F42E39" w14:paraId="4E0C25A3"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6FB43F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Native Hawaiian or Other Pacific Islander</w:t>
            </w:r>
          </w:p>
        </w:tc>
        <w:tc>
          <w:tcPr>
            <w:tcW w:w="18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bottom"/>
          </w:tcPr>
          <w:p w14:paraId="506AE2F9"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105 (0.1)</w:t>
            </w:r>
          </w:p>
        </w:tc>
        <w:tc>
          <w:tcPr>
            <w:tcW w:w="18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bottom"/>
          </w:tcPr>
          <w:p w14:paraId="2F92438C"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31 (0.1)</w:t>
            </w:r>
          </w:p>
        </w:tc>
        <w:tc>
          <w:tcPr>
            <w:tcW w:w="17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bottom"/>
          </w:tcPr>
          <w:p w14:paraId="19362A9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70 (0.2)</w:t>
            </w:r>
          </w:p>
        </w:tc>
      </w:tr>
      <w:tr w:rsidR="00F42E39" w14:paraId="47667A69"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30CCF0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Other/Unknown</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D703B0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22,095 (17.1)</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596624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7,309 (16.8)</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545F21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14,051 (30.6)</w:t>
            </w:r>
          </w:p>
        </w:tc>
      </w:tr>
      <w:tr w:rsidR="00F42E39" w14:paraId="0A4F9956"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172DE3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White</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EC4D10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57,518 (44.4)</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F93F7F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19,533 (45.0)</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A9BE93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23,545 (51.3)</w:t>
            </w:r>
          </w:p>
        </w:tc>
      </w:tr>
      <w:tr w:rsidR="00F42E39" w14:paraId="3342253A"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ABA395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Ethnicity,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5372BFA"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09F0071"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EE0DB1A" w14:textId="77777777" w:rsidR="00F42E39" w:rsidRDefault="00F42E39" w:rsidP="002D5949">
            <w:pPr>
              <w:rPr>
                <w:rFonts w:ascii="Times New Roman" w:eastAsia="Times New Roman" w:hAnsi="Times New Roman" w:cs="Times New Roman"/>
              </w:rPr>
            </w:pPr>
          </w:p>
        </w:tc>
      </w:tr>
      <w:tr w:rsidR="00F42E39" w14:paraId="46F2D1DB"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B9ADF1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Hispanic or Latino</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F6C3D1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33,698 (26.0)</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6711BE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11,457 (26.4)</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C489116"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55 (0.1)</w:t>
            </w:r>
          </w:p>
        </w:tc>
      </w:tr>
      <w:tr w:rsidR="00F42E39" w14:paraId="13922A6A"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C69A8BB"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Age in years, median (IQR)</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C7AF689"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3.74 (0.92, 9.38)</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450AF2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3.73 (0.93, 9.31)</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65B31CC" w14:textId="77777777" w:rsidR="00F42E39" w:rsidRDefault="00F42E39" w:rsidP="002D5949">
            <w:pPr>
              <w:rPr>
                <w:rFonts w:ascii="Times New Roman" w:eastAsia="Times New Roman" w:hAnsi="Times New Roman" w:cs="Times New Roman"/>
              </w:rPr>
            </w:pPr>
          </w:p>
        </w:tc>
      </w:tr>
      <w:tr w:rsidR="00F42E39" w14:paraId="68386E1E"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971ED09"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Major comorbidity,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29F6BE1"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8FA6902"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99B5C80" w14:textId="77777777" w:rsidR="00F42E39" w:rsidRDefault="00F42E39" w:rsidP="002D5949">
            <w:pPr>
              <w:rPr>
                <w:rFonts w:ascii="Times New Roman" w:eastAsia="Times New Roman" w:hAnsi="Times New Roman" w:cs="Times New Roman"/>
              </w:rPr>
            </w:pPr>
          </w:p>
        </w:tc>
      </w:tr>
      <w:tr w:rsidR="00F42E39" w14:paraId="0009DC51"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7E56A0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Technology Dependence</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720CB4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18,951 (17.5)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0227878"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6,011 (16.6)</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574771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5,677 (17.2)</w:t>
            </w:r>
          </w:p>
        </w:tc>
      </w:tr>
      <w:tr w:rsidR="00F42E39" w14:paraId="42DC9E91"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555C7E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Severe malnutrition</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6E380E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13,505 (10.4)</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0D5E394"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4,478 (10.3)</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888602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3,417 (7.5)</w:t>
            </w:r>
          </w:p>
        </w:tc>
      </w:tr>
      <w:tr w:rsidR="00F42E39" w14:paraId="613A75D4"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4BBEC95"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Malignancy</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86FC3A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10,924 (10.1)</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2B2C2D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3,709 (10.2)</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EE9FA7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2,950 (8.9)</w:t>
            </w:r>
          </w:p>
        </w:tc>
      </w:tr>
      <w:tr w:rsidR="00F42E39" w14:paraId="379F76B4"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AC7349D"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 xml:space="preserve">   Transplantation</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73A2268"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3,689 (3.4)</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C46D28A"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1,287 (3.6)</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407BB0C"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1,573 (4.8)</w:t>
            </w:r>
          </w:p>
        </w:tc>
      </w:tr>
      <w:tr w:rsidR="00F42E39" w14:paraId="2B4CFE15"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B99ABD5"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b/>
                <w:color w:val="000000"/>
                <w:sz w:val="18"/>
                <w:szCs w:val="18"/>
              </w:rPr>
              <w:t>Comorbidities per Pediatric Complex Chronic Condition (PCCC), No. (%)</w:t>
            </w:r>
            <w:r>
              <w:rPr>
                <w:rFonts w:ascii="Times New Roman" w:eastAsia="Times New Roman" w:hAnsi="Times New Roman" w:cs="Times New Roman"/>
                <w:b/>
                <w:color w:val="000000"/>
                <w:sz w:val="18"/>
                <w:szCs w:val="18"/>
                <w:vertAlign w:val="superscript"/>
              </w:rPr>
              <w:t>#</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161FF6B" w14:textId="77777777" w:rsidR="00F42E39" w:rsidRDefault="00F42E39" w:rsidP="002D5949">
            <w:pPr>
              <w:rPr>
                <w:rFonts w:ascii="Times New Roman" w:eastAsia="Times New Roman" w:hAnsi="Times New Roman" w:cs="Times New Roman"/>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7907B39" w14:textId="77777777" w:rsidR="00F42E39" w:rsidRDefault="00F42E39" w:rsidP="002D5949">
            <w:pPr>
              <w:rPr>
                <w:rFonts w:ascii="Times New Roman" w:eastAsia="Times New Roman" w:hAnsi="Times New Roman" w:cs="Times New Roman"/>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CD3FAE5" w14:textId="77777777" w:rsidR="00F42E39" w:rsidRDefault="00F42E39" w:rsidP="002D5949">
            <w:pPr>
              <w:rPr>
                <w:rFonts w:ascii="Times New Roman" w:eastAsia="Times New Roman" w:hAnsi="Times New Roman" w:cs="Times New Roman"/>
              </w:rPr>
            </w:pPr>
          </w:p>
        </w:tc>
      </w:tr>
      <w:tr w:rsidR="00F42E39" w14:paraId="767BBE2C"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3BC2BC5"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No known prior comorbidity</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4E7EAA0"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72,291 (66.8)</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020CF98"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24,470 (67.6)</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5C8E165"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22,553 (68.3)</w:t>
            </w:r>
          </w:p>
        </w:tc>
      </w:tr>
      <w:tr w:rsidR="00F42E39" w14:paraId="15608BDB"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43BA010"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1 PCCC</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E7845DF"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9,406 (8.7)</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71D87D3"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3,150 (8.7)</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2F0A7C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2,580 (7.8)</w:t>
            </w:r>
          </w:p>
        </w:tc>
      </w:tr>
      <w:tr w:rsidR="00F42E39" w14:paraId="4919448C"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3E20409"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2 or more PCCCs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0C19EF2"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26,480 (24.5)</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EFB5CF1"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8,582 (23.7)</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C2957C7"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7,887 (23.9)</w:t>
            </w:r>
          </w:p>
        </w:tc>
      </w:tr>
      <w:tr w:rsidR="00F42E39" w14:paraId="11AD9B1C"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967897C"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SIRS,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4123B4E"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56,711 (43.8)</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A79F056"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18,848 (43.4)</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305D449" w14:textId="77777777" w:rsidR="00F42E39" w:rsidRDefault="00F42E39" w:rsidP="002D5949">
            <w:pPr>
              <w:rPr>
                <w:rFonts w:ascii="Times New Roman" w:eastAsia="Times New Roman" w:hAnsi="Times New Roman" w:cs="Times New Roman"/>
              </w:rPr>
            </w:pPr>
            <w:r>
              <w:rPr>
                <w:rFonts w:ascii="Times New Roman" w:eastAsia="Times New Roman" w:hAnsi="Times New Roman" w:cs="Times New Roman"/>
                <w:color w:val="000000"/>
                <w:sz w:val="18"/>
                <w:szCs w:val="18"/>
              </w:rPr>
              <w:t>21,436 (46.7)</w:t>
            </w:r>
          </w:p>
        </w:tc>
      </w:tr>
      <w:tr w:rsidR="00F42E39" w14:paraId="00A0FA6D"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C24498E"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Locations visited during encounter, (not mutually exclusive),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726A8E6" w14:textId="77777777" w:rsidR="00F42E39" w:rsidRDefault="00F42E39" w:rsidP="002D5949">
            <w:pPr>
              <w:rPr>
                <w:rFonts w:ascii="Times New Roman" w:eastAsia="Times New Roman" w:hAnsi="Times New Roman" w:cs="Times New Roman"/>
                <w:color w:val="000000"/>
                <w:sz w:val="18"/>
                <w:szCs w:val="18"/>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12A5101" w14:textId="77777777" w:rsidR="00F42E39" w:rsidRDefault="00F42E39" w:rsidP="002D5949">
            <w:pPr>
              <w:rPr>
                <w:rFonts w:ascii="Times New Roman" w:eastAsia="Times New Roman" w:hAnsi="Times New Roman" w:cs="Times New Roman"/>
                <w:color w:val="000000"/>
                <w:sz w:val="18"/>
                <w:szCs w:val="18"/>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F7257DA" w14:textId="77777777" w:rsidR="00F42E39" w:rsidRDefault="00F42E39" w:rsidP="002D5949">
            <w:pPr>
              <w:rPr>
                <w:rFonts w:ascii="Times New Roman" w:eastAsia="Times New Roman" w:hAnsi="Times New Roman" w:cs="Times New Roman"/>
                <w:color w:val="000000"/>
                <w:sz w:val="18"/>
                <w:szCs w:val="18"/>
              </w:rPr>
            </w:pPr>
          </w:p>
        </w:tc>
      </w:tr>
      <w:tr w:rsidR="00F42E39" w14:paraId="44B94F93"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AB3CBDD"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Presented through the ED</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EA0B3D5"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92,507 (71.6)</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61FA974"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31,092 (71.9)</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7B48E06"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26,940 (61.6)</w:t>
            </w:r>
          </w:p>
        </w:tc>
      </w:tr>
      <w:tr w:rsidR="00F42E39" w14:paraId="0227C9C2"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42E9A9D"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Had 1 or more ICU stays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AEE3534"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23,128 (17.9)</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F7BE042"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7,840 (18.1)</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E57320C"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10,702 (23.4)</w:t>
            </w:r>
          </w:p>
        </w:tc>
      </w:tr>
      <w:tr w:rsidR="00F42E39" w14:paraId="7ADDAAB2"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B73D152"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Had 1 or more OR visit(s)</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5321953"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17,604 (13.6)</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E024A29"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6,098 (14.1)</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8E3EBE7"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469 (1.1)</w:t>
            </w:r>
          </w:p>
        </w:tc>
      </w:tr>
      <w:tr w:rsidR="00F42E39" w14:paraId="7C053205"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4EA6E32"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Outcomes, No. (%)</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0922DA2" w14:textId="77777777" w:rsidR="00F42E39" w:rsidRDefault="00F42E39" w:rsidP="002D5949">
            <w:pPr>
              <w:rPr>
                <w:rFonts w:ascii="Times New Roman" w:eastAsia="Times New Roman" w:hAnsi="Times New Roman" w:cs="Times New Roman"/>
                <w:color w:val="000000"/>
                <w:sz w:val="18"/>
                <w:szCs w:val="18"/>
              </w:rPr>
            </w:pP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2ED85E8" w14:textId="77777777" w:rsidR="00F42E39" w:rsidRDefault="00F42E39" w:rsidP="002D5949">
            <w:pPr>
              <w:rPr>
                <w:rFonts w:ascii="Times New Roman" w:eastAsia="Times New Roman" w:hAnsi="Times New Roman" w:cs="Times New Roman"/>
                <w:color w:val="000000"/>
                <w:sz w:val="18"/>
                <w:szCs w:val="18"/>
              </w:rPr>
            </w:pP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D36D7E5" w14:textId="77777777" w:rsidR="00F42E39" w:rsidRDefault="00F42E39" w:rsidP="002D5949">
            <w:pPr>
              <w:rPr>
                <w:rFonts w:ascii="Times New Roman" w:eastAsia="Times New Roman" w:hAnsi="Times New Roman" w:cs="Times New Roman"/>
                <w:color w:val="000000"/>
                <w:sz w:val="18"/>
                <w:szCs w:val="18"/>
              </w:rPr>
            </w:pPr>
          </w:p>
        </w:tc>
      </w:tr>
      <w:tr w:rsidR="00F42E39" w14:paraId="1E097C5C"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E5CF51B"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Death</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F34006B"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1,538 (1.2)</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9011391"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527 (1.2)</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9585D8C"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540 (1.2)</w:t>
            </w:r>
          </w:p>
        </w:tc>
      </w:tr>
      <w:tr w:rsidR="00F42E39" w14:paraId="04FCFA3A" w14:textId="77777777" w:rsidTr="002D5949">
        <w:trPr>
          <w:trHeight w:val="330"/>
        </w:trPr>
        <w:tc>
          <w:tcPr>
            <w:tcW w:w="37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CF4873F" w14:textId="77777777" w:rsidR="00F42E39" w:rsidRDefault="00F42E39" w:rsidP="002D5949">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Early Death or ECMO</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BF57412"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834 (0.6)</w:t>
            </w:r>
          </w:p>
        </w:tc>
        <w:tc>
          <w:tcPr>
            <w:tcW w:w="18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272BDDE"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305 (0.7)</w:t>
            </w:r>
          </w:p>
        </w:tc>
        <w:tc>
          <w:tcPr>
            <w:tcW w:w="17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6EAB3B5" w14:textId="77777777" w:rsidR="00F42E39" w:rsidRDefault="00F42E39" w:rsidP="002D594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349 (0.8)</w:t>
            </w:r>
          </w:p>
        </w:tc>
      </w:tr>
    </w:tbl>
    <w:p w14:paraId="781843E1" w14:textId="77777777" w:rsidR="00F42E39" w:rsidRDefault="00F42E39" w:rsidP="00F42E39">
      <w:pPr>
        <w:rPr>
          <w:rFonts w:ascii="Times New Roman" w:eastAsia="Times New Roman" w:hAnsi="Times New Roman" w:cs="Times New Roman"/>
          <w:sz w:val="18"/>
          <w:szCs w:val="18"/>
        </w:rPr>
      </w:pPr>
    </w:p>
    <w:p w14:paraId="55F11383" w14:textId="77777777" w:rsidR="00F42E39" w:rsidRDefault="00F42E39" w:rsidP="00F42E3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Table 1 shows site, demographic, care location, comorbidity, and outcome characteristics of those with suspected or confirmed infection in the first 24 hours of the encounter at the 7 development sites, stratified by the 75% derivation cohort versus the 25% internal validation cohort. </w:t>
      </w:r>
      <w:r>
        <w:rPr>
          <w:rFonts w:ascii="Times New Roman" w:eastAsia="Times New Roman" w:hAnsi="Times New Roman" w:cs="Times New Roman"/>
          <w:i/>
          <w:color w:val="000000"/>
          <w:sz w:val="20"/>
          <w:szCs w:val="20"/>
        </w:rPr>
        <w:t>HRS</w:t>
      </w:r>
      <w:r>
        <w:rPr>
          <w:rFonts w:ascii="Times New Roman" w:eastAsia="Times New Roman" w:hAnsi="Times New Roman" w:cs="Times New Roman"/>
          <w:color w:val="000000"/>
          <w:sz w:val="20"/>
          <w:szCs w:val="20"/>
        </w:rPr>
        <w:t xml:space="preserve">, higher resource settings; </w:t>
      </w:r>
      <w:r>
        <w:rPr>
          <w:rFonts w:ascii="Times New Roman" w:eastAsia="Times New Roman" w:hAnsi="Times New Roman" w:cs="Times New Roman"/>
          <w:i/>
          <w:color w:val="000000"/>
          <w:sz w:val="20"/>
          <w:szCs w:val="20"/>
        </w:rPr>
        <w:t>LRS</w:t>
      </w:r>
      <w:r>
        <w:rPr>
          <w:rFonts w:ascii="Times New Roman" w:eastAsia="Times New Roman" w:hAnsi="Times New Roman" w:cs="Times New Roman"/>
          <w:color w:val="000000"/>
          <w:sz w:val="20"/>
          <w:szCs w:val="20"/>
        </w:rPr>
        <w:t xml:space="preserve">, lower resource setting; </w:t>
      </w:r>
      <w:r>
        <w:rPr>
          <w:rFonts w:ascii="Times New Roman" w:eastAsia="Times New Roman" w:hAnsi="Times New Roman" w:cs="Times New Roman"/>
          <w:i/>
          <w:color w:val="000000"/>
          <w:sz w:val="20"/>
          <w:szCs w:val="20"/>
        </w:rPr>
        <w:t>IQR</w:t>
      </w:r>
      <w:r>
        <w:rPr>
          <w:rFonts w:ascii="Times New Roman" w:eastAsia="Times New Roman" w:hAnsi="Times New Roman" w:cs="Times New Roman"/>
          <w:color w:val="000000"/>
          <w:sz w:val="20"/>
          <w:szCs w:val="20"/>
        </w:rPr>
        <w:t>, interquartile range; For race categories*, “Multiple Races” indicates that in the EHR data, the patient’s race was recorded as “multi-racial,” “multiple,”, or “two or more races.” “Unknown/Other” indicates that the patient’s race was recorded in the EHR data as “other,” “unknown,” “not specified,” “information not recorded,” “patient declined,” “patient refused,” “refused,” or as a race category unique to a particular international country or region. For ethnicity categories</w:t>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PCCC is a system to classify pediatric chronic diseases using International Classification of Diseases (ICD) diagnosis and procedure codes and was only assessed in the higher resource sites, where the information was available (percentages for PCCC-related counts are based on higher resource setting encounters).</w:t>
      </w:r>
      <w:r>
        <w:rPr>
          <w:rFonts w:ascii="Times New Roman" w:eastAsia="Times New Roman" w:hAnsi="Times New Roman" w:cs="Times New Roman"/>
          <w:sz w:val="20"/>
          <w:szCs w:val="20"/>
          <w:vertAlign w:val="superscript"/>
        </w:rPr>
        <w:t>7</w:t>
      </w:r>
      <w:r>
        <w:rPr>
          <w:rFonts w:ascii="Times New Roman" w:eastAsia="Times New Roman" w:hAnsi="Times New Roman" w:cs="Times New Roman"/>
          <w:color w:val="000000"/>
          <w:sz w:val="20"/>
          <w:szCs w:val="20"/>
        </w:rPr>
        <w:t xml:space="preserve"> The major comorbidities of technology dependence (e.g. requiring a gastrostomy, a tracheostomy, a central line, etc.), malignancy, and transplantation were defined in the PCCC system. Severe malnutrition was defined as based on &lt;3 standard deviations below the mean based on weight-for-age standards from the World Health Organization and assessed in all sites.</w:t>
      </w:r>
      <w:r>
        <w:rPr>
          <w:rFonts w:ascii="Times New Roman" w:eastAsia="Times New Roman" w:hAnsi="Times New Roman" w:cs="Times New Roman"/>
          <w:sz w:val="20"/>
          <w:szCs w:val="20"/>
          <w:vertAlign w:val="superscript"/>
        </w:rPr>
        <w:t>8</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Early Death is defined as death in &lt;72 hours from the beginning of the encounter. Systemic inflammatory response syndrome (SIRS)^ is calculated using temperature, white blood cell count, heart rate, and respiratory rate, with higher values reflecting more inflammation. SIRS criteria are met when two or more values are above the threshold for age, including at least temperature or white blood cell count. See Supplemental Methods for additional details.  </w:t>
      </w:r>
      <w:r>
        <w:rPr>
          <w:rFonts w:ascii="Times New Roman" w:eastAsia="Times New Roman" w:hAnsi="Times New Roman" w:cs="Times New Roman"/>
          <w:i/>
          <w:color w:val="000000"/>
          <w:sz w:val="20"/>
          <w:szCs w:val="20"/>
        </w:rPr>
        <w:t>IQR</w:t>
      </w:r>
      <w:r>
        <w:rPr>
          <w:rFonts w:ascii="Times New Roman" w:eastAsia="Times New Roman" w:hAnsi="Times New Roman" w:cs="Times New Roman"/>
          <w:color w:val="000000"/>
          <w:sz w:val="20"/>
          <w:szCs w:val="20"/>
        </w:rPr>
        <w:t xml:space="preserve">, interquartile range; </w:t>
      </w:r>
      <w:r>
        <w:rPr>
          <w:rFonts w:ascii="Times New Roman" w:eastAsia="Times New Roman" w:hAnsi="Times New Roman" w:cs="Times New Roman"/>
          <w:i/>
          <w:color w:val="000000"/>
          <w:sz w:val="20"/>
          <w:szCs w:val="20"/>
        </w:rPr>
        <w:t>ED</w:t>
      </w:r>
      <w:r>
        <w:rPr>
          <w:rFonts w:ascii="Times New Roman" w:eastAsia="Times New Roman" w:hAnsi="Times New Roman" w:cs="Times New Roman"/>
          <w:color w:val="000000"/>
          <w:sz w:val="20"/>
          <w:szCs w:val="20"/>
        </w:rPr>
        <w:t xml:space="preserve">, emergency department; </w:t>
      </w:r>
      <w:r>
        <w:rPr>
          <w:rFonts w:ascii="Times New Roman" w:eastAsia="Times New Roman" w:hAnsi="Times New Roman" w:cs="Times New Roman"/>
          <w:i/>
          <w:color w:val="000000"/>
          <w:sz w:val="20"/>
          <w:szCs w:val="20"/>
        </w:rPr>
        <w:t>OR</w:t>
      </w:r>
      <w:r>
        <w:rPr>
          <w:rFonts w:ascii="Times New Roman" w:eastAsia="Times New Roman" w:hAnsi="Times New Roman" w:cs="Times New Roman"/>
          <w:color w:val="000000"/>
          <w:sz w:val="20"/>
          <w:szCs w:val="20"/>
        </w:rPr>
        <w:t xml:space="preserve">, operating room; </w:t>
      </w:r>
      <w:r>
        <w:rPr>
          <w:rFonts w:ascii="Times New Roman" w:eastAsia="Times New Roman" w:hAnsi="Times New Roman" w:cs="Times New Roman"/>
          <w:i/>
          <w:color w:val="000000"/>
          <w:sz w:val="20"/>
          <w:szCs w:val="20"/>
        </w:rPr>
        <w:t>ICU</w:t>
      </w:r>
      <w:r>
        <w:rPr>
          <w:rFonts w:ascii="Times New Roman" w:eastAsia="Times New Roman" w:hAnsi="Times New Roman" w:cs="Times New Roman"/>
          <w:color w:val="000000"/>
          <w:sz w:val="20"/>
          <w:szCs w:val="20"/>
        </w:rPr>
        <w:t xml:space="preserve">, intensive care unit; </w:t>
      </w:r>
      <w:r>
        <w:rPr>
          <w:rFonts w:ascii="Times New Roman" w:eastAsia="Times New Roman" w:hAnsi="Times New Roman" w:cs="Times New Roman"/>
          <w:i/>
          <w:color w:val="000000"/>
          <w:sz w:val="20"/>
          <w:szCs w:val="20"/>
        </w:rPr>
        <w:t>ECMO</w:t>
      </w:r>
      <w:r>
        <w:rPr>
          <w:rFonts w:ascii="Times New Roman" w:eastAsia="Times New Roman" w:hAnsi="Times New Roman" w:cs="Times New Roman"/>
          <w:color w:val="000000"/>
          <w:sz w:val="20"/>
          <w:szCs w:val="20"/>
        </w:rPr>
        <w:t>, extracorporeal membrane oxygenation.</w:t>
      </w:r>
    </w:p>
    <w:p w14:paraId="1C865D56" w14:textId="77777777" w:rsidR="00F42E39" w:rsidRDefault="00F42E39" w:rsidP="00F42E39">
      <w:pPr>
        <w:rPr>
          <w:rFonts w:ascii="Times New Roman" w:eastAsia="Times New Roman" w:hAnsi="Times New Roman" w:cs="Times New Roman"/>
          <w:color w:val="000000"/>
          <w:sz w:val="20"/>
          <w:szCs w:val="20"/>
        </w:rPr>
      </w:pPr>
    </w:p>
    <w:p w14:paraId="2EE8D03F" w14:textId="77777777" w:rsidR="00F42E39" w:rsidRDefault="00F42E39">
      <w:pPr>
        <w:spacing w:line="480" w:lineRule="auto"/>
        <w:rPr>
          <w:rFonts w:ascii="Times New Roman" w:eastAsia="Times New Roman" w:hAnsi="Times New Roman" w:cs="Times New Roman"/>
        </w:rPr>
      </w:pPr>
    </w:p>
    <w:p w14:paraId="0DABB76A" w14:textId="77777777" w:rsidR="00F42E39" w:rsidRDefault="00F42E39">
      <w:pPr>
        <w:spacing w:line="480" w:lineRule="auto"/>
        <w:rPr>
          <w:rFonts w:ascii="Times New Roman" w:eastAsia="Times New Roman" w:hAnsi="Times New Roman" w:cs="Times New Roman"/>
        </w:rPr>
      </w:pPr>
    </w:p>
    <w:p w14:paraId="3E8EFA7C" w14:textId="77777777" w:rsidR="00F42E39" w:rsidRDefault="00F42E39">
      <w:pPr>
        <w:spacing w:line="480" w:lineRule="auto"/>
        <w:rPr>
          <w:rFonts w:ascii="Times New Roman" w:eastAsia="Times New Roman" w:hAnsi="Times New Roman" w:cs="Times New Roman"/>
        </w:rPr>
      </w:pPr>
    </w:p>
    <w:p w14:paraId="4E1A5BC7" w14:textId="77777777" w:rsidR="00F42E39" w:rsidRPr="00C264B5" w:rsidRDefault="00F42E39" w:rsidP="00F42E39">
      <w:pPr>
        <w:pBdr>
          <w:top w:val="nil"/>
          <w:left w:val="nil"/>
          <w:bottom w:val="nil"/>
          <w:right w:val="nil"/>
          <w:between w:val="nil"/>
        </w:pBdr>
        <w:tabs>
          <w:tab w:val="center" w:pos="4536"/>
          <w:tab w:val="right" w:pos="9072"/>
        </w:tabs>
        <w:spacing w:line="480" w:lineRule="auto"/>
        <w:rPr>
          <w:rFonts w:ascii="Times New Roman" w:eastAsia="Times New Roman" w:hAnsi="Times New Roman" w:cs="Times New Roman"/>
          <w:b/>
          <w:color w:val="000000"/>
        </w:rPr>
      </w:pPr>
      <w:r w:rsidRPr="00C264B5">
        <w:rPr>
          <w:rFonts w:ascii="Times New Roman" w:eastAsia="Times New Roman" w:hAnsi="Times New Roman" w:cs="Times New Roman"/>
          <w:b/>
          <w:color w:val="000000"/>
        </w:rPr>
        <w:t xml:space="preserve">Table 2. The Phoenix Sepsis Score </w:t>
      </w:r>
    </w:p>
    <w:tbl>
      <w:tblPr>
        <w:tblW w:w="9100" w:type="dxa"/>
        <w:tblLayout w:type="fixed"/>
        <w:tblLook w:val="0400" w:firstRow="0" w:lastRow="0" w:firstColumn="0" w:lastColumn="0" w:noHBand="0" w:noVBand="1"/>
      </w:tblPr>
      <w:tblGrid>
        <w:gridCol w:w="1941"/>
        <w:gridCol w:w="1686"/>
        <w:gridCol w:w="1963"/>
        <w:gridCol w:w="1710"/>
        <w:gridCol w:w="1800"/>
      </w:tblGrid>
      <w:tr w:rsidR="00F42E39" w:rsidRPr="00C264B5" w14:paraId="22FC0BEC" w14:textId="77777777" w:rsidTr="002D5949">
        <w:trPr>
          <w:trHeight w:val="285"/>
        </w:trPr>
        <w:tc>
          <w:tcPr>
            <w:tcW w:w="194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43FAEC4"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686" w:type="dxa"/>
            <w:tcBorders>
              <w:top w:val="single" w:sz="6" w:space="0" w:color="000000"/>
              <w:left w:val="single" w:sz="6" w:space="0" w:color="000000"/>
              <w:bottom w:val="single" w:sz="6" w:space="0" w:color="000000"/>
              <w:right w:val="single" w:sz="6" w:space="0" w:color="000000"/>
            </w:tcBorders>
          </w:tcPr>
          <w:p w14:paraId="7A208E5C" w14:textId="77777777" w:rsidR="00F42E39" w:rsidRPr="00C264B5" w:rsidRDefault="00F42E39" w:rsidP="002D5949">
            <w:pPr>
              <w:ind w:left="128"/>
              <w:rPr>
                <w:rFonts w:ascii="Times New Roman" w:eastAsia="Times New Roman" w:hAnsi="Times New Roman" w:cs="Times New Roman"/>
                <w:b/>
                <w:color w:val="000000"/>
                <w:sz w:val="20"/>
                <w:szCs w:val="20"/>
              </w:rPr>
            </w:pPr>
            <w:r w:rsidRPr="00C264B5">
              <w:rPr>
                <w:rFonts w:ascii="Times New Roman" w:eastAsia="Times New Roman" w:hAnsi="Times New Roman" w:cs="Times New Roman"/>
                <w:b/>
                <w:color w:val="000000"/>
                <w:sz w:val="20"/>
                <w:szCs w:val="20"/>
              </w:rPr>
              <w:t>0 points</w:t>
            </w:r>
          </w:p>
        </w:tc>
        <w:tc>
          <w:tcPr>
            <w:tcW w:w="196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02549C"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1 point</w:t>
            </w:r>
          </w:p>
        </w:tc>
        <w:tc>
          <w:tcPr>
            <w:tcW w:w="1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A74C1C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2 points</w:t>
            </w:r>
          </w:p>
        </w:tc>
        <w:tc>
          <w:tcPr>
            <w:tcW w:w="18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C3BF391"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3 points</w:t>
            </w:r>
          </w:p>
        </w:tc>
      </w:tr>
      <w:tr w:rsidR="00F42E39" w:rsidRPr="00C264B5" w14:paraId="1071A569" w14:textId="77777777" w:rsidTr="002D5949">
        <w:trPr>
          <w:trHeight w:val="285"/>
        </w:trPr>
        <w:tc>
          <w:tcPr>
            <w:tcW w:w="1941" w:type="dxa"/>
            <w:tcBorders>
              <w:top w:val="single" w:sz="6" w:space="0" w:color="000000"/>
              <w:left w:val="single" w:sz="6" w:space="0" w:color="000000"/>
              <w:right w:val="single" w:sz="6" w:space="0" w:color="000000"/>
            </w:tcBorders>
            <w:tcMar>
              <w:top w:w="0" w:type="dxa"/>
              <w:left w:w="100" w:type="dxa"/>
              <w:bottom w:w="0" w:type="dxa"/>
              <w:right w:w="100" w:type="dxa"/>
            </w:tcMar>
          </w:tcPr>
          <w:p w14:paraId="3A621528" w14:textId="77777777" w:rsidR="00F42E39" w:rsidRPr="00C264B5" w:rsidRDefault="00F42E39" w:rsidP="002D5949">
            <w:pPr>
              <w:rPr>
                <w:rFonts w:ascii="Times New Roman" w:eastAsia="Times New Roman" w:hAnsi="Times New Roman" w:cs="Times New Roman"/>
                <w:b/>
                <w:color w:val="000000"/>
                <w:sz w:val="20"/>
                <w:szCs w:val="20"/>
              </w:rPr>
            </w:pPr>
            <w:r w:rsidRPr="00C264B5">
              <w:rPr>
                <w:rFonts w:ascii="Times New Roman" w:eastAsia="Times New Roman" w:hAnsi="Times New Roman" w:cs="Times New Roman"/>
                <w:b/>
                <w:color w:val="000000"/>
                <w:sz w:val="20"/>
                <w:szCs w:val="20"/>
              </w:rPr>
              <w:t xml:space="preserve">Respiratory </w:t>
            </w:r>
          </w:p>
          <w:p w14:paraId="5FD270C0"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(0-3 points)</w:t>
            </w:r>
          </w:p>
        </w:tc>
        <w:tc>
          <w:tcPr>
            <w:tcW w:w="1686" w:type="dxa"/>
            <w:tcBorders>
              <w:top w:val="single" w:sz="6" w:space="0" w:color="000000"/>
              <w:left w:val="single" w:sz="6" w:space="0" w:color="000000"/>
              <w:right w:val="single" w:sz="6" w:space="0" w:color="000000"/>
            </w:tcBorders>
          </w:tcPr>
          <w:p w14:paraId="273C720F" w14:textId="77777777" w:rsidR="00F42E39" w:rsidRPr="00C264B5" w:rsidRDefault="00197EEA" w:rsidP="002D5949">
            <w:pPr>
              <w:ind w:left="128"/>
              <w:rPr>
                <w:rFonts w:ascii="Times New Roman" w:eastAsia="Times New Roman" w:hAnsi="Times New Roman" w:cs="Times New Roman"/>
                <w:color w:val="000000"/>
                <w:sz w:val="20"/>
                <w:szCs w:val="20"/>
              </w:rPr>
            </w:pPr>
            <w:sdt>
              <w:sdtPr>
                <w:rPr>
                  <w:rFonts w:ascii="Times New Roman" w:hAnsi="Times New Roman" w:cs="Times New Roman"/>
                </w:rPr>
                <w:tag w:val="goog_rdk_0"/>
                <w:id w:val="1817683665"/>
              </w:sdtPr>
              <w:sdtEndPr/>
              <w:sdtContent>
                <w:r w:rsidR="00F42E39" w:rsidRPr="00C264B5">
                  <w:rPr>
                    <w:rFonts w:ascii="Times New Roman" w:eastAsia="Gungsuh" w:hAnsi="Times New Roman" w:cs="Times New Roman"/>
                    <w:color w:val="000000"/>
                    <w:sz w:val="20"/>
                    <w:szCs w:val="20"/>
                  </w:rPr>
                  <w:t>P/F ≥400</w:t>
                </w:r>
              </w:sdtContent>
            </w:sdt>
          </w:p>
          <w:p w14:paraId="54F06A09" w14:textId="77777777" w:rsidR="00F42E39" w:rsidRPr="00C264B5" w:rsidRDefault="00F42E39" w:rsidP="002D5949">
            <w:pPr>
              <w:ind w:left="128"/>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or</w:t>
            </w:r>
          </w:p>
          <w:p w14:paraId="2620CB24" w14:textId="77777777" w:rsidR="00F42E39" w:rsidRPr="00C264B5" w:rsidRDefault="00197EEA" w:rsidP="002D5949">
            <w:pPr>
              <w:ind w:left="128"/>
              <w:rPr>
                <w:rFonts w:ascii="Times New Roman" w:eastAsia="Times New Roman" w:hAnsi="Times New Roman" w:cs="Times New Roman"/>
                <w:color w:val="000000"/>
                <w:sz w:val="20"/>
                <w:szCs w:val="20"/>
              </w:rPr>
            </w:pPr>
            <w:sdt>
              <w:sdtPr>
                <w:rPr>
                  <w:rFonts w:ascii="Times New Roman" w:hAnsi="Times New Roman" w:cs="Times New Roman"/>
                </w:rPr>
                <w:tag w:val="goog_rdk_1"/>
                <w:id w:val="342058633"/>
              </w:sdtPr>
              <w:sdtEndPr/>
              <w:sdtContent>
                <w:r w:rsidR="00F42E39" w:rsidRPr="00C264B5">
                  <w:rPr>
                    <w:rFonts w:ascii="Times New Roman" w:eastAsia="Gungsuh" w:hAnsi="Times New Roman" w:cs="Times New Roman"/>
                    <w:color w:val="000000"/>
                    <w:sz w:val="20"/>
                    <w:szCs w:val="20"/>
                  </w:rPr>
                  <w:t>S/F ≥292</w:t>
                </w:r>
              </w:sdtContent>
            </w:sdt>
            <w:r w:rsidR="00F42E39" w:rsidRPr="00C264B5">
              <w:rPr>
                <w:rFonts w:ascii="Times New Roman" w:eastAsia="Times New Roman" w:hAnsi="Times New Roman" w:cs="Times New Roman"/>
                <w:sz w:val="20"/>
                <w:szCs w:val="20"/>
                <w:vertAlign w:val="superscript"/>
              </w:rPr>
              <w:t>1</w:t>
            </w:r>
          </w:p>
        </w:tc>
        <w:tc>
          <w:tcPr>
            <w:tcW w:w="1963" w:type="dxa"/>
            <w:tcBorders>
              <w:top w:val="single" w:sz="6" w:space="0" w:color="000000"/>
              <w:left w:val="single" w:sz="6" w:space="0" w:color="000000"/>
              <w:right w:val="single" w:sz="6" w:space="0" w:color="000000"/>
            </w:tcBorders>
            <w:tcMar>
              <w:top w:w="0" w:type="dxa"/>
              <w:left w:w="100" w:type="dxa"/>
              <w:bottom w:w="0" w:type="dxa"/>
              <w:right w:w="100" w:type="dxa"/>
            </w:tcMar>
          </w:tcPr>
          <w:p w14:paraId="531DDED2"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P/F &lt;400 on any respiratory support</w:t>
            </w:r>
            <w:r w:rsidRPr="00C264B5">
              <w:rPr>
                <w:rFonts w:ascii="Times New Roman" w:eastAsia="Times New Roman" w:hAnsi="Times New Roman" w:cs="Times New Roman"/>
                <w:sz w:val="20"/>
                <w:szCs w:val="20"/>
                <w:vertAlign w:val="superscript"/>
              </w:rPr>
              <w:t>2</w:t>
            </w:r>
          </w:p>
          <w:p w14:paraId="3BFA07B7"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or</w:t>
            </w:r>
          </w:p>
          <w:p w14:paraId="0206C0C4"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S/F &lt;292 on any respiratory support</w:t>
            </w:r>
            <w:r w:rsidRPr="00C264B5">
              <w:rPr>
                <w:rFonts w:ascii="Times New Roman" w:eastAsia="Times New Roman" w:hAnsi="Times New Roman" w:cs="Times New Roman"/>
                <w:sz w:val="20"/>
                <w:szCs w:val="20"/>
                <w:vertAlign w:val="superscript"/>
              </w:rPr>
              <w:t>2</w:t>
            </w:r>
          </w:p>
        </w:tc>
        <w:tc>
          <w:tcPr>
            <w:tcW w:w="1710" w:type="dxa"/>
            <w:tcBorders>
              <w:top w:val="single" w:sz="6" w:space="0" w:color="000000"/>
              <w:left w:val="single" w:sz="6" w:space="0" w:color="000000"/>
              <w:right w:val="single" w:sz="6" w:space="0" w:color="000000"/>
            </w:tcBorders>
            <w:tcMar>
              <w:top w:w="0" w:type="dxa"/>
              <w:left w:w="100" w:type="dxa"/>
              <w:bottom w:w="0" w:type="dxa"/>
              <w:right w:w="100" w:type="dxa"/>
            </w:tcMar>
          </w:tcPr>
          <w:p w14:paraId="581DC50A"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P/F 100-200 and IMV </w:t>
            </w:r>
          </w:p>
          <w:p w14:paraId="091D066D"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or</w:t>
            </w:r>
          </w:p>
          <w:p w14:paraId="398C3C65"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S/F 148-220 and IMV</w:t>
            </w:r>
          </w:p>
        </w:tc>
        <w:tc>
          <w:tcPr>
            <w:tcW w:w="1800" w:type="dxa"/>
            <w:tcBorders>
              <w:top w:val="single" w:sz="6" w:space="0" w:color="000000"/>
              <w:left w:val="single" w:sz="6" w:space="0" w:color="000000"/>
              <w:right w:val="single" w:sz="6" w:space="0" w:color="000000"/>
            </w:tcBorders>
            <w:tcMar>
              <w:top w:w="0" w:type="dxa"/>
              <w:left w:w="100" w:type="dxa"/>
              <w:bottom w:w="0" w:type="dxa"/>
              <w:right w:w="100" w:type="dxa"/>
            </w:tcMar>
          </w:tcPr>
          <w:p w14:paraId="53F5BC64"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P/F &lt;100 and IMV </w:t>
            </w:r>
          </w:p>
          <w:p w14:paraId="15493008"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or</w:t>
            </w:r>
          </w:p>
          <w:p w14:paraId="33C4655E"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S/F &lt;148 and IMV </w:t>
            </w:r>
          </w:p>
        </w:tc>
      </w:tr>
      <w:tr w:rsidR="00F42E39" w:rsidRPr="00C264B5" w14:paraId="140D4FA0" w14:textId="77777777" w:rsidTr="002D5949">
        <w:trPr>
          <w:trHeight w:val="336"/>
        </w:trPr>
        <w:tc>
          <w:tcPr>
            <w:tcW w:w="1941" w:type="dxa"/>
            <w:tcBorders>
              <w:top w:val="single" w:sz="6" w:space="0" w:color="000000"/>
              <w:left w:val="single" w:sz="6" w:space="0" w:color="000000"/>
              <w:right w:val="single" w:sz="6" w:space="0" w:color="000000"/>
            </w:tcBorders>
            <w:tcMar>
              <w:top w:w="0" w:type="dxa"/>
              <w:left w:w="100" w:type="dxa"/>
              <w:bottom w:w="0" w:type="dxa"/>
              <w:right w:w="100" w:type="dxa"/>
            </w:tcMar>
          </w:tcPr>
          <w:p w14:paraId="72E373F3" w14:textId="77777777" w:rsidR="00F42E39" w:rsidRPr="00C264B5" w:rsidRDefault="00F42E39" w:rsidP="002D5949">
            <w:pPr>
              <w:rPr>
                <w:rFonts w:ascii="Times New Roman" w:eastAsia="Times New Roman" w:hAnsi="Times New Roman" w:cs="Times New Roman"/>
                <w:color w:val="000000"/>
                <w:sz w:val="20"/>
                <w:szCs w:val="20"/>
              </w:rPr>
            </w:pPr>
            <w:r w:rsidRPr="00C264B5">
              <w:rPr>
                <w:rFonts w:ascii="Times New Roman" w:eastAsia="Times New Roman" w:hAnsi="Times New Roman" w:cs="Times New Roman"/>
                <w:b/>
                <w:color w:val="000000"/>
                <w:sz w:val="20"/>
                <w:szCs w:val="20"/>
              </w:rPr>
              <w:t>Cardiovascular</w:t>
            </w:r>
            <w:r w:rsidRPr="00C264B5">
              <w:rPr>
                <w:rFonts w:ascii="Times New Roman" w:eastAsia="Times New Roman" w:hAnsi="Times New Roman" w:cs="Times New Roman"/>
                <w:color w:val="000000"/>
                <w:sz w:val="20"/>
                <w:szCs w:val="20"/>
              </w:rPr>
              <w:t> </w:t>
            </w:r>
          </w:p>
          <w:p w14:paraId="1AE42412"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(0-6 points)</w:t>
            </w:r>
          </w:p>
        </w:tc>
        <w:tc>
          <w:tcPr>
            <w:tcW w:w="1686" w:type="dxa"/>
            <w:tcBorders>
              <w:top w:val="single" w:sz="6" w:space="0" w:color="000000"/>
              <w:left w:val="single" w:sz="6" w:space="0" w:color="000000"/>
              <w:right w:val="single" w:sz="6" w:space="0" w:color="000000"/>
            </w:tcBorders>
          </w:tcPr>
          <w:p w14:paraId="3D488481" w14:textId="77777777" w:rsidR="00F42E39" w:rsidRPr="00C264B5" w:rsidRDefault="00F42E39" w:rsidP="002D5949">
            <w:pPr>
              <w:rPr>
                <w:rFonts w:ascii="Times New Roman" w:eastAsia="Times New Roman" w:hAnsi="Times New Roman" w:cs="Times New Roman"/>
                <w:color w:val="000000"/>
                <w:sz w:val="20"/>
                <w:szCs w:val="20"/>
                <w:u w:val="single"/>
              </w:rPr>
            </w:pPr>
          </w:p>
        </w:tc>
        <w:tc>
          <w:tcPr>
            <w:tcW w:w="1963" w:type="dxa"/>
            <w:tcBorders>
              <w:top w:val="single" w:sz="6" w:space="0" w:color="000000"/>
              <w:left w:val="single" w:sz="6" w:space="0" w:color="000000"/>
              <w:right w:val="single" w:sz="6" w:space="0" w:color="000000"/>
            </w:tcBorders>
            <w:tcMar>
              <w:top w:w="0" w:type="dxa"/>
              <w:left w:w="100" w:type="dxa"/>
              <w:bottom w:w="0" w:type="dxa"/>
              <w:right w:w="100" w:type="dxa"/>
            </w:tcMar>
          </w:tcPr>
          <w:p w14:paraId="22102B06" w14:textId="77777777" w:rsidR="00F42E39" w:rsidRPr="00C264B5" w:rsidRDefault="00F42E39" w:rsidP="002D5949">
            <w:pPr>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u w:val="single"/>
              </w:rPr>
              <w:t>1 point each (up to 3) for</w:t>
            </w:r>
            <w:r w:rsidRPr="00C264B5">
              <w:rPr>
                <w:rFonts w:ascii="Times New Roman" w:eastAsia="Times New Roman" w:hAnsi="Times New Roman" w:cs="Times New Roman"/>
                <w:color w:val="000000"/>
                <w:sz w:val="20"/>
                <w:szCs w:val="20"/>
              </w:rPr>
              <w:t>:</w:t>
            </w:r>
          </w:p>
        </w:tc>
        <w:tc>
          <w:tcPr>
            <w:tcW w:w="1710" w:type="dxa"/>
            <w:tcBorders>
              <w:top w:val="single" w:sz="6" w:space="0" w:color="000000"/>
              <w:left w:val="single" w:sz="6" w:space="0" w:color="000000"/>
              <w:right w:val="single" w:sz="6" w:space="0" w:color="000000"/>
            </w:tcBorders>
            <w:tcMar>
              <w:top w:w="0" w:type="dxa"/>
              <w:left w:w="100" w:type="dxa"/>
              <w:bottom w:w="0" w:type="dxa"/>
              <w:right w:w="100" w:type="dxa"/>
            </w:tcMar>
          </w:tcPr>
          <w:p w14:paraId="614F36B5"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u w:val="single"/>
              </w:rPr>
              <w:t>2 points each (up to 6) for</w:t>
            </w:r>
            <w:r w:rsidRPr="00C264B5">
              <w:rPr>
                <w:rFonts w:ascii="Times New Roman" w:eastAsia="Times New Roman" w:hAnsi="Times New Roman" w:cs="Times New Roman"/>
                <w:color w:val="000000"/>
                <w:sz w:val="20"/>
                <w:szCs w:val="20"/>
              </w:rPr>
              <w:t>:</w:t>
            </w:r>
          </w:p>
        </w:tc>
        <w:tc>
          <w:tcPr>
            <w:tcW w:w="1800" w:type="dxa"/>
            <w:tcBorders>
              <w:top w:val="single" w:sz="6" w:space="0" w:color="000000"/>
              <w:left w:val="single" w:sz="6" w:space="0" w:color="000000"/>
              <w:right w:val="single" w:sz="6" w:space="0" w:color="000000"/>
            </w:tcBorders>
            <w:tcMar>
              <w:top w:w="0" w:type="dxa"/>
              <w:left w:w="100" w:type="dxa"/>
              <w:bottom w:w="0" w:type="dxa"/>
              <w:right w:w="100" w:type="dxa"/>
            </w:tcMar>
          </w:tcPr>
          <w:p w14:paraId="36F29A11"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09A6AF36" w14:textId="77777777" w:rsidTr="002D5949">
        <w:trPr>
          <w:trHeight w:val="360"/>
        </w:trPr>
        <w:tc>
          <w:tcPr>
            <w:tcW w:w="1941" w:type="dxa"/>
            <w:tcBorders>
              <w:left w:val="single" w:sz="6" w:space="0" w:color="000000"/>
              <w:right w:val="single" w:sz="6" w:space="0" w:color="000000"/>
            </w:tcBorders>
            <w:tcMar>
              <w:top w:w="0" w:type="dxa"/>
              <w:left w:w="100" w:type="dxa"/>
              <w:bottom w:w="0" w:type="dxa"/>
              <w:right w:w="100" w:type="dxa"/>
            </w:tcMar>
          </w:tcPr>
          <w:p w14:paraId="5DB4719C" w14:textId="77777777" w:rsidR="00F42E39" w:rsidRPr="00C264B5" w:rsidRDefault="00F42E39" w:rsidP="002D5949">
            <w:pPr>
              <w:rPr>
                <w:rFonts w:ascii="Times New Roman" w:eastAsia="Times New Roman" w:hAnsi="Times New Roman" w:cs="Times New Roman"/>
                <w:sz w:val="20"/>
                <w:szCs w:val="20"/>
              </w:rPr>
            </w:pPr>
          </w:p>
        </w:tc>
        <w:tc>
          <w:tcPr>
            <w:tcW w:w="1686" w:type="dxa"/>
            <w:tcBorders>
              <w:left w:val="single" w:sz="6" w:space="0" w:color="000000"/>
              <w:right w:val="single" w:sz="6" w:space="0" w:color="000000"/>
            </w:tcBorders>
          </w:tcPr>
          <w:p w14:paraId="6E774842" w14:textId="77777777" w:rsidR="00F42E39" w:rsidRPr="00C264B5" w:rsidRDefault="00F42E39" w:rsidP="00F42E39">
            <w:pPr>
              <w:numPr>
                <w:ilvl w:val="0"/>
                <w:numId w:val="6"/>
              </w:numPr>
              <w:spacing w:line="240" w:lineRule="auto"/>
              <w:ind w:left="30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No vasoactive medications</w:t>
            </w:r>
            <w:r w:rsidRPr="00C264B5">
              <w:rPr>
                <w:rFonts w:ascii="Times New Roman" w:eastAsia="Times New Roman" w:hAnsi="Times New Roman" w:cs="Times New Roman"/>
                <w:sz w:val="20"/>
                <w:szCs w:val="20"/>
                <w:vertAlign w:val="superscript"/>
              </w:rPr>
              <w:t>4</w:t>
            </w:r>
          </w:p>
        </w:tc>
        <w:tc>
          <w:tcPr>
            <w:tcW w:w="1963" w:type="dxa"/>
            <w:tcBorders>
              <w:left w:val="single" w:sz="6" w:space="0" w:color="000000"/>
              <w:right w:val="single" w:sz="6" w:space="0" w:color="000000"/>
            </w:tcBorders>
            <w:tcMar>
              <w:top w:w="0" w:type="dxa"/>
              <w:left w:w="100" w:type="dxa"/>
              <w:bottom w:w="0" w:type="dxa"/>
              <w:right w:w="100" w:type="dxa"/>
            </w:tcMar>
          </w:tcPr>
          <w:p w14:paraId="711BFCF7" w14:textId="77777777" w:rsidR="00F42E39" w:rsidRPr="00C264B5" w:rsidRDefault="00F42E39" w:rsidP="00F42E39">
            <w:pPr>
              <w:numPr>
                <w:ilvl w:val="0"/>
                <w:numId w:val="6"/>
              </w:numP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1 vasoactive medication</w:t>
            </w:r>
          </w:p>
        </w:tc>
        <w:tc>
          <w:tcPr>
            <w:tcW w:w="1710" w:type="dxa"/>
            <w:tcBorders>
              <w:left w:val="single" w:sz="6" w:space="0" w:color="000000"/>
              <w:right w:val="single" w:sz="6" w:space="0" w:color="000000"/>
            </w:tcBorders>
            <w:tcMar>
              <w:top w:w="0" w:type="dxa"/>
              <w:left w:w="100" w:type="dxa"/>
              <w:bottom w:w="0" w:type="dxa"/>
              <w:right w:w="100" w:type="dxa"/>
            </w:tcMar>
          </w:tcPr>
          <w:p w14:paraId="59C48CA2" w14:textId="77777777" w:rsidR="00F42E39" w:rsidRPr="00C264B5" w:rsidRDefault="00197EEA" w:rsidP="00F42E39">
            <w:pPr>
              <w:numPr>
                <w:ilvl w:val="0"/>
                <w:numId w:val="7"/>
              </w:numPr>
              <w:spacing w:line="240" w:lineRule="auto"/>
              <w:ind w:left="175" w:hanging="175"/>
              <w:rPr>
                <w:rFonts w:ascii="Times New Roman" w:eastAsia="Times New Roman" w:hAnsi="Times New Roman" w:cs="Times New Roman"/>
                <w:color w:val="000000"/>
                <w:sz w:val="20"/>
                <w:szCs w:val="20"/>
              </w:rPr>
            </w:pPr>
            <w:sdt>
              <w:sdtPr>
                <w:rPr>
                  <w:rFonts w:ascii="Times New Roman" w:hAnsi="Times New Roman" w:cs="Times New Roman"/>
                </w:rPr>
                <w:tag w:val="goog_rdk_2"/>
                <w:id w:val="-278954659"/>
              </w:sdtPr>
              <w:sdtEndPr/>
              <w:sdtContent>
                <w:r w:rsidR="00F42E39" w:rsidRPr="00C264B5">
                  <w:rPr>
                    <w:rFonts w:ascii="Times New Roman" w:eastAsia="Gungsuh" w:hAnsi="Times New Roman" w:cs="Times New Roman"/>
                    <w:color w:val="000000"/>
                    <w:sz w:val="20"/>
                    <w:szCs w:val="20"/>
                  </w:rPr>
                  <w:t>≥2 vasoactive medications</w:t>
                </w:r>
              </w:sdtContent>
            </w:sdt>
          </w:p>
        </w:tc>
        <w:tc>
          <w:tcPr>
            <w:tcW w:w="1800" w:type="dxa"/>
            <w:tcBorders>
              <w:left w:val="single" w:sz="6" w:space="0" w:color="000000"/>
              <w:right w:val="single" w:sz="6" w:space="0" w:color="000000"/>
            </w:tcBorders>
            <w:tcMar>
              <w:top w:w="0" w:type="dxa"/>
              <w:left w:w="100" w:type="dxa"/>
              <w:bottom w:w="0" w:type="dxa"/>
              <w:right w:w="100" w:type="dxa"/>
            </w:tcMar>
          </w:tcPr>
          <w:p w14:paraId="64541B42"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524A1F8D" w14:textId="77777777" w:rsidTr="002D5949">
        <w:trPr>
          <w:trHeight w:val="360"/>
        </w:trPr>
        <w:tc>
          <w:tcPr>
            <w:tcW w:w="1941" w:type="dxa"/>
            <w:tcBorders>
              <w:left w:val="single" w:sz="6" w:space="0" w:color="000000"/>
              <w:right w:val="single" w:sz="6" w:space="0" w:color="000000"/>
            </w:tcBorders>
            <w:tcMar>
              <w:top w:w="0" w:type="dxa"/>
              <w:left w:w="100" w:type="dxa"/>
              <w:bottom w:w="0" w:type="dxa"/>
              <w:right w:w="100" w:type="dxa"/>
            </w:tcMar>
          </w:tcPr>
          <w:p w14:paraId="5A9C643C" w14:textId="77777777" w:rsidR="00F42E39" w:rsidRPr="00C264B5" w:rsidRDefault="00F42E39" w:rsidP="002D5949">
            <w:pPr>
              <w:rPr>
                <w:rFonts w:ascii="Times New Roman" w:eastAsia="Times New Roman" w:hAnsi="Times New Roman" w:cs="Times New Roman"/>
                <w:sz w:val="20"/>
                <w:szCs w:val="20"/>
              </w:rPr>
            </w:pPr>
          </w:p>
        </w:tc>
        <w:tc>
          <w:tcPr>
            <w:tcW w:w="1686" w:type="dxa"/>
            <w:tcBorders>
              <w:left w:val="single" w:sz="6" w:space="0" w:color="000000"/>
              <w:right w:val="single" w:sz="6" w:space="0" w:color="000000"/>
            </w:tcBorders>
          </w:tcPr>
          <w:p w14:paraId="3CBE45C9" w14:textId="77777777" w:rsidR="00F42E39" w:rsidRPr="00C264B5" w:rsidRDefault="00F42E39" w:rsidP="00F42E39">
            <w:pPr>
              <w:numPr>
                <w:ilvl w:val="0"/>
                <w:numId w:val="8"/>
              </w:numPr>
              <w:spacing w:line="240" w:lineRule="auto"/>
              <w:ind w:left="30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Lactate</w:t>
            </w:r>
            <w:r w:rsidRPr="00C264B5">
              <w:rPr>
                <w:rFonts w:ascii="Times New Roman" w:eastAsia="Times New Roman" w:hAnsi="Times New Roman" w:cs="Times New Roman"/>
                <w:sz w:val="20"/>
                <w:szCs w:val="20"/>
                <w:vertAlign w:val="superscript"/>
              </w:rPr>
              <w:t>5</w:t>
            </w:r>
            <w:r w:rsidRPr="00C264B5">
              <w:rPr>
                <w:rFonts w:ascii="Times New Roman" w:eastAsia="Times New Roman" w:hAnsi="Times New Roman" w:cs="Times New Roman"/>
                <w:color w:val="000000"/>
                <w:sz w:val="20"/>
                <w:szCs w:val="20"/>
              </w:rPr>
              <w:t xml:space="preserve"> &lt;5 mmol/L</w:t>
            </w:r>
          </w:p>
        </w:tc>
        <w:tc>
          <w:tcPr>
            <w:tcW w:w="1963" w:type="dxa"/>
            <w:tcBorders>
              <w:left w:val="single" w:sz="6" w:space="0" w:color="000000"/>
              <w:right w:val="single" w:sz="6" w:space="0" w:color="000000"/>
            </w:tcBorders>
            <w:tcMar>
              <w:top w:w="0" w:type="dxa"/>
              <w:left w:w="100" w:type="dxa"/>
              <w:bottom w:w="0" w:type="dxa"/>
              <w:right w:w="100" w:type="dxa"/>
            </w:tcMar>
          </w:tcPr>
          <w:p w14:paraId="6A8810C0" w14:textId="77777777" w:rsidR="00F42E39" w:rsidRPr="00C264B5" w:rsidRDefault="00F42E39" w:rsidP="00F42E39">
            <w:pPr>
              <w:numPr>
                <w:ilvl w:val="0"/>
                <w:numId w:val="8"/>
              </w:numP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Lactate 5-10.9 mmol/L</w:t>
            </w:r>
          </w:p>
        </w:tc>
        <w:tc>
          <w:tcPr>
            <w:tcW w:w="1710" w:type="dxa"/>
            <w:tcBorders>
              <w:left w:val="single" w:sz="6" w:space="0" w:color="000000"/>
              <w:right w:val="single" w:sz="6" w:space="0" w:color="000000"/>
            </w:tcBorders>
            <w:tcMar>
              <w:top w:w="0" w:type="dxa"/>
              <w:left w:w="100" w:type="dxa"/>
              <w:bottom w:w="0" w:type="dxa"/>
              <w:right w:w="100" w:type="dxa"/>
            </w:tcMar>
          </w:tcPr>
          <w:p w14:paraId="00F782B3" w14:textId="77777777" w:rsidR="00F42E39" w:rsidRPr="00C264B5" w:rsidRDefault="00197EEA" w:rsidP="00F42E39">
            <w:pPr>
              <w:numPr>
                <w:ilvl w:val="0"/>
                <w:numId w:val="1"/>
              </w:numPr>
              <w:spacing w:line="240" w:lineRule="auto"/>
              <w:ind w:left="175" w:hanging="175"/>
              <w:rPr>
                <w:rFonts w:ascii="Times New Roman" w:eastAsia="Times New Roman" w:hAnsi="Times New Roman" w:cs="Times New Roman"/>
                <w:color w:val="000000"/>
                <w:sz w:val="20"/>
                <w:szCs w:val="20"/>
              </w:rPr>
            </w:pPr>
            <w:sdt>
              <w:sdtPr>
                <w:rPr>
                  <w:rFonts w:ascii="Times New Roman" w:hAnsi="Times New Roman" w:cs="Times New Roman"/>
                </w:rPr>
                <w:tag w:val="goog_rdk_3"/>
                <w:id w:val="-1336598762"/>
              </w:sdtPr>
              <w:sdtEndPr/>
              <w:sdtContent>
                <w:r w:rsidR="00F42E39" w:rsidRPr="00C264B5">
                  <w:rPr>
                    <w:rFonts w:ascii="Times New Roman" w:eastAsia="Gungsuh" w:hAnsi="Times New Roman" w:cs="Times New Roman"/>
                    <w:color w:val="000000"/>
                    <w:sz w:val="20"/>
                    <w:szCs w:val="20"/>
                  </w:rPr>
                  <w:t>Lactate ≥11 mmol/L</w:t>
                </w:r>
              </w:sdtContent>
            </w:sdt>
          </w:p>
        </w:tc>
        <w:tc>
          <w:tcPr>
            <w:tcW w:w="1800" w:type="dxa"/>
            <w:tcBorders>
              <w:left w:val="single" w:sz="6" w:space="0" w:color="000000"/>
              <w:right w:val="single" w:sz="6" w:space="0" w:color="000000"/>
            </w:tcBorders>
            <w:tcMar>
              <w:top w:w="0" w:type="dxa"/>
              <w:left w:w="100" w:type="dxa"/>
              <w:bottom w:w="0" w:type="dxa"/>
              <w:right w:w="100" w:type="dxa"/>
            </w:tcMar>
          </w:tcPr>
          <w:p w14:paraId="325DC48D"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5A1AE7B6" w14:textId="77777777" w:rsidTr="002D5949">
        <w:trPr>
          <w:trHeight w:val="225"/>
        </w:trPr>
        <w:tc>
          <w:tcPr>
            <w:tcW w:w="1941" w:type="dxa"/>
            <w:tcBorders>
              <w:left w:val="single" w:sz="6" w:space="0" w:color="000000"/>
              <w:right w:val="single" w:sz="6" w:space="0" w:color="000000"/>
            </w:tcBorders>
            <w:tcMar>
              <w:top w:w="0" w:type="dxa"/>
              <w:left w:w="100" w:type="dxa"/>
              <w:bottom w:w="0" w:type="dxa"/>
              <w:right w:w="100" w:type="dxa"/>
            </w:tcMar>
          </w:tcPr>
          <w:p w14:paraId="00A950C3"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Age-based</w:t>
            </w:r>
            <w:r w:rsidRPr="00C264B5">
              <w:rPr>
                <w:rFonts w:ascii="Times New Roman" w:eastAsia="Times New Roman" w:hAnsi="Times New Roman" w:cs="Times New Roman"/>
                <w:sz w:val="20"/>
                <w:szCs w:val="20"/>
                <w:vertAlign w:val="superscript"/>
              </w:rPr>
              <w:t>3</w:t>
            </w:r>
          </w:p>
        </w:tc>
        <w:tc>
          <w:tcPr>
            <w:tcW w:w="1686" w:type="dxa"/>
            <w:tcBorders>
              <w:left w:val="single" w:sz="6" w:space="0" w:color="000000"/>
              <w:right w:val="single" w:sz="6" w:space="0" w:color="000000"/>
            </w:tcBorders>
          </w:tcPr>
          <w:p w14:paraId="7A8BED40" w14:textId="77777777" w:rsidR="00F42E39" w:rsidRPr="00C264B5" w:rsidRDefault="00F42E39" w:rsidP="00F42E39">
            <w:pPr>
              <w:numPr>
                <w:ilvl w:val="0"/>
                <w:numId w:val="4"/>
              </w:numPr>
              <w:pBdr>
                <w:top w:val="nil"/>
                <w:left w:val="nil"/>
                <w:bottom w:val="nil"/>
                <w:right w:val="nil"/>
                <w:between w:val="nil"/>
              </w:pBdr>
              <w:spacing w:line="240" w:lineRule="auto"/>
              <w:ind w:left="308" w:hanging="180"/>
              <w:rPr>
                <w:rFonts w:ascii="Times New Roman" w:eastAsia="Times New Roman" w:hAnsi="Times New Roman" w:cs="Times New Roman"/>
                <w:b/>
                <w:color w:val="000000"/>
                <w:sz w:val="20"/>
                <w:szCs w:val="20"/>
              </w:rPr>
            </w:pPr>
            <w:r w:rsidRPr="00C264B5">
              <w:rPr>
                <w:rFonts w:ascii="Times New Roman" w:eastAsia="Times New Roman" w:hAnsi="Times New Roman" w:cs="Times New Roman"/>
                <w:color w:val="000000"/>
                <w:sz w:val="20"/>
                <w:szCs w:val="20"/>
              </w:rPr>
              <w:t>MAP</w:t>
            </w:r>
            <w:r w:rsidRPr="00C264B5">
              <w:rPr>
                <w:rFonts w:ascii="Times New Roman" w:eastAsia="Times New Roman" w:hAnsi="Times New Roman" w:cs="Times New Roman"/>
                <w:sz w:val="20"/>
                <w:szCs w:val="20"/>
                <w:vertAlign w:val="superscript"/>
              </w:rPr>
              <w:t>6</w:t>
            </w:r>
            <w:r w:rsidRPr="00C264B5">
              <w:rPr>
                <w:rFonts w:ascii="Times New Roman" w:eastAsia="Times New Roman" w:hAnsi="Times New Roman" w:cs="Times New Roman"/>
                <w:color w:val="000000"/>
                <w:sz w:val="20"/>
                <w:szCs w:val="20"/>
              </w:rPr>
              <w:t xml:space="preserve"> (mmHg)</w:t>
            </w:r>
          </w:p>
        </w:tc>
        <w:tc>
          <w:tcPr>
            <w:tcW w:w="1963" w:type="dxa"/>
            <w:tcBorders>
              <w:left w:val="single" w:sz="6" w:space="0" w:color="000000"/>
              <w:right w:val="single" w:sz="6" w:space="0" w:color="000000"/>
            </w:tcBorders>
            <w:tcMar>
              <w:top w:w="0" w:type="dxa"/>
              <w:left w:w="100" w:type="dxa"/>
              <w:bottom w:w="0" w:type="dxa"/>
              <w:right w:w="100" w:type="dxa"/>
            </w:tcMar>
          </w:tcPr>
          <w:p w14:paraId="6519BB17" w14:textId="77777777" w:rsidR="00F42E39" w:rsidRPr="00C264B5" w:rsidRDefault="00F42E39" w:rsidP="00F42E39">
            <w:pPr>
              <w:numPr>
                <w:ilvl w:val="0"/>
                <w:numId w:val="4"/>
              </w:numPr>
              <w:pBdr>
                <w:top w:val="nil"/>
                <w:left w:val="nil"/>
                <w:bottom w:val="nil"/>
                <w:right w:val="nil"/>
                <w:between w:val="nil"/>
              </w:pBd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MAP (mmHg)</w:t>
            </w:r>
          </w:p>
        </w:tc>
        <w:tc>
          <w:tcPr>
            <w:tcW w:w="1710" w:type="dxa"/>
            <w:tcBorders>
              <w:left w:val="single" w:sz="6" w:space="0" w:color="000000"/>
              <w:right w:val="single" w:sz="6" w:space="0" w:color="000000"/>
            </w:tcBorders>
            <w:tcMar>
              <w:top w:w="0" w:type="dxa"/>
              <w:left w:w="100" w:type="dxa"/>
              <w:bottom w:w="0" w:type="dxa"/>
              <w:right w:w="100" w:type="dxa"/>
            </w:tcMar>
          </w:tcPr>
          <w:p w14:paraId="272B5D10" w14:textId="77777777" w:rsidR="00F42E39" w:rsidRPr="00C264B5" w:rsidRDefault="00F42E39" w:rsidP="00F42E39">
            <w:pPr>
              <w:numPr>
                <w:ilvl w:val="0"/>
                <w:numId w:val="2"/>
              </w:numPr>
              <w:spacing w:line="240" w:lineRule="auto"/>
              <w:ind w:left="175" w:hanging="17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MAP (mmHg)</w:t>
            </w:r>
          </w:p>
        </w:tc>
        <w:tc>
          <w:tcPr>
            <w:tcW w:w="1800" w:type="dxa"/>
            <w:tcBorders>
              <w:left w:val="single" w:sz="6" w:space="0" w:color="000000"/>
              <w:right w:val="single" w:sz="6" w:space="0" w:color="000000"/>
            </w:tcBorders>
            <w:tcMar>
              <w:top w:w="0" w:type="dxa"/>
              <w:left w:w="100" w:type="dxa"/>
              <w:bottom w:w="0" w:type="dxa"/>
              <w:right w:w="100" w:type="dxa"/>
            </w:tcMar>
          </w:tcPr>
          <w:p w14:paraId="459E0461"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3094EB7D" w14:textId="77777777" w:rsidTr="002D5949">
        <w:trPr>
          <w:trHeight w:val="225"/>
        </w:trPr>
        <w:tc>
          <w:tcPr>
            <w:tcW w:w="1941" w:type="dxa"/>
            <w:tcBorders>
              <w:left w:val="single" w:sz="6" w:space="0" w:color="000000"/>
              <w:right w:val="single" w:sz="6" w:space="0" w:color="000000"/>
            </w:tcBorders>
            <w:tcMar>
              <w:top w:w="0" w:type="dxa"/>
              <w:left w:w="100" w:type="dxa"/>
              <w:bottom w:w="0" w:type="dxa"/>
              <w:right w:w="100" w:type="dxa"/>
            </w:tcMar>
          </w:tcPr>
          <w:p w14:paraId="55380F3A"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xml:space="preserve">   &lt;1</w:t>
            </w:r>
            <w:r w:rsidRPr="00C264B5">
              <w:rPr>
                <w:rFonts w:ascii="Times New Roman" w:eastAsia="Times New Roman" w:hAnsi="Times New Roman" w:cs="Times New Roman"/>
                <w:b/>
                <w:color w:val="000000"/>
                <w:sz w:val="20"/>
                <w:szCs w:val="20"/>
              </w:rPr>
              <w:t xml:space="preserve"> </w:t>
            </w:r>
            <w:r w:rsidRPr="00C264B5">
              <w:rPr>
                <w:rFonts w:ascii="Times New Roman" w:eastAsia="Times New Roman" w:hAnsi="Times New Roman" w:cs="Times New Roman"/>
                <w:color w:val="000000"/>
                <w:sz w:val="20"/>
                <w:szCs w:val="20"/>
              </w:rPr>
              <w:t>month</w:t>
            </w:r>
          </w:p>
        </w:tc>
        <w:tc>
          <w:tcPr>
            <w:tcW w:w="1686" w:type="dxa"/>
            <w:tcBorders>
              <w:left w:val="single" w:sz="6" w:space="0" w:color="000000"/>
              <w:right w:val="single" w:sz="6" w:space="0" w:color="000000"/>
            </w:tcBorders>
          </w:tcPr>
          <w:p w14:paraId="62AD034D" w14:textId="77777777" w:rsidR="00F42E39" w:rsidRPr="00C264B5" w:rsidRDefault="00F42E39" w:rsidP="002D5949">
            <w:pPr>
              <w:ind w:left="66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&gt;30</w:t>
            </w:r>
          </w:p>
        </w:tc>
        <w:tc>
          <w:tcPr>
            <w:tcW w:w="1963" w:type="dxa"/>
            <w:tcBorders>
              <w:left w:val="single" w:sz="6" w:space="0" w:color="000000"/>
              <w:right w:val="single" w:sz="6" w:space="0" w:color="000000"/>
            </w:tcBorders>
            <w:tcMar>
              <w:top w:w="0" w:type="dxa"/>
              <w:left w:w="100" w:type="dxa"/>
              <w:bottom w:w="0" w:type="dxa"/>
              <w:right w:w="100" w:type="dxa"/>
            </w:tcMar>
          </w:tcPr>
          <w:p w14:paraId="22649C02" w14:textId="77777777" w:rsidR="00F42E39" w:rsidRPr="00C264B5" w:rsidRDefault="00F42E39" w:rsidP="002D5949">
            <w:pPr>
              <w:ind w:left="33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17-30</w:t>
            </w:r>
          </w:p>
        </w:tc>
        <w:tc>
          <w:tcPr>
            <w:tcW w:w="1710" w:type="dxa"/>
            <w:tcBorders>
              <w:left w:val="single" w:sz="6" w:space="0" w:color="000000"/>
              <w:right w:val="single" w:sz="6" w:space="0" w:color="000000"/>
            </w:tcBorders>
            <w:tcMar>
              <w:top w:w="0" w:type="dxa"/>
              <w:left w:w="100" w:type="dxa"/>
              <w:bottom w:w="0" w:type="dxa"/>
              <w:right w:w="100" w:type="dxa"/>
            </w:tcMar>
          </w:tcPr>
          <w:p w14:paraId="08C1B5F2" w14:textId="77777777" w:rsidR="00F42E39" w:rsidRPr="00C264B5" w:rsidRDefault="00F42E39" w:rsidP="002D5949">
            <w:pPr>
              <w:ind w:left="35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&lt;17</w:t>
            </w:r>
          </w:p>
        </w:tc>
        <w:tc>
          <w:tcPr>
            <w:tcW w:w="1800" w:type="dxa"/>
            <w:tcBorders>
              <w:left w:val="single" w:sz="6" w:space="0" w:color="000000"/>
              <w:right w:val="single" w:sz="6" w:space="0" w:color="000000"/>
            </w:tcBorders>
            <w:tcMar>
              <w:top w:w="0" w:type="dxa"/>
              <w:left w:w="100" w:type="dxa"/>
              <w:bottom w:w="0" w:type="dxa"/>
              <w:right w:w="100" w:type="dxa"/>
            </w:tcMar>
          </w:tcPr>
          <w:p w14:paraId="0A6DC7C1"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 </w:t>
            </w:r>
          </w:p>
        </w:tc>
      </w:tr>
      <w:tr w:rsidR="00F42E39" w:rsidRPr="00C264B5" w14:paraId="6264A2D8" w14:textId="77777777" w:rsidTr="002D5949">
        <w:trPr>
          <w:trHeight w:val="225"/>
        </w:trPr>
        <w:tc>
          <w:tcPr>
            <w:tcW w:w="1941" w:type="dxa"/>
            <w:tcBorders>
              <w:left w:val="single" w:sz="6" w:space="0" w:color="000000"/>
              <w:right w:val="single" w:sz="6" w:space="0" w:color="000000"/>
            </w:tcBorders>
            <w:tcMar>
              <w:top w:w="0" w:type="dxa"/>
              <w:left w:w="100" w:type="dxa"/>
              <w:bottom w:w="0" w:type="dxa"/>
              <w:right w:w="100" w:type="dxa"/>
            </w:tcMar>
          </w:tcPr>
          <w:p w14:paraId="5C1AF2F9"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xml:space="preserve">   1 to 11</w:t>
            </w:r>
            <w:r w:rsidRPr="00C264B5">
              <w:rPr>
                <w:rFonts w:ascii="Times New Roman" w:eastAsia="Times New Roman" w:hAnsi="Times New Roman" w:cs="Times New Roman"/>
                <w:b/>
                <w:color w:val="000000"/>
                <w:sz w:val="20"/>
                <w:szCs w:val="20"/>
              </w:rPr>
              <w:t xml:space="preserve"> </w:t>
            </w:r>
            <w:r w:rsidRPr="00C264B5">
              <w:rPr>
                <w:rFonts w:ascii="Times New Roman" w:eastAsia="Times New Roman" w:hAnsi="Times New Roman" w:cs="Times New Roman"/>
                <w:color w:val="000000"/>
                <w:sz w:val="20"/>
                <w:szCs w:val="20"/>
              </w:rPr>
              <w:t>months</w:t>
            </w:r>
          </w:p>
        </w:tc>
        <w:tc>
          <w:tcPr>
            <w:tcW w:w="1686" w:type="dxa"/>
            <w:tcBorders>
              <w:left w:val="single" w:sz="6" w:space="0" w:color="000000"/>
              <w:right w:val="single" w:sz="6" w:space="0" w:color="000000"/>
            </w:tcBorders>
          </w:tcPr>
          <w:p w14:paraId="10E82F20" w14:textId="77777777" w:rsidR="00F42E39" w:rsidRPr="00C264B5" w:rsidRDefault="00F42E39" w:rsidP="002D5949">
            <w:pPr>
              <w:ind w:left="66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&gt;38</w:t>
            </w:r>
          </w:p>
        </w:tc>
        <w:tc>
          <w:tcPr>
            <w:tcW w:w="1963" w:type="dxa"/>
            <w:tcBorders>
              <w:left w:val="single" w:sz="6" w:space="0" w:color="000000"/>
              <w:right w:val="single" w:sz="6" w:space="0" w:color="000000"/>
            </w:tcBorders>
            <w:tcMar>
              <w:top w:w="0" w:type="dxa"/>
              <w:left w:w="100" w:type="dxa"/>
              <w:bottom w:w="0" w:type="dxa"/>
              <w:right w:w="100" w:type="dxa"/>
            </w:tcMar>
          </w:tcPr>
          <w:p w14:paraId="36648AFC" w14:textId="77777777" w:rsidR="00F42E39" w:rsidRPr="00C264B5" w:rsidRDefault="00F42E39" w:rsidP="002D5949">
            <w:pPr>
              <w:ind w:left="33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25-38</w:t>
            </w:r>
          </w:p>
        </w:tc>
        <w:tc>
          <w:tcPr>
            <w:tcW w:w="1710" w:type="dxa"/>
            <w:tcBorders>
              <w:left w:val="single" w:sz="6" w:space="0" w:color="000000"/>
              <w:right w:val="single" w:sz="6" w:space="0" w:color="000000"/>
            </w:tcBorders>
            <w:tcMar>
              <w:top w:w="0" w:type="dxa"/>
              <w:left w:w="100" w:type="dxa"/>
              <w:bottom w:w="0" w:type="dxa"/>
              <w:right w:w="100" w:type="dxa"/>
            </w:tcMar>
          </w:tcPr>
          <w:p w14:paraId="4A34AD67" w14:textId="77777777" w:rsidR="00F42E39" w:rsidRPr="00C264B5" w:rsidRDefault="00F42E39" w:rsidP="002D5949">
            <w:pPr>
              <w:ind w:left="35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&lt;25</w:t>
            </w:r>
          </w:p>
        </w:tc>
        <w:tc>
          <w:tcPr>
            <w:tcW w:w="1800" w:type="dxa"/>
            <w:tcBorders>
              <w:left w:val="single" w:sz="6" w:space="0" w:color="000000"/>
              <w:right w:val="single" w:sz="6" w:space="0" w:color="000000"/>
            </w:tcBorders>
            <w:tcMar>
              <w:top w:w="0" w:type="dxa"/>
              <w:left w:w="100" w:type="dxa"/>
              <w:bottom w:w="0" w:type="dxa"/>
              <w:right w:w="100" w:type="dxa"/>
            </w:tcMar>
          </w:tcPr>
          <w:p w14:paraId="61ED29AC"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 </w:t>
            </w:r>
          </w:p>
        </w:tc>
      </w:tr>
      <w:tr w:rsidR="00F42E39" w:rsidRPr="00C264B5" w14:paraId="4A063A35" w14:textId="77777777" w:rsidTr="002D5949">
        <w:trPr>
          <w:trHeight w:val="225"/>
        </w:trPr>
        <w:tc>
          <w:tcPr>
            <w:tcW w:w="1941" w:type="dxa"/>
            <w:tcBorders>
              <w:left w:val="single" w:sz="6" w:space="0" w:color="000000"/>
              <w:right w:val="single" w:sz="6" w:space="0" w:color="000000"/>
            </w:tcBorders>
            <w:tcMar>
              <w:top w:w="0" w:type="dxa"/>
              <w:left w:w="100" w:type="dxa"/>
              <w:bottom w:w="0" w:type="dxa"/>
              <w:right w:w="100" w:type="dxa"/>
            </w:tcMar>
          </w:tcPr>
          <w:p w14:paraId="49C81FD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xml:space="preserve">   1 to &lt;2 years</w:t>
            </w:r>
          </w:p>
        </w:tc>
        <w:tc>
          <w:tcPr>
            <w:tcW w:w="1686" w:type="dxa"/>
            <w:tcBorders>
              <w:left w:val="single" w:sz="6" w:space="0" w:color="000000"/>
              <w:right w:val="single" w:sz="6" w:space="0" w:color="000000"/>
            </w:tcBorders>
          </w:tcPr>
          <w:p w14:paraId="1D7B7AF7" w14:textId="77777777" w:rsidR="00F42E39" w:rsidRPr="00C264B5" w:rsidRDefault="00F42E39" w:rsidP="002D5949">
            <w:pPr>
              <w:ind w:left="66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&gt;43</w:t>
            </w:r>
          </w:p>
        </w:tc>
        <w:tc>
          <w:tcPr>
            <w:tcW w:w="1963" w:type="dxa"/>
            <w:tcBorders>
              <w:left w:val="single" w:sz="6" w:space="0" w:color="000000"/>
              <w:right w:val="single" w:sz="6" w:space="0" w:color="000000"/>
            </w:tcBorders>
            <w:tcMar>
              <w:top w:w="0" w:type="dxa"/>
              <w:left w:w="100" w:type="dxa"/>
              <w:bottom w:w="0" w:type="dxa"/>
              <w:right w:w="100" w:type="dxa"/>
            </w:tcMar>
          </w:tcPr>
          <w:p w14:paraId="25291E1D" w14:textId="77777777" w:rsidR="00F42E39" w:rsidRPr="00C264B5" w:rsidRDefault="00F42E39" w:rsidP="002D5949">
            <w:pPr>
              <w:ind w:left="33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31-43</w:t>
            </w:r>
          </w:p>
        </w:tc>
        <w:tc>
          <w:tcPr>
            <w:tcW w:w="1710" w:type="dxa"/>
            <w:tcBorders>
              <w:left w:val="single" w:sz="6" w:space="0" w:color="000000"/>
              <w:right w:val="single" w:sz="6" w:space="0" w:color="000000"/>
            </w:tcBorders>
            <w:tcMar>
              <w:top w:w="0" w:type="dxa"/>
              <w:left w:w="100" w:type="dxa"/>
              <w:bottom w:w="0" w:type="dxa"/>
              <w:right w:w="100" w:type="dxa"/>
            </w:tcMar>
          </w:tcPr>
          <w:p w14:paraId="357503D8" w14:textId="77777777" w:rsidR="00F42E39" w:rsidRPr="00C264B5" w:rsidRDefault="00F42E39" w:rsidP="002D5949">
            <w:pPr>
              <w:ind w:left="35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&lt;31</w:t>
            </w:r>
          </w:p>
        </w:tc>
        <w:tc>
          <w:tcPr>
            <w:tcW w:w="1800" w:type="dxa"/>
            <w:tcBorders>
              <w:left w:val="single" w:sz="6" w:space="0" w:color="000000"/>
              <w:right w:val="single" w:sz="6" w:space="0" w:color="000000"/>
            </w:tcBorders>
            <w:tcMar>
              <w:top w:w="0" w:type="dxa"/>
              <w:left w:w="100" w:type="dxa"/>
              <w:bottom w:w="0" w:type="dxa"/>
              <w:right w:w="100" w:type="dxa"/>
            </w:tcMar>
          </w:tcPr>
          <w:p w14:paraId="65214FFB"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 </w:t>
            </w:r>
          </w:p>
        </w:tc>
      </w:tr>
      <w:tr w:rsidR="00F42E39" w:rsidRPr="00C264B5" w14:paraId="627E7478" w14:textId="77777777" w:rsidTr="002D5949">
        <w:trPr>
          <w:trHeight w:val="225"/>
        </w:trPr>
        <w:tc>
          <w:tcPr>
            <w:tcW w:w="1941" w:type="dxa"/>
            <w:tcBorders>
              <w:left w:val="single" w:sz="6" w:space="0" w:color="000000"/>
              <w:right w:val="single" w:sz="6" w:space="0" w:color="000000"/>
            </w:tcBorders>
            <w:tcMar>
              <w:top w:w="0" w:type="dxa"/>
              <w:left w:w="100" w:type="dxa"/>
              <w:bottom w:w="0" w:type="dxa"/>
              <w:right w:w="100" w:type="dxa"/>
            </w:tcMar>
          </w:tcPr>
          <w:p w14:paraId="6BF3DDEA"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xml:space="preserve">   2 to &lt;5 years</w:t>
            </w:r>
          </w:p>
        </w:tc>
        <w:tc>
          <w:tcPr>
            <w:tcW w:w="1686" w:type="dxa"/>
            <w:tcBorders>
              <w:left w:val="single" w:sz="6" w:space="0" w:color="000000"/>
              <w:right w:val="single" w:sz="6" w:space="0" w:color="000000"/>
            </w:tcBorders>
          </w:tcPr>
          <w:p w14:paraId="059551F9" w14:textId="77777777" w:rsidR="00F42E39" w:rsidRPr="00C264B5" w:rsidRDefault="00F42E39" w:rsidP="002D5949">
            <w:pPr>
              <w:ind w:left="66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&gt;44</w:t>
            </w:r>
          </w:p>
        </w:tc>
        <w:tc>
          <w:tcPr>
            <w:tcW w:w="1963" w:type="dxa"/>
            <w:tcBorders>
              <w:left w:val="single" w:sz="6" w:space="0" w:color="000000"/>
              <w:right w:val="single" w:sz="6" w:space="0" w:color="000000"/>
            </w:tcBorders>
            <w:tcMar>
              <w:top w:w="0" w:type="dxa"/>
              <w:left w:w="100" w:type="dxa"/>
              <w:bottom w:w="0" w:type="dxa"/>
              <w:right w:w="100" w:type="dxa"/>
            </w:tcMar>
          </w:tcPr>
          <w:p w14:paraId="4C766997" w14:textId="77777777" w:rsidR="00F42E39" w:rsidRPr="00C264B5" w:rsidRDefault="00F42E39" w:rsidP="002D5949">
            <w:pPr>
              <w:ind w:left="33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32-44</w:t>
            </w:r>
          </w:p>
        </w:tc>
        <w:tc>
          <w:tcPr>
            <w:tcW w:w="1710" w:type="dxa"/>
            <w:tcBorders>
              <w:left w:val="single" w:sz="6" w:space="0" w:color="000000"/>
              <w:right w:val="single" w:sz="6" w:space="0" w:color="000000"/>
            </w:tcBorders>
            <w:tcMar>
              <w:top w:w="0" w:type="dxa"/>
              <w:left w:w="100" w:type="dxa"/>
              <w:bottom w:w="0" w:type="dxa"/>
              <w:right w:w="100" w:type="dxa"/>
            </w:tcMar>
          </w:tcPr>
          <w:p w14:paraId="75BD9F2B" w14:textId="77777777" w:rsidR="00F42E39" w:rsidRPr="00C264B5" w:rsidRDefault="00F42E39" w:rsidP="002D5949">
            <w:pPr>
              <w:ind w:left="35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&lt;32</w:t>
            </w:r>
          </w:p>
        </w:tc>
        <w:tc>
          <w:tcPr>
            <w:tcW w:w="1800" w:type="dxa"/>
            <w:tcBorders>
              <w:left w:val="single" w:sz="6" w:space="0" w:color="000000"/>
              <w:right w:val="single" w:sz="6" w:space="0" w:color="000000"/>
            </w:tcBorders>
            <w:tcMar>
              <w:top w:w="0" w:type="dxa"/>
              <w:left w:w="100" w:type="dxa"/>
              <w:bottom w:w="0" w:type="dxa"/>
              <w:right w:w="100" w:type="dxa"/>
            </w:tcMar>
          </w:tcPr>
          <w:p w14:paraId="0690223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 </w:t>
            </w:r>
          </w:p>
        </w:tc>
      </w:tr>
      <w:tr w:rsidR="00F42E39" w:rsidRPr="00C264B5" w14:paraId="5C76DAF0" w14:textId="77777777" w:rsidTr="002D5949">
        <w:trPr>
          <w:trHeight w:val="225"/>
        </w:trPr>
        <w:tc>
          <w:tcPr>
            <w:tcW w:w="1941" w:type="dxa"/>
            <w:tcBorders>
              <w:left w:val="single" w:sz="6" w:space="0" w:color="000000"/>
              <w:right w:val="single" w:sz="6" w:space="0" w:color="000000"/>
            </w:tcBorders>
            <w:tcMar>
              <w:top w:w="0" w:type="dxa"/>
              <w:left w:w="100" w:type="dxa"/>
              <w:bottom w:w="0" w:type="dxa"/>
              <w:right w:w="100" w:type="dxa"/>
            </w:tcMar>
          </w:tcPr>
          <w:p w14:paraId="28471888"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xml:space="preserve">   5 to &lt;12</w:t>
            </w:r>
            <w:r w:rsidRPr="00C264B5">
              <w:rPr>
                <w:rFonts w:ascii="Times New Roman" w:eastAsia="Times New Roman" w:hAnsi="Times New Roman" w:cs="Times New Roman"/>
                <w:b/>
                <w:color w:val="000000"/>
                <w:sz w:val="20"/>
                <w:szCs w:val="20"/>
              </w:rPr>
              <w:t xml:space="preserve"> </w:t>
            </w:r>
            <w:r w:rsidRPr="00C264B5">
              <w:rPr>
                <w:rFonts w:ascii="Times New Roman" w:eastAsia="Times New Roman" w:hAnsi="Times New Roman" w:cs="Times New Roman"/>
                <w:color w:val="000000"/>
                <w:sz w:val="20"/>
                <w:szCs w:val="20"/>
              </w:rPr>
              <w:t>years</w:t>
            </w:r>
          </w:p>
        </w:tc>
        <w:tc>
          <w:tcPr>
            <w:tcW w:w="1686" w:type="dxa"/>
            <w:tcBorders>
              <w:left w:val="single" w:sz="6" w:space="0" w:color="000000"/>
              <w:right w:val="single" w:sz="6" w:space="0" w:color="000000"/>
            </w:tcBorders>
          </w:tcPr>
          <w:p w14:paraId="4A84D353" w14:textId="77777777" w:rsidR="00F42E39" w:rsidRPr="00C264B5" w:rsidRDefault="00F42E39" w:rsidP="002D5949">
            <w:pPr>
              <w:ind w:left="66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&gt;48</w:t>
            </w:r>
          </w:p>
        </w:tc>
        <w:tc>
          <w:tcPr>
            <w:tcW w:w="1963" w:type="dxa"/>
            <w:tcBorders>
              <w:left w:val="single" w:sz="6" w:space="0" w:color="000000"/>
              <w:right w:val="single" w:sz="6" w:space="0" w:color="000000"/>
            </w:tcBorders>
            <w:tcMar>
              <w:top w:w="0" w:type="dxa"/>
              <w:left w:w="100" w:type="dxa"/>
              <w:bottom w:w="0" w:type="dxa"/>
              <w:right w:w="100" w:type="dxa"/>
            </w:tcMar>
          </w:tcPr>
          <w:p w14:paraId="64AC00A6" w14:textId="77777777" w:rsidR="00F42E39" w:rsidRPr="00C264B5" w:rsidRDefault="00F42E39" w:rsidP="002D5949">
            <w:pPr>
              <w:ind w:left="33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36-48</w:t>
            </w:r>
          </w:p>
        </w:tc>
        <w:tc>
          <w:tcPr>
            <w:tcW w:w="1710" w:type="dxa"/>
            <w:tcBorders>
              <w:left w:val="single" w:sz="6" w:space="0" w:color="000000"/>
              <w:right w:val="single" w:sz="6" w:space="0" w:color="000000"/>
            </w:tcBorders>
            <w:tcMar>
              <w:top w:w="0" w:type="dxa"/>
              <w:left w:w="100" w:type="dxa"/>
              <w:bottom w:w="0" w:type="dxa"/>
              <w:right w:w="100" w:type="dxa"/>
            </w:tcMar>
          </w:tcPr>
          <w:p w14:paraId="35A1D6EB" w14:textId="77777777" w:rsidR="00F42E39" w:rsidRPr="00C264B5" w:rsidRDefault="00F42E39" w:rsidP="002D5949">
            <w:pPr>
              <w:ind w:left="35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&lt;36</w:t>
            </w:r>
          </w:p>
        </w:tc>
        <w:tc>
          <w:tcPr>
            <w:tcW w:w="1800" w:type="dxa"/>
            <w:tcBorders>
              <w:left w:val="single" w:sz="6" w:space="0" w:color="000000"/>
              <w:right w:val="single" w:sz="6" w:space="0" w:color="000000"/>
            </w:tcBorders>
            <w:tcMar>
              <w:top w:w="0" w:type="dxa"/>
              <w:left w:w="100" w:type="dxa"/>
              <w:bottom w:w="0" w:type="dxa"/>
              <w:right w:w="100" w:type="dxa"/>
            </w:tcMar>
          </w:tcPr>
          <w:p w14:paraId="1CBEBD74"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b/>
                <w:color w:val="000000"/>
                <w:sz w:val="20"/>
                <w:szCs w:val="20"/>
              </w:rPr>
              <w:t> </w:t>
            </w:r>
          </w:p>
        </w:tc>
      </w:tr>
      <w:tr w:rsidR="00F42E39" w:rsidRPr="00C264B5" w14:paraId="5B05C00F" w14:textId="77777777" w:rsidTr="002D5949">
        <w:trPr>
          <w:trHeight w:val="240"/>
        </w:trPr>
        <w:tc>
          <w:tcPr>
            <w:tcW w:w="1941" w:type="dxa"/>
            <w:tcBorders>
              <w:left w:val="single" w:sz="6" w:space="0" w:color="000000"/>
              <w:bottom w:val="single" w:sz="6" w:space="0" w:color="000000"/>
              <w:right w:val="single" w:sz="6" w:space="0" w:color="000000"/>
            </w:tcBorders>
            <w:tcMar>
              <w:top w:w="0" w:type="dxa"/>
              <w:left w:w="100" w:type="dxa"/>
              <w:bottom w:w="0" w:type="dxa"/>
              <w:right w:w="100" w:type="dxa"/>
            </w:tcMar>
          </w:tcPr>
          <w:p w14:paraId="56BA142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xml:space="preserve">   12 to 17 years</w:t>
            </w:r>
          </w:p>
        </w:tc>
        <w:tc>
          <w:tcPr>
            <w:tcW w:w="1686" w:type="dxa"/>
            <w:tcBorders>
              <w:left w:val="single" w:sz="6" w:space="0" w:color="000000"/>
              <w:bottom w:val="single" w:sz="6" w:space="0" w:color="000000"/>
              <w:right w:val="single" w:sz="6" w:space="0" w:color="000000"/>
            </w:tcBorders>
          </w:tcPr>
          <w:p w14:paraId="3BA5379A" w14:textId="77777777" w:rsidR="00F42E39" w:rsidRPr="00C264B5" w:rsidRDefault="00F42E39" w:rsidP="002D5949">
            <w:pPr>
              <w:ind w:left="66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&gt;51</w:t>
            </w:r>
          </w:p>
        </w:tc>
        <w:tc>
          <w:tcPr>
            <w:tcW w:w="1963" w:type="dxa"/>
            <w:tcBorders>
              <w:left w:val="single" w:sz="6" w:space="0" w:color="000000"/>
              <w:bottom w:val="single" w:sz="6" w:space="0" w:color="000000"/>
              <w:right w:val="single" w:sz="6" w:space="0" w:color="000000"/>
            </w:tcBorders>
            <w:tcMar>
              <w:top w:w="0" w:type="dxa"/>
              <w:left w:w="100" w:type="dxa"/>
              <w:bottom w:w="0" w:type="dxa"/>
              <w:right w:w="100" w:type="dxa"/>
            </w:tcMar>
          </w:tcPr>
          <w:p w14:paraId="4C52D155" w14:textId="77777777" w:rsidR="00F42E39" w:rsidRPr="00C264B5" w:rsidRDefault="00F42E39" w:rsidP="002D5949">
            <w:pPr>
              <w:ind w:left="33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38-51</w:t>
            </w:r>
          </w:p>
        </w:tc>
        <w:tc>
          <w:tcPr>
            <w:tcW w:w="1710" w:type="dxa"/>
            <w:tcBorders>
              <w:left w:val="single" w:sz="6" w:space="0" w:color="000000"/>
              <w:bottom w:val="single" w:sz="6" w:space="0" w:color="000000"/>
              <w:right w:val="single" w:sz="6" w:space="0" w:color="000000"/>
            </w:tcBorders>
            <w:tcMar>
              <w:top w:w="0" w:type="dxa"/>
              <w:left w:w="100" w:type="dxa"/>
              <w:bottom w:w="0" w:type="dxa"/>
              <w:right w:w="100" w:type="dxa"/>
            </w:tcMar>
          </w:tcPr>
          <w:p w14:paraId="2035812C" w14:textId="77777777" w:rsidR="00F42E39" w:rsidRPr="00C264B5" w:rsidRDefault="00F42E39" w:rsidP="002D5949">
            <w:pPr>
              <w:ind w:left="355"/>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&lt;38</w:t>
            </w:r>
          </w:p>
        </w:tc>
        <w:tc>
          <w:tcPr>
            <w:tcW w:w="1800" w:type="dxa"/>
            <w:tcBorders>
              <w:left w:val="single" w:sz="6" w:space="0" w:color="000000"/>
              <w:bottom w:val="single" w:sz="6" w:space="0" w:color="000000"/>
              <w:right w:val="single" w:sz="6" w:space="0" w:color="000000"/>
            </w:tcBorders>
            <w:tcMar>
              <w:top w:w="0" w:type="dxa"/>
              <w:left w:w="100" w:type="dxa"/>
              <w:bottom w:w="0" w:type="dxa"/>
              <w:right w:w="100" w:type="dxa"/>
            </w:tcMar>
          </w:tcPr>
          <w:p w14:paraId="3FA93FEA"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562BD45C" w14:textId="77777777" w:rsidTr="002D5949">
        <w:trPr>
          <w:trHeight w:val="285"/>
        </w:trPr>
        <w:tc>
          <w:tcPr>
            <w:tcW w:w="1941" w:type="dxa"/>
            <w:tcBorders>
              <w:top w:val="single" w:sz="6" w:space="0" w:color="000000"/>
              <w:left w:val="single" w:sz="6" w:space="0" w:color="000000"/>
              <w:right w:val="single" w:sz="6" w:space="0" w:color="000000"/>
            </w:tcBorders>
            <w:tcMar>
              <w:top w:w="0" w:type="dxa"/>
              <w:left w:w="100" w:type="dxa"/>
              <w:bottom w:w="0" w:type="dxa"/>
              <w:right w:w="100" w:type="dxa"/>
            </w:tcMar>
          </w:tcPr>
          <w:p w14:paraId="06A5E74E" w14:textId="77777777" w:rsidR="00F42E39" w:rsidRPr="00C264B5" w:rsidRDefault="00F42E39" w:rsidP="002D5949">
            <w:pPr>
              <w:rPr>
                <w:rFonts w:ascii="Times New Roman" w:eastAsia="Times New Roman" w:hAnsi="Times New Roman" w:cs="Times New Roman"/>
                <w:b/>
                <w:color w:val="000000"/>
                <w:sz w:val="20"/>
                <w:szCs w:val="20"/>
              </w:rPr>
            </w:pPr>
            <w:r w:rsidRPr="00C264B5">
              <w:rPr>
                <w:rFonts w:ascii="Times New Roman" w:eastAsia="Times New Roman" w:hAnsi="Times New Roman" w:cs="Times New Roman"/>
                <w:b/>
                <w:color w:val="000000"/>
                <w:sz w:val="20"/>
                <w:szCs w:val="20"/>
              </w:rPr>
              <w:t>Coagulation</w:t>
            </w:r>
            <w:r w:rsidRPr="00C264B5">
              <w:rPr>
                <w:rFonts w:ascii="Times New Roman" w:eastAsia="Times New Roman" w:hAnsi="Times New Roman" w:cs="Times New Roman"/>
                <w:sz w:val="20"/>
                <w:szCs w:val="20"/>
                <w:vertAlign w:val="superscript"/>
              </w:rPr>
              <w:t>7</w:t>
            </w:r>
          </w:p>
          <w:p w14:paraId="25A7455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(0-2 points)</w:t>
            </w:r>
          </w:p>
        </w:tc>
        <w:tc>
          <w:tcPr>
            <w:tcW w:w="1686" w:type="dxa"/>
            <w:tcBorders>
              <w:top w:val="single" w:sz="6" w:space="0" w:color="000000"/>
              <w:left w:val="single" w:sz="6" w:space="0" w:color="000000"/>
              <w:right w:val="single" w:sz="6" w:space="0" w:color="000000"/>
            </w:tcBorders>
          </w:tcPr>
          <w:p w14:paraId="1D1D2388" w14:textId="77777777" w:rsidR="00F42E39" w:rsidRPr="00C264B5" w:rsidRDefault="00F42E39" w:rsidP="002D5949">
            <w:pPr>
              <w:rPr>
                <w:rFonts w:ascii="Times New Roman" w:eastAsia="Times New Roman" w:hAnsi="Times New Roman" w:cs="Times New Roman"/>
                <w:color w:val="000000"/>
                <w:sz w:val="20"/>
                <w:szCs w:val="20"/>
                <w:u w:val="single"/>
              </w:rPr>
            </w:pPr>
          </w:p>
        </w:tc>
        <w:tc>
          <w:tcPr>
            <w:tcW w:w="1963" w:type="dxa"/>
            <w:tcBorders>
              <w:top w:val="single" w:sz="6" w:space="0" w:color="000000"/>
              <w:left w:val="single" w:sz="6" w:space="0" w:color="000000"/>
              <w:right w:val="single" w:sz="6" w:space="0" w:color="000000"/>
            </w:tcBorders>
            <w:tcMar>
              <w:top w:w="0" w:type="dxa"/>
              <w:left w:w="100" w:type="dxa"/>
              <w:bottom w:w="0" w:type="dxa"/>
              <w:right w:w="100" w:type="dxa"/>
            </w:tcMar>
          </w:tcPr>
          <w:p w14:paraId="01E8DFF8"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u w:val="single"/>
              </w:rPr>
              <w:t>1 point each (max. 2 points) for:</w:t>
            </w:r>
          </w:p>
        </w:tc>
        <w:tc>
          <w:tcPr>
            <w:tcW w:w="1710" w:type="dxa"/>
            <w:tcBorders>
              <w:top w:val="single" w:sz="6" w:space="0" w:color="000000"/>
              <w:left w:val="single" w:sz="6" w:space="0" w:color="000000"/>
              <w:right w:val="single" w:sz="6" w:space="0" w:color="000000"/>
            </w:tcBorders>
            <w:tcMar>
              <w:top w:w="0" w:type="dxa"/>
              <w:left w:w="100" w:type="dxa"/>
              <w:bottom w:w="0" w:type="dxa"/>
              <w:right w:w="100" w:type="dxa"/>
            </w:tcMar>
          </w:tcPr>
          <w:p w14:paraId="5DE4CC1D"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800" w:type="dxa"/>
            <w:tcBorders>
              <w:top w:val="single" w:sz="6" w:space="0" w:color="000000"/>
              <w:left w:val="single" w:sz="6" w:space="0" w:color="000000"/>
              <w:right w:val="single" w:sz="6" w:space="0" w:color="000000"/>
            </w:tcBorders>
            <w:tcMar>
              <w:top w:w="0" w:type="dxa"/>
              <w:left w:w="100" w:type="dxa"/>
              <w:bottom w:w="0" w:type="dxa"/>
              <w:right w:w="100" w:type="dxa"/>
            </w:tcMar>
          </w:tcPr>
          <w:p w14:paraId="2D775605"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780A90DB" w14:textId="77777777" w:rsidTr="002D5949">
        <w:trPr>
          <w:trHeight w:val="360"/>
        </w:trPr>
        <w:tc>
          <w:tcPr>
            <w:tcW w:w="1941" w:type="dxa"/>
            <w:tcBorders>
              <w:left w:val="single" w:sz="6" w:space="0" w:color="000000"/>
              <w:right w:val="single" w:sz="6" w:space="0" w:color="000000"/>
            </w:tcBorders>
            <w:tcMar>
              <w:top w:w="0" w:type="dxa"/>
              <w:left w:w="100" w:type="dxa"/>
              <w:bottom w:w="0" w:type="dxa"/>
              <w:right w:w="100" w:type="dxa"/>
            </w:tcMar>
          </w:tcPr>
          <w:p w14:paraId="6A7E9F64" w14:textId="77777777" w:rsidR="00F42E39" w:rsidRPr="00C264B5" w:rsidRDefault="00F42E39" w:rsidP="002D5949">
            <w:pPr>
              <w:rPr>
                <w:rFonts w:ascii="Times New Roman" w:eastAsia="Times New Roman" w:hAnsi="Times New Roman" w:cs="Times New Roman"/>
                <w:sz w:val="20"/>
                <w:szCs w:val="20"/>
              </w:rPr>
            </w:pPr>
          </w:p>
        </w:tc>
        <w:tc>
          <w:tcPr>
            <w:tcW w:w="1686" w:type="dxa"/>
            <w:tcBorders>
              <w:left w:val="single" w:sz="6" w:space="0" w:color="000000"/>
              <w:right w:val="single" w:sz="6" w:space="0" w:color="000000"/>
            </w:tcBorders>
          </w:tcPr>
          <w:p w14:paraId="16B5B498" w14:textId="77777777" w:rsidR="00F42E39" w:rsidRPr="00C264B5" w:rsidRDefault="00197EEA" w:rsidP="00F42E39">
            <w:pPr>
              <w:numPr>
                <w:ilvl w:val="0"/>
                <w:numId w:val="3"/>
              </w:numPr>
              <w:pBdr>
                <w:top w:val="nil"/>
                <w:left w:val="nil"/>
                <w:bottom w:val="nil"/>
                <w:right w:val="nil"/>
                <w:between w:val="nil"/>
              </w:pBdr>
              <w:spacing w:line="240" w:lineRule="auto"/>
              <w:ind w:left="308" w:hanging="180"/>
              <w:rPr>
                <w:rFonts w:ascii="Times New Roman" w:eastAsia="Times New Roman" w:hAnsi="Times New Roman" w:cs="Times New Roman"/>
                <w:color w:val="000000"/>
                <w:sz w:val="20"/>
                <w:szCs w:val="20"/>
              </w:rPr>
            </w:pPr>
            <w:sdt>
              <w:sdtPr>
                <w:rPr>
                  <w:rFonts w:ascii="Times New Roman" w:hAnsi="Times New Roman" w:cs="Times New Roman"/>
                </w:rPr>
                <w:tag w:val="goog_rdk_4"/>
                <w:id w:val="-634634523"/>
              </w:sdtPr>
              <w:sdtEndPr/>
              <w:sdtContent>
                <w:r w:rsidR="00F42E39" w:rsidRPr="00C264B5">
                  <w:rPr>
                    <w:rFonts w:ascii="Times New Roman" w:eastAsia="Gungsuh" w:hAnsi="Times New Roman" w:cs="Times New Roman"/>
                    <w:color w:val="000000"/>
                    <w:sz w:val="20"/>
                    <w:szCs w:val="20"/>
                  </w:rPr>
                  <w:t>Platelets ≥100 K/μL</w:t>
                </w:r>
              </w:sdtContent>
            </w:sdt>
          </w:p>
        </w:tc>
        <w:tc>
          <w:tcPr>
            <w:tcW w:w="1963" w:type="dxa"/>
            <w:tcBorders>
              <w:left w:val="single" w:sz="6" w:space="0" w:color="000000"/>
              <w:right w:val="single" w:sz="6" w:space="0" w:color="000000"/>
            </w:tcBorders>
            <w:tcMar>
              <w:top w:w="0" w:type="dxa"/>
              <w:left w:w="100" w:type="dxa"/>
              <w:bottom w:w="0" w:type="dxa"/>
              <w:right w:w="100" w:type="dxa"/>
            </w:tcMar>
          </w:tcPr>
          <w:p w14:paraId="53DDE8F5" w14:textId="77777777" w:rsidR="00F42E39" w:rsidRPr="00C264B5" w:rsidRDefault="00F42E39" w:rsidP="00F42E39">
            <w:pPr>
              <w:numPr>
                <w:ilvl w:val="0"/>
                <w:numId w:val="3"/>
              </w:numPr>
              <w:pBdr>
                <w:top w:val="nil"/>
                <w:left w:val="nil"/>
                <w:bottom w:val="nil"/>
                <w:right w:val="nil"/>
                <w:between w:val="nil"/>
              </w:pBd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Platelets &lt;100 K/μL</w:t>
            </w:r>
          </w:p>
        </w:tc>
        <w:tc>
          <w:tcPr>
            <w:tcW w:w="1710" w:type="dxa"/>
            <w:tcBorders>
              <w:left w:val="single" w:sz="6" w:space="0" w:color="000000"/>
              <w:right w:val="single" w:sz="6" w:space="0" w:color="000000"/>
            </w:tcBorders>
            <w:tcMar>
              <w:top w:w="0" w:type="dxa"/>
              <w:left w:w="100" w:type="dxa"/>
              <w:bottom w:w="0" w:type="dxa"/>
              <w:right w:w="100" w:type="dxa"/>
            </w:tcMar>
          </w:tcPr>
          <w:p w14:paraId="033EF29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800" w:type="dxa"/>
            <w:tcBorders>
              <w:left w:val="single" w:sz="6" w:space="0" w:color="000000"/>
              <w:right w:val="single" w:sz="6" w:space="0" w:color="000000"/>
            </w:tcBorders>
            <w:tcMar>
              <w:top w:w="0" w:type="dxa"/>
              <w:left w:w="100" w:type="dxa"/>
              <w:bottom w:w="0" w:type="dxa"/>
              <w:right w:w="100" w:type="dxa"/>
            </w:tcMar>
          </w:tcPr>
          <w:p w14:paraId="20EE7BA8"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20B7425F" w14:textId="77777777" w:rsidTr="002D5949">
        <w:trPr>
          <w:trHeight w:val="360"/>
        </w:trPr>
        <w:tc>
          <w:tcPr>
            <w:tcW w:w="1941" w:type="dxa"/>
            <w:tcBorders>
              <w:left w:val="single" w:sz="6" w:space="0" w:color="000000"/>
              <w:right w:val="single" w:sz="6" w:space="0" w:color="000000"/>
            </w:tcBorders>
            <w:tcMar>
              <w:top w:w="0" w:type="dxa"/>
              <w:left w:w="100" w:type="dxa"/>
              <w:bottom w:w="0" w:type="dxa"/>
              <w:right w:w="100" w:type="dxa"/>
            </w:tcMar>
          </w:tcPr>
          <w:p w14:paraId="48641493"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686" w:type="dxa"/>
            <w:tcBorders>
              <w:left w:val="single" w:sz="6" w:space="0" w:color="000000"/>
              <w:right w:val="single" w:sz="6" w:space="0" w:color="000000"/>
            </w:tcBorders>
          </w:tcPr>
          <w:p w14:paraId="42761E59" w14:textId="77777777" w:rsidR="00F42E39" w:rsidRPr="00C264B5" w:rsidRDefault="00197EEA" w:rsidP="00F42E39">
            <w:pPr>
              <w:numPr>
                <w:ilvl w:val="0"/>
                <w:numId w:val="3"/>
              </w:numPr>
              <w:pBdr>
                <w:top w:val="nil"/>
                <w:left w:val="nil"/>
                <w:bottom w:val="nil"/>
                <w:right w:val="nil"/>
                <w:between w:val="nil"/>
              </w:pBdr>
              <w:spacing w:line="240" w:lineRule="auto"/>
              <w:ind w:left="308" w:hanging="180"/>
              <w:rPr>
                <w:rFonts w:ascii="Times New Roman" w:eastAsia="Times New Roman" w:hAnsi="Times New Roman" w:cs="Times New Roman"/>
                <w:color w:val="000000"/>
                <w:sz w:val="20"/>
                <w:szCs w:val="20"/>
              </w:rPr>
            </w:pPr>
            <w:sdt>
              <w:sdtPr>
                <w:rPr>
                  <w:rFonts w:ascii="Times New Roman" w:hAnsi="Times New Roman" w:cs="Times New Roman"/>
                </w:rPr>
                <w:tag w:val="goog_rdk_5"/>
                <w:id w:val="499240934"/>
              </w:sdtPr>
              <w:sdtEndPr/>
              <w:sdtContent>
                <w:r w:rsidR="00F42E39" w:rsidRPr="00C264B5">
                  <w:rPr>
                    <w:rFonts w:ascii="Times New Roman" w:eastAsia="Gungsuh" w:hAnsi="Times New Roman" w:cs="Times New Roman"/>
                    <w:color w:val="000000"/>
                    <w:sz w:val="20"/>
                    <w:szCs w:val="20"/>
                  </w:rPr>
                  <w:t>INR ≤1.3</w:t>
                </w:r>
              </w:sdtContent>
            </w:sdt>
          </w:p>
        </w:tc>
        <w:tc>
          <w:tcPr>
            <w:tcW w:w="1963" w:type="dxa"/>
            <w:tcBorders>
              <w:left w:val="single" w:sz="6" w:space="0" w:color="000000"/>
              <w:right w:val="single" w:sz="6" w:space="0" w:color="000000"/>
            </w:tcBorders>
            <w:tcMar>
              <w:top w:w="0" w:type="dxa"/>
              <w:left w:w="100" w:type="dxa"/>
              <w:bottom w:w="0" w:type="dxa"/>
              <w:right w:w="100" w:type="dxa"/>
            </w:tcMar>
          </w:tcPr>
          <w:p w14:paraId="48771918" w14:textId="77777777" w:rsidR="00F42E39" w:rsidRPr="00C264B5" w:rsidRDefault="00F42E39" w:rsidP="00F42E39">
            <w:pPr>
              <w:numPr>
                <w:ilvl w:val="0"/>
                <w:numId w:val="3"/>
              </w:numPr>
              <w:pBdr>
                <w:top w:val="nil"/>
                <w:left w:val="nil"/>
                <w:bottom w:val="nil"/>
                <w:right w:val="nil"/>
                <w:between w:val="nil"/>
              </w:pBd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INR &gt;1.3</w:t>
            </w:r>
          </w:p>
        </w:tc>
        <w:tc>
          <w:tcPr>
            <w:tcW w:w="1710" w:type="dxa"/>
            <w:tcBorders>
              <w:left w:val="single" w:sz="6" w:space="0" w:color="000000"/>
              <w:right w:val="single" w:sz="6" w:space="0" w:color="000000"/>
            </w:tcBorders>
            <w:tcMar>
              <w:top w:w="0" w:type="dxa"/>
              <w:left w:w="100" w:type="dxa"/>
              <w:bottom w:w="0" w:type="dxa"/>
              <w:right w:w="100" w:type="dxa"/>
            </w:tcMar>
          </w:tcPr>
          <w:p w14:paraId="1C0A829D"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800" w:type="dxa"/>
            <w:tcBorders>
              <w:left w:val="single" w:sz="6" w:space="0" w:color="000000"/>
              <w:right w:val="single" w:sz="6" w:space="0" w:color="000000"/>
            </w:tcBorders>
            <w:tcMar>
              <w:top w:w="0" w:type="dxa"/>
              <w:left w:w="100" w:type="dxa"/>
              <w:bottom w:w="0" w:type="dxa"/>
              <w:right w:w="100" w:type="dxa"/>
            </w:tcMar>
          </w:tcPr>
          <w:p w14:paraId="5A419328"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1CCE6EB4" w14:textId="77777777" w:rsidTr="002D5949">
        <w:trPr>
          <w:trHeight w:val="360"/>
        </w:trPr>
        <w:tc>
          <w:tcPr>
            <w:tcW w:w="1941" w:type="dxa"/>
            <w:tcBorders>
              <w:left w:val="single" w:sz="6" w:space="0" w:color="000000"/>
              <w:right w:val="single" w:sz="6" w:space="0" w:color="000000"/>
            </w:tcBorders>
            <w:tcMar>
              <w:top w:w="0" w:type="dxa"/>
              <w:left w:w="100" w:type="dxa"/>
              <w:bottom w:w="0" w:type="dxa"/>
              <w:right w:w="100" w:type="dxa"/>
            </w:tcMar>
          </w:tcPr>
          <w:p w14:paraId="3179EC03"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686" w:type="dxa"/>
            <w:tcBorders>
              <w:left w:val="single" w:sz="6" w:space="0" w:color="000000"/>
              <w:right w:val="single" w:sz="6" w:space="0" w:color="000000"/>
            </w:tcBorders>
          </w:tcPr>
          <w:p w14:paraId="2D5FFD17" w14:textId="77777777" w:rsidR="00F42E39" w:rsidRPr="00C264B5" w:rsidRDefault="00197EEA" w:rsidP="00F42E39">
            <w:pPr>
              <w:numPr>
                <w:ilvl w:val="0"/>
                <w:numId w:val="3"/>
              </w:numPr>
              <w:pBdr>
                <w:top w:val="nil"/>
                <w:left w:val="nil"/>
                <w:bottom w:val="nil"/>
                <w:right w:val="nil"/>
                <w:between w:val="nil"/>
              </w:pBdr>
              <w:spacing w:line="240" w:lineRule="auto"/>
              <w:ind w:left="308" w:hanging="180"/>
              <w:rPr>
                <w:rFonts w:ascii="Times New Roman" w:eastAsia="Times New Roman" w:hAnsi="Times New Roman" w:cs="Times New Roman"/>
                <w:color w:val="000000"/>
                <w:sz w:val="20"/>
                <w:szCs w:val="20"/>
              </w:rPr>
            </w:pPr>
            <w:sdt>
              <w:sdtPr>
                <w:rPr>
                  <w:rFonts w:ascii="Times New Roman" w:hAnsi="Times New Roman" w:cs="Times New Roman"/>
                </w:rPr>
                <w:tag w:val="goog_rdk_6"/>
                <w:id w:val="266358471"/>
              </w:sdtPr>
              <w:sdtEndPr/>
              <w:sdtContent>
                <w:r w:rsidR="00F42E39" w:rsidRPr="00C264B5">
                  <w:rPr>
                    <w:rFonts w:ascii="Times New Roman" w:eastAsia="Gungsuh" w:hAnsi="Times New Roman" w:cs="Times New Roman"/>
                    <w:color w:val="000000"/>
                    <w:sz w:val="20"/>
                    <w:szCs w:val="20"/>
                  </w:rPr>
                  <w:t>D-Dimer ≤2 mg/L FEU</w:t>
                </w:r>
              </w:sdtContent>
            </w:sdt>
          </w:p>
        </w:tc>
        <w:tc>
          <w:tcPr>
            <w:tcW w:w="1963" w:type="dxa"/>
            <w:tcBorders>
              <w:left w:val="single" w:sz="6" w:space="0" w:color="000000"/>
              <w:right w:val="single" w:sz="6" w:space="0" w:color="000000"/>
            </w:tcBorders>
            <w:tcMar>
              <w:top w:w="0" w:type="dxa"/>
              <w:left w:w="100" w:type="dxa"/>
              <w:bottom w:w="0" w:type="dxa"/>
              <w:right w:w="100" w:type="dxa"/>
            </w:tcMar>
          </w:tcPr>
          <w:p w14:paraId="567D3891" w14:textId="77777777" w:rsidR="00F42E39" w:rsidRPr="00C264B5" w:rsidRDefault="00F42E39" w:rsidP="00F42E39">
            <w:pPr>
              <w:numPr>
                <w:ilvl w:val="0"/>
                <w:numId w:val="3"/>
              </w:numPr>
              <w:pBdr>
                <w:top w:val="nil"/>
                <w:left w:val="nil"/>
                <w:bottom w:val="nil"/>
                <w:right w:val="nil"/>
                <w:between w:val="nil"/>
              </w:pBd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D-Dimer &gt;2 mg/L FEU</w:t>
            </w:r>
          </w:p>
        </w:tc>
        <w:tc>
          <w:tcPr>
            <w:tcW w:w="1710" w:type="dxa"/>
            <w:tcBorders>
              <w:left w:val="single" w:sz="6" w:space="0" w:color="000000"/>
              <w:right w:val="single" w:sz="6" w:space="0" w:color="000000"/>
            </w:tcBorders>
            <w:tcMar>
              <w:top w:w="0" w:type="dxa"/>
              <w:left w:w="100" w:type="dxa"/>
              <w:bottom w:w="0" w:type="dxa"/>
              <w:right w:w="100" w:type="dxa"/>
            </w:tcMar>
          </w:tcPr>
          <w:p w14:paraId="1CEFEB05"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800" w:type="dxa"/>
            <w:tcBorders>
              <w:left w:val="single" w:sz="6" w:space="0" w:color="000000"/>
              <w:right w:val="single" w:sz="6" w:space="0" w:color="000000"/>
            </w:tcBorders>
            <w:tcMar>
              <w:top w:w="0" w:type="dxa"/>
              <w:left w:w="100" w:type="dxa"/>
              <w:bottom w:w="0" w:type="dxa"/>
              <w:right w:w="100" w:type="dxa"/>
            </w:tcMar>
          </w:tcPr>
          <w:p w14:paraId="3B17D836"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3BAFA323" w14:textId="77777777" w:rsidTr="002D5949">
        <w:trPr>
          <w:trHeight w:val="360"/>
        </w:trPr>
        <w:tc>
          <w:tcPr>
            <w:tcW w:w="1941" w:type="dxa"/>
            <w:tcBorders>
              <w:left w:val="single" w:sz="6" w:space="0" w:color="000000"/>
              <w:bottom w:val="single" w:sz="6" w:space="0" w:color="000000"/>
              <w:right w:val="single" w:sz="6" w:space="0" w:color="000000"/>
            </w:tcBorders>
            <w:tcMar>
              <w:top w:w="0" w:type="dxa"/>
              <w:left w:w="100" w:type="dxa"/>
              <w:bottom w:w="0" w:type="dxa"/>
              <w:right w:w="100" w:type="dxa"/>
            </w:tcMar>
          </w:tcPr>
          <w:p w14:paraId="3679B620"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686" w:type="dxa"/>
            <w:tcBorders>
              <w:left w:val="single" w:sz="6" w:space="0" w:color="000000"/>
              <w:bottom w:val="single" w:sz="6" w:space="0" w:color="000000"/>
              <w:right w:val="single" w:sz="6" w:space="0" w:color="000000"/>
            </w:tcBorders>
          </w:tcPr>
          <w:p w14:paraId="764CAF15" w14:textId="77777777" w:rsidR="00F42E39" w:rsidRPr="00C264B5" w:rsidRDefault="00197EEA" w:rsidP="00F42E39">
            <w:pPr>
              <w:numPr>
                <w:ilvl w:val="0"/>
                <w:numId w:val="3"/>
              </w:numPr>
              <w:pBdr>
                <w:top w:val="nil"/>
                <w:left w:val="nil"/>
                <w:bottom w:val="nil"/>
                <w:right w:val="nil"/>
                <w:between w:val="nil"/>
              </w:pBdr>
              <w:spacing w:line="240" w:lineRule="auto"/>
              <w:ind w:left="308" w:hanging="180"/>
              <w:rPr>
                <w:rFonts w:ascii="Times New Roman" w:eastAsia="Times New Roman" w:hAnsi="Times New Roman" w:cs="Times New Roman"/>
                <w:color w:val="000000"/>
                <w:sz w:val="20"/>
                <w:szCs w:val="20"/>
              </w:rPr>
            </w:pPr>
            <w:sdt>
              <w:sdtPr>
                <w:rPr>
                  <w:rFonts w:ascii="Times New Roman" w:hAnsi="Times New Roman" w:cs="Times New Roman"/>
                </w:rPr>
                <w:tag w:val="goog_rdk_7"/>
                <w:id w:val="-2080040136"/>
              </w:sdtPr>
              <w:sdtEndPr/>
              <w:sdtContent>
                <w:r w:rsidR="00F42E39" w:rsidRPr="00C264B5">
                  <w:rPr>
                    <w:rFonts w:ascii="Times New Roman" w:eastAsia="Gungsuh" w:hAnsi="Times New Roman" w:cs="Times New Roman"/>
                    <w:color w:val="000000"/>
                    <w:sz w:val="20"/>
                    <w:szCs w:val="20"/>
                  </w:rPr>
                  <w:t>Fibrinogen ≥100 mg/dL</w:t>
                </w:r>
              </w:sdtContent>
            </w:sdt>
          </w:p>
        </w:tc>
        <w:tc>
          <w:tcPr>
            <w:tcW w:w="1963" w:type="dxa"/>
            <w:tcBorders>
              <w:left w:val="single" w:sz="6" w:space="0" w:color="000000"/>
              <w:bottom w:val="single" w:sz="6" w:space="0" w:color="000000"/>
              <w:right w:val="single" w:sz="6" w:space="0" w:color="000000"/>
            </w:tcBorders>
            <w:tcMar>
              <w:top w:w="0" w:type="dxa"/>
              <w:left w:w="100" w:type="dxa"/>
              <w:bottom w:w="0" w:type="dxa"/>
              <w:right w:w="100" w:type="dxa"/>
            </w:tcMar>
          </w:tcPr>
          <w:p w14:paraId="76E5A113" w14:textId="77777777" w:rsidR="00F42E39" w:rsidRPr="00C264B5" w:rsidRDefault="00F42E39" w:rsidP="00F42E39">
            <w:pPr>
              <w:numPr>
                <w:ilvl w:val="0"/>
                <w:numId w:val="3"/>
              </w:numPr>
              <w:pBdr>
                <w:top w:val="nil"/>
                <w:left w:val="nil"/>
                <w:bottom w:val="nil"/>
                <w:right w:val="nil"/>
                <w:between w:val="nil"/>
              </w:pBdr>
              <w:spacing w:line="240" w:lineRule="auto"/>
              <w:ind w:left="155" w:hanging="155"/>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Fibrinogen &lt;100 mg/dL</w:t>
            </w:r>
          </w:p>
        </w:tc>
        <w:tc>
          <w:tcPr>
            <w:tcW w:w="1710" w:type="dxa"/>
            <w:tcBorders>
              <w:left w:val="single" w:sz="6" w:space="0" w:color="000000"/>
              <w:bottom w:val="single" w:sz="6" w:space="0" w:color="000000"/>
              <w:right w:val="single" w:sz="6" w:space="0" w:color="000000"/>
            </w:tcBorders>
            <w:tcMar>
              <w:top w:w="0" w:type="dxa"/>
              <w:left w:w="100" w:type="dxa"/>
              <w:bottom w:w="0" w:type="dxa"/>
              <w:right w:w="100" w:type="dxa"/>
            </w:tcMar>
          </w:tcPr>
          <w:p w14:paraId="62615E32"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c>
          <w:tcPr>
            <w:tcW w:w="1800" w:type="dxa"/>
            <w:tcBorders>
              <w:left w:val="single" w:sz="6" w:space="0" w:color="000000"/>
              <w:bottom w:val="single" w:sz="6" w:space="0" w:color="000000"/>
              <w:right w:val="single" w:sz="6" w:space="0" w:color="000000"/>
            </w:tcBorders>
            <w:tcMar>
              <w:top w:w="0" w:type="dxa"/>
              <w:left w:w="100" w:type="dxa"/>
              <w:bottom w:w="0" w:type="dxa"/>
              <w:right w:w="100" w:type="dxa"/>
            </w:tcMar>
          </w:tcPr>
          <w:p w14:paraId="4C678D96"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r w:rsidR="00F42E39" w:rsidRPr="00C264B5" w14:paraId="35D8960D" w14:textId="77777777" w:rsidTr="002D5949">
        <w:trPr>
          <w:trHeight w:val="285"/>
        </w:trPr>
        <w:tc>
          <w:tcPr>
            <w:tcW w:w="1941" w:type="dxa"/>
            <w:tcBorders>
              <w:top w:val="single" w:sz="6" w:space="0" w:color="000000"/>
              <w:left w:val="single" w:sz="6" w:space="0" w:color="000000"/>
              <w:bottom w:val="single" w:sz="4" w:space="0" w:color="000000"/>
              <w:right w:val="single" w:sz="6" w:space="0" w:color="000000"/>
            </w:tcBorders>
            <w:tcMar>
              <w:top w:w="0" w:type="dxa"/>
              <w:left w:w="100" w:type="dxa"/>
              <w:bottom w:w="0" w:type="dxa"/>
              <w:right w:w="100" w:type="dxa"/>
            </w:tcMar>
          </w:tcPr>
          <w:p w14:paraId="5C1241EA" w14:textId="77777777" w:rsidR="00F42E39" w:rsidRPr="00C264B5" w:rsidRDefault="00F42E39" w:rsidP="002D5949">
            <w:pPr>
              <w:rPr>
                <w:rFonts w:ascii="Times New Roman" w:eastAsia="Times New Roman" w:hAnsi="Times New Roman" w:cs="Times New Roman"/>
                <w:b/>
                <w:color w:val="000000"/>
                <w:sz w:val="20"/>
                <w:szCs w:val="20"/>
              </w:rPr>
            </w:pPr>
            <w:r w:rsidRPr="00C264B5">
              <w:rPr>
                <w:rFonts w:ascii="Times New Roman" w:eastAsia="Times New Roman" w:hAnsi="Times New Roman" w:cs="Times New Roman"/>
                <w:b/>
                <w:color w:val="000000"/>
                <w:sz w:val="20"/>
                <w:szCs w:val="20"/>
              </w:rPr>
              <w:t>Neurologic</w:t>
            </w:r>
            <w:r w:rsidRPr="00C264B5">
              <w:rPr>
                <w:rFonts w:ascii="Times New Roman" w:eastAsia="Times New Roman" w:hAnsi="Times New Roman" w:cs="Times New Roman"/>
                <w:sz w:val="20"/>
                <w:szCs w:val="20"/>
                <w:vertAlign w:val="superscript"/>
              </w:rPr>
              <w:t>8</w:t>
            </w:r>
          </w:p>
          <w:p w14:paraId="4377A3CC"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(0-2 points)</w:t>
            </w:r>
          </w:p>
        </w:tc>
        <w:tc>
          <w:tcPr>
            <w:tcW w:w="1686" w:type="dxa"/>
            <w:tcBorders>
              <w:top w:val="single" w:sz="6" w:space="0" w:color="000000"/>
              <w:left w:val="single" w:sz="6" w:space="0" w:color="000000"/>
              <w:bottom w:val="single" w:sz="4" w:space="0" w:color="000000"/>
              <w:right w:val="single" w:sz="6" w:space="0" w:color="000000"/>
            </w:tcBorders>
          </w:tcPr>
          <w:p w14:paraId="5FD39144" w14:textId="77777777" w:rsidR="00F42E39" w:rsidRPr="00C264B5" w:rsidRDefault="00F42E39" w:rsidP="00F42E39">
            <w:pPr>
              <w:numPr>
                <w:ilvl w:val="0"/>
                <w:numId w:val="5"/>
              </w:numPr>
              <w:pBdr>
                <w:top w:val="nil"/>
                <w:left w:val="nil"/>
                <w:bottom w:val="nil"/>
                <w:right w:val="nil"/>
                <w:between w:val="nil"/>
              </w:pBdr>
              <w:spacing w:line="240" w:lineRule="auto"/>
              <w:ind w:left="30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GCS</w:t>
            </w:r>
            <w:r w:rsidRPr="00C264B5">
              <w:rPr>
                <w:rFonts w:ascii="Times New Roman" w:eastAsia="Times New Roman" w:hAnsi="Times New Roman" w:cs="Times New Roman"/>
                <w:sz w:val="20"/>
                <w:szCs w:val="20"/>
                <w:vertAlign w:val="superscript"/>
              </w:rPr>
              <w:t>9</w:t>
            </w:r>
            <w:r w:rsidRPr="00C264B5">
              <w:rPr>
                <w:rFonts w:ascii="Times New Roman" w:eastAsia="Times New Roman" w:hAnsi="Times New Roman" w:cs="Times New Roman"/>
                <w:color w:val="000000"/>
                <w:sz w:val="20"/>
                <w:szCs w:val="20"/>
              </w:rPr>
              <w:t xml:space="preserve"> &gt;10</w:t>
            </w:r>
          </w:p>
          <w:p w14:paraId="5278B478" w14:textId="77777777" w:rsidR="00F42E39" w:rsidRPr="00C264B5" w:rsidRDefault="00F42E39" w:rsidP="00F42E39">
            <w:pPr>
              <w:numPr>
                <w:ilvl w:val="0"/>
                <w:numId w:val="5"/>
              </w:numPr>
              <w:pBdr>
                <w:top w:val="nil"/>
                <w:left w:val="nil"/>
                <w:bottom w:val="nil"/>
                <w:right w:val="nil"/>
                <w:between w:val="nil"/>
              </w:pBdr>
              <w:spacing w:line="240" w:lineRule="auto"/>
              <w:ind w:left="308" w:hanging="180"/>
              <w:rPr>
                <w:rFonts w:ascii="Times New Roman" w:eastAsia="Times New Roman" w:hAnsi="Times New Roman" w:cs="Times New Roman"/>
                <w:color w:val="000000"/>
                <w:sz w:val="20"/>
                <w:szCs w:val="20"/>
              </w:rPr>
            </w:pPr>
            <w:r w:rsidRPr="00C264B5">
              <w:rPr>
                <w:rFonts w:ascii="Times New Roman" w:eastAsia="Times New Roman" w:hAnsi="Times New Roman" w:cs="Times New Roman"/>
                <w:color w:val="000000"/>
                <w:sz w:val="20"/>
                <w:szCs w:val="20"/>
              </w:rPr>
              <w:t>Pupils reactive</w:t>
            </w:r>
          </w:p>
        </w:tc>
        <w:tc>
          <w:tcPr>
            <w:tcW w:w="1963" w:type="dxa"/>
            <w:tcBorders>
              <w:top w:val="single" w:sz="6" w:space="0" w:color="000000"/>
              <w:left w:val="single" w:sz="6" w:space="0" w:color="000000"/>
              <w:bottom w:val="single" w:sz="4" w:space="0" w:color="000000"/>
              <w:right w:val="single" w:sz="6" w:space="0" w:color="000000"/>
            </w:tcBorders>
            <w:tcMar>
              <w:top w:w="0" w:type="dxa"/>
              <w:left w:w="100" w:type="dxa"/>
              <w:bottom w:w="0" w:type="dxa"/>
              <w:right w:w="100" w:type="dxa"/>
            </w:tcMar>
          </w:tcPr>
          <w:p w14:paraId="7BB04678" w14:textId="77777777" w:rsidR="00F42E39" w:rsidRPr="00C264B5" w:rsidRDefault="00197EEA" w:rsidP="002D5949">
            <w:pPr>
              <w:rPr>
                <w:rFonts w:ascii="Times New Roman" w:eastAsia="Times New Roman" w:hAnsi="Times New Roman" w:cs="Times New Roman"/>
                <w:sz w:val="20"/>
                <w:szCs w:val="20"/>
              </w:rPr>
            </w:pPr>
            <w:sdt>
              <w:sdtPr>
                <w:rPr>
                  <w:rFonts w:ascii="Times New Roman" w:hAnsi="Times New Roman" w:cs="Times New Roman"/>
                </w:rPr>
                <w:tag w:val="goog_rdk_8"/>
                <w:id w:val="1911119850"/>
              </w:sdtPr>
              <w:sdtEndPr/>
              <w:sdtContent>
                <w:r w:rsidR="00F42E39" w:rsidRPr="00C264B5">
                  <w:rPr>
                    <w:rFonts w:ascii="Times New Roman" w:eastAsia="Gungsuh" w:hAnsi="Times New Roman" w:cs="Times New Roman"/>
                    <w:color w:val="000000"/>
                    <w:sz w:val="20"/>
                    <w:szCs w:val="20"/>
                  </w:rPr>
                  <w:t>GCS ≤10</w:t>
                </w:r>
              </w:sdtContent>
            </w:sdt>
          </w:p>
        </w:tc>
        <w:tc>
          <w:tcPr>
            <w:tcW w:w="1710" w:type="dxa"/>
            <w:tcBorders>
              <w:top w:val="single" w:sz="6" w:space="0" w:color="000000"/>
              <w:left w:val="single" w:sz="6" w:space="0" w:color="000000"/>
              <w:bottom w:val="single" w:sz="4" w:space="0" w:color="000000"/>
              <w:right w:val="single" w:sz="6" w:space="0" w:color="000000"/>
            </w:tcBorders>
            <w:tcMar>
              <w:top w:w="0" w:type="dxa"/>
              <w:left w:w="100" w:type="dxa"/>
              <w:bottom w:w="0" w:type="dxa"/>
              <w:right w:w="100" w:type="dxa"/>
            </w:tcMar>
          </w:tcPr>
          <w:p w14:paraId="348C527F"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Fixed pupils bilaterally</w:t>
            </w:r>
          </w:p>
        </w:tc>
        <w:tc>
          <w:tcPr>
            <w:tcW w:w="1800" w:type="dxa"/>
            <w:tcBorders>
              <w:top w:val="single" w:sz="6" w:space="0" w:color="000000"/>
              <w:left w:val="single" w:sz="6" w:space="0" w:color="000000"/>
              <w:bottom w:val="single" w:sz="4" w:space="0" w:color="000000"/>
              <w:right w:val="single" w:sz="6" w:space="0" w:color="000000"/>
            </w:tcBorders>
            <w:tcMar>
              <w:top w:w="0" w:type="dxa"/>
              <w:left w:w="100" w:type="dxa"/>
              <w:bottom w:w="0" w:type="dxa"/>
              <w:right w:w="100" w:type="dxa"/>
            </w:tcMar>
          </w:tcPr>
          <w:p w14:paraId="06459101" w14:textId="77777777" w:rsidR="00F42E39" w:rsidRPr="00C264B5" w:rsidRDefault="00F42E39" w:rsidP="002D5949">
            <w:pPr>
              <w:rPr>
                <w:rFonts w:ascii="Times New Roman" w:eastAsia="Times New Roman" w:hAnsi="Times New Roman" w:cs="Times New Roman"/>
                <w:sz w:val="20"/>
                <w:szCs w:val="20"/>
              </w:rPr>
            </w:pPr>
            <w:r w:rsidRPr="00C264B5">
              <w:rPr>
                <w:rFonts w:ascii="Times New Roman" w:eastAsia="Times New Roman" w:hAnsi="Times New Roman" w:cs="Times New Roman"/>
                <w:color w:val="000000"/>
                <w:sz w:val="20"/>
                <w:szCs w:val="20"/>
              </w:rPr>
              <w:t> </w:t>
            </w:r>
          </w:p>
        </w:tc>
      </w:tr>
    </w:tbl>
    <w:p w14:paraId="51013D86" w14:textId="77777777" w:rsidR="00F42E39" w:rsidRPr="00C264B5" w:rsidRDefault="00F42E39" w:rsidP="00F42E39">
      <w:pPr>
        <w:pBdr>
          <w:top w:val="nil"/>
          <w:left w:val="nil"/>
          <w:bottom w:val="nil"/>
          <w:right w:val="nil"/>
          <w:between w:val="nil"/>
        </w:pBdr>
        <w:rPr>
          <w:rFonts w:ascii="Times New Roman" w:eastAsia="Times New Roman" w:hAnsi="Times New Roman" w:cs="Times New Roman"/>
          <w:i/>
          <w:color w:val="000000"/>
          <w:sz w:val="18"/>
          <w:szCs w:val="18"/>
        </w:rPr>
      </w:pPr>
    </w:p>
    <w:p w14:paraId="37A21E7D" w14:textId="77777777" w:rsidR="00F42E39" w:rsidRPr="00C264B5" w:rsidRDefault="00F42E39" w:rsidP="00F42E39">
      <w:pPr>
        <w:pBdr>
          <w:top w:val="nil"/>
          <w:left w:val="nil"/>
          <w:bottom w:val="nil"/>
          <w:right w:val="nil"/>
          <w:between w:val="nil"/>
        </w:pBdr>
        <w:rPr>
          <w:rFonts w:ascii="Times New Roman" w:eastAsia="Times New Roman" w:hAnsi="Times New Roman" w:cs="Times New Roman"/>
          <w:color w:val="000000"/>
        </w:rPr>
      </w:pPr>
      <w:r w:rsidRPr="00C264B5">
        <w:rPr>
          <w:rFonts w:ascii="Times New Roman" w:eastAsia="Times New Roman" w:hAnsi="Times New Roman" w:cs="Times New Roman"/>
          <w:i/>
          <w:color w:val="000000"/>
          <w:sz w:val="18"/>
          <w:szCs w:val="18"/>
        </w:rPr>
        <w:t>P/F</w:t>
      </w:r>
      <w:r w:rsidRPr="00C264B5">
        <w:rPr>
          <w:rFonts w:ascii="Times New Roman" w:eastAsia="Times New Roman" w:hAnsi="Times New Roman" w:cs="Times New Roman"/>
          <w:color w:val="000000"/>
          <w:sz w:val="18"/>
          <w:szCs w:val="18"/>
        </w:rPr>
        <w:t>, PaO</w:t>
      </w:r>
      <w:r w:rsidRPr="00C264B5">
        <w:rPr>
          <w:rFonts w:ascii="Times New Roman" w:eastAsia="Times New Roman" w:hAnsi="Times New Roman" w:cs="Times New Roman"/>
          <w:color w:val="000000"/>
          <w:sz w:val="11"/>
          <w:szCs w:val="11"/>
          <w:vertAlign w:val="subscript"/>
        </w:rPr>
        <w:t>2</w:t>
      </w:r>
      <w:r w:rsidRPr="00C264B5">
        <w:rPr>
          <w:rFonts w:ascii="Times New Roman" w:eastAsia="Times New Roman" w:hAnsi="Times New Roman" w:cs="Times New Roman"/>
          <w:color w:val="000000"/>
          <w:sz w:val="18"/>
          <w:szCs w:val="18"/>
        </w:rPr>
        <w:t>/FiO</w:t>
      </w:r>
      <w:r w:rsidRPr="00C264B5">
        <w:rPr>
          <w:rFonts w:ascii="Times New Roman" w:eastAsia="Times New Roman" w:hAnsi="Times New Roman" w:cs="Times New Roman"/>
          <w:color w:val="000000"/>
          <w:sz w:val="11"/>
          <w:szCs w:val="11"/>
          <w:vertAlign w:val="subscript"/>
        </w:rPr>
        <w:t>2</w:t>
      </w:r>
      <w:r w:rsidRPr="00C264B5">
        <w:rPr>
          <w:rFonts w:ascii="Times New Roman" w:eastAsia="Times New Roman" w:hAnsi="Times New Roman" w:cs="Times New Roman"/>
          <w:color w:val="000000"/>
          <w:sz w:val="18"/>
          <w:szCs w:val="18"/>
        </w:rPr>
        <w:t xml:space="preserve"> ratio; </w:t>
      </w:r>
      <w:r w:rsidRPr="00C264B5">
        <w:rPr>
          <w:rFonts w:ascii="Times New Roman" w:eastAsia="Times New Roman" w:hAnsi="Times New Roman" w:cs="Times New Roman"/>
          <w:i/>
          <w:color w:val="000000"/>
          <w:sz w:val="18"/>
          <w:szCs w:val="18"/>
        </w:rPr>
        <w:t>S/F</w:t>
      </w:r>
      <w:r w:rsidRPr="00C264B5">
        <w:rPr>
          <w:rFonts w:ascii="Times New Roman" w:eastAsia="Times New Roman" w:hAnsi="Times New Roman" w:cs="Times New Roman"/>
          <w:color w:val="000000"/>
          <w:sz w:val="18"/>
          <w:szCs w:val="18"/>
        </w:rPr>
        <w:t>, SpO</w:t>
      </w:r>
      <w:r w:rsidRPr="00C264B5">
        <w:rPr>
          <w:rFonts w:ascii="Times New Roman" w:eastAsia="Times New Roman" w:hAnsi="Times New Roman" w:cs="Times New Roman"/>
          <w:color w:val="000000"/>
          <w:sz w:val="11"/>
          <w:szCs w:val="11"/>
          <w:vertAlign w:val="subscript"/>
        </w:rPr>
        <w:t>2</w:t>
      </w:r>
      <w:r w:rsidRPr="00C264B5">
        <w:rPr>
          <w:rFonts w:ascii="Times New Roman" w:eastAsia="Times New Roman" w:hAnsi="Times New Roman" w:cs="Times New Roman"/>
          <w:color w:val="000000"/>
          <w:sz w:val="18"/>
          <w:szCs w:val="18"/>
        </w:rPr>
        <w:t>/FiO</w:t>
      </w:r>
      <w:r w:rsidRPr="00C264B5">
        <w:rPr>
          <w:rFonts w:ascii="Times New Roman" w:eastAsia="Times New Roman" w:hAnsi="Times New Roman" w:cs="Times New Roman"/>
          <w:color w:val="000000"/>
          <w:sz w:val="11"/>
          <w:szCs w:val="11"/>
          <w:vertAlign w:val="subscript"/>
        </w:rPr>
        <w:t>2</w:t>
      </w:r>
      <w:r w:rsidRPr="00C264B5">
        <w:rPr>
          <w:rFonts w:ascii="Times New Roman" w:eastAsia="Times New Roman" w:hAnsi="Times New Roman" w:cs="Times New Roman"/>
          <w:color w:val="000000"/>
          <w:sz w:val="18"/>
          <w:szCs w:val="18"/>
        </w:rPr>
        <w:t xml:space="preserve"> ratio (only SpO</w:t>
      </w:r>
      <w:r w:rsidRPr="00C264B5">
        <w:rPr>
          <w:rFonts w:ascii="Times New Roman" w:eastAsia="Times New Roman" w:hAnsi="Times New Roman" w:cs="Times New Roman"/>
          <w:color w:val="000000"/>
          <w:sz w:val="11"/>
          <w:szCs w:val="11"/>
          <w:vertAlign w:val="subscript"/>
        </w:rPr>
        <w:t xml:space="preserve">2 </w:t>
      </w:r>
      <w:r w:rsidRPr="00C264B5">
        <w:rPr>
          <w:rFonts w:ascii="Times New Roman" w:eastAsia="Times New Roman" w:hAnsi="Times New Roman" w:cs="Times New Roman"/>
          <w:color w:val="000000"/>
          <w:sz w:val="18"/>
          <w:szCs w:val="18"/>
        </w:rPr>
        <w:t xml:space="preserve">of 97% or less); </w:t>
      </w:r>
      <w:r w:rsidRPr="00C264B5">
        <w:rPr>
          <w:rFonts w:ascii="Times New Roman" w:eastAsia="Times New Roman" w:hAnsi="Times New Roman" w:cs="Times New Roman"/>
          <w:i/>
          <w:color w:val="000000"/>
          <w:sz w:val="18"/>
          <w:szCs w:val="18"/>
        </w:rPr>
        <w:t>IMV</w:t>
      </w:r>
      <w:r w:rsidRPr="00C264B5">
        <w:rPr>
          <w:rFonts w:ascii="Times New Roman" w:eastAsia="Times New Roman" w:hAnsi="Times New Roman" w:cs="Times New Roman"/>
          <w:color w:val="000000"/>
          <w:sz w:val="18"/>
          <w:szCs w:val="18"/>
        </w:rPr>
        <w:t xml:space="preserve">, invasive mechanical ventilation; </w:t>
      </w:r>
      <w:r w:rsidRPr="00C264B5">
        <w:rPr>
          <w:rFonts w:ascii="Times New Roman" w:eastAsia="Times New Roman" w:hAnsi="Times New Roman" w:cs="Times New Roman"/>
          <w:i/>
          <w:color w:val="000000"/>
          <w:sz w:val="18"/>
          <w:szCs w:val="18"/>
        </w:rPr>
        <w:t>MAP</w:t>
      </w:r>
      <w:r w:rsidRPr="00C264B5">
        <w:rPr>
          <w:rFonts w:ascii="Times New Roman" w:eastAsia="Times New Roman" w:hAnsi="Times New Roman" w:cs="Times New Roman"/>
          <w:color w:val="000000"/>
          <w:sz w:val="18"/>
          <w:szCs w:val="18"/>
        </w:rPr>
        <w:t xml:space="preserve">, mean arterial pressure; </w:t>
      </w:r>
      <w:r w:rsidRPr="00C264B5">
        <w:rPr>
          <w:rFonts w:ascii="Times New Roman" w:eastAsia="Times New Roman" w:hAnsi="Times New Roman" w:cs="Times New Roman"/>
          <w:i/>
          <w:color w:val="000000"/>
          <w:sz w:val="18"/>
          <w:szCs w:val="18"/>
        </w:rPr>
        <w:t>INR</w:t>
      </w:r>
      <w:r w:rsidRPr="00C264B5">
        <w:rPr>
          <w:rFonts w:ascii="Times New Roman" w:eastAsia="Times New Roman" w:hAnsi="Times New Roman" w:cs="Times New Roman"/>
          <w:color w:val="000000"/>
          <w:sz w:val="18"/>
          <w:szCs w:val="18"/>
        </w:rPr>
        <w:t xml:space="preserve">, international normalized ratio of prothrombin time; </w:t>
      </w:r>
      <w:r w:rsidRPr="00C264B5">
        <w:rPr>
          <w:rFonts w:ascii="Times New Roman" w:eastAsia="Times New Roman" w:hAnsi="Times New Roman" w:cs="Times New Roman"/>
          <w:i/>
          <w:color w:val="000000"/>
          <w:sz w:val="18"/>
          <w:szCs w:val="18"/>
        </w:rPr>
        <w:t>GCS</w:t>
      </w:r>
      <w:r w:rsidRPr="00C264B5">
        <w:rPr>
          <w:rFonts w:ascii="Times New Roman" w:eastAsia="Times New Roman" w:hAnsi="Times New Roman" w:cs="Times New Roman"/>
          <w:color w:val="000000"/>
          <w:sz w:val="18"/>
          <w:szCs w:val="18"/>
        </w:rPr>
        <w:t>, Glasgow coma scale score.</w:t>
      </w:r>
      <w:r w:rsidRPr="00C264B5">
        <w:rPr>
          <w:rFonts w:ascii="Times New Roman" w:eastAsia="Times New Roman" w:hAnsi="Times New Roman" w:cs="Times New Roman"/>
          <w:color w:val="000000"/>
          <w:sz w:val="24"/>
          <w:szCs w:val="24"/>
        </w:rPr>
        <w:t xml:space="preserve"> </w:t>
      </w:r>
    </w:p>
    <w:p w14:paraId="61786EF6" w14:textId="77777777" w:rsidR="00F42E39" w:rsidRPr="00C264B5" w:rsidRDefault="00F42E39" w:rsidP="00F42E39">
      <w:pPr>
        <w:pBdr>
          <w:top w:val="nil"/>
          <w:left w:val="nil"/>
          <w:bottom w:val="nil"/>
          <w:right w:val="nil"/>
          <w:between w:val="nil"/>
        </w:pBdr>
        <w:rPr>
          <w:rFonts w:ascii="Times New Roman" w:eastAsia="Times New Roman" w:hAnsi="Times New Roman" w:cs="Times New Roman"/>
          <w:b/>
          <w:sz w:val="18"/>
          <w:szCs w:val="18"/>
        </w:rPr>
      </w:pPr>
    </w:p>
    <w:p w14:paraId="6445AD21"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b/>
          <w:sz w:val="20"/>
          <w:szCs w:val="20"/>
        </w:rPr>
        <w:t>Notes for use</w:t>
      </w:r>
      <w:r w:rsidRPr="00C264B5">
        <w:rPr>
          <w:rFonts w:ascii="Times New Roman" w:eastAsia="Times New Roman" w:hAnsi="Times New Roman" w:cs="Times New Roman"/>
          <w:sz w:val="20"/>
          <w:szCs w:val="20"/>
        </w:rPr>
        <w:t>: The score may be calculated in the absence of some variables (e.g., even if lactate level is not measured and vasoactive medications are not used, a cardiovascular score can still be ascertained using blood pressure). It is expected that laboratory tests and other measurements will be obtained at the discretion of the medical team based on clinical judgment. Unmeasured variables contribute no points to the score.</w:t>
      </w:r>
    </w:p>
    <w:p w14:paraId="600FBC0E"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1</w:t>
      </w:r>
      <w:r w:rsidRPr="00C264B5">
        <w:rPr>
          <w:rFonts w:ascii="Times New Roman" w:eastAsia="Times New Roman" w:hAnsi="Times New Roman" w:cs="Times New Roman"/>
          <w:sz w:val="20"/>
          <w:szCs w:val="20"/>
        </w:rPr>
        <w:t>S/F ratio is only calculated if SpO</w:t>
      </w:r>
      <w:r w:rsidRPr="00C264B5">
        <w:rPr>
          <w:rFonts w:ascii="Times New Roman" w:eastAsia="Times New Roman" w:hAnsi="Times New Roman" w:cs="Times New Roman"/>
          <w:sz w:val="18"/>
          <w:szCs w:val="18"/>
          <w:vertAlign w:val="subscript"/>
        </w:rPr>
        <w:t xml:space="preserve">2 </w:t>
      </w:r>
      <w:r w:rsidRPr="00C264B5">
        <w:rPr>
          <w:rFonts w:ascii="Times New Roman" w:eastAsia="Times New Roman" w:hAnsi="Times New Roman" w:cs="Times New Roman"/>
          <w:sz w:val="20"/>
          <w:szCs w:val="20"/>
        </w:rPr>
        <w:t>is 97% or less.</w:t>
      </w:r>
    </w:p>
    <w:p w14:paraId="56AE4298"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2</w:t>
      </w:r>
      <w:r w:rsidRPr="00C264B5">
        <w:rPr>
          <w:rFonts w:ascii="Times New Roman" w:eastAsia="Times New Roman" w:hAnsi="Times New Roman" w:cs="Times New Roman"/>
          <w:sz w:val="20"/>
          <w:szCs w:val="20"/>
        </w:rPr>
        <w:t>The respiratory dysfunction of 1 point can be assessed in any patient on oxygen, high flow, non-invasive positive pressure, or IMV respiratory support, and includes P/F &lt;200 and S/F &lt;220 in children who are not on IMV.</w:t>
      </w:r>
    </w:p>
    <w:p w14:paraId="763DB56E"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3</w:t>
      </w:r>
      <w:r w:rsidRPr="00C264B5">
        <w:rPr>
          <w:rFonts w:ascii="Times New Roman" w:eastAsia="Times New Roman" w:hAnsi="Times New Roman" w:cs="Times New Roman"/>
          <w:sz w:val="20"/>
          <w:szCs w:val="20"/>
        </w:rPr>
        <w:t>Ages are not adjusted for prematurity, and the criteria do not apply to birth hospitalizations, children with post-conceptional age &lt;37 weeks, or those 18 years of age or older.</w:t>
      </w:r>
    </w:p>
    <w:p w14:paraId="38663299"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4</w:t>
      </w:r>
      <w:r w:rsidRPr="00C264B5">
        <w:rPr>
          <w:rFonts w:ascii="Times New Roman" w:eastAsia="Times New Roman" w:hAnsi="Times New Roman" w:cs="Times New Roman"/>
          <w:sz w:val="20"/>
          <w:szCs w:val="20"/>
        </w:rPr>
        <w:t>Vasoactive medications include any dose of epinephrine, norepinephrine, dopamine, dobutamine, milrinone, and/or vasopressin (for shock).</w:t>
      </w:r>
    </w:p>
    <w:p w14:paraId="43AFF851"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5</w:t>
      </w:r>
      <w:r w:rsidRPr="00C264B5">
        <w:rPr>
          <w:rFonts w:ascii="Times New Roman" w:eastAsia="Times New Roman" w:hAnsi="Times New Roman" w:cs="Times New Roman"/>
          <w:sz w:val="20"/>
          <w:szCs w:val="20"/>
        </w:rPr>
        <w:t>Lactate can be arterial or venous. Lactate reference range is 0.5-2.2 mmol/L.</w:t>
      </w:r>
    </w:p>
    <w:p w14:paraId="50D60202"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6</w:t>
      </w:r>
      <w:r w:rsidRPr="00C264B5">
        <w:rPr>
          <w:rFonts w:ascii="Times New Roman" w:eastAsia="Times New Roman" w:hAnsi="Times New Roman" w:cs="Times New Roman"/>
          <w:sz w:val="20"/>
          <w:szCs w:val="20"/>
        </w:rPr>
        <w:t>Use measured MAP preferentially (invasive arterial if available or non-invasive oscillometric), and if measured MAP is not available, a calculated MAP (1/3*systolic + 2/3*diastolic) may be used as an alternative.</w:t>
      </w:r>
    </w:p>
    <w:p w14:paraId="3D17E49D"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7</w:t>
      </w:r>
      <w:r w:rsidRPr="00C264B5">
        <w:rPr>
          <w:rFonts w:ascii="Times New Roman" w:eastAsia="Times New Roman" w:hAnsi="Times New Roman" w:cs="Times New Roman"/>
          <w:sz w:val="20"/>
          <w:szCs w:val="20"/>
        </w:rPr>
        <w:t>The coagulation variables reference ranges are: platelets 150-450 K/μL; D-Dimer &lt;0.5 mg/L FEU; Fibrinogen 180-410 mg/dL.</w:t>
      </w:r>
      <w:r w:rsidRPr="00C264B5">
        <w:rPr>
          <w:rFonts w:ascii="Times New Roman" w:eastAsia="Times New Roman" w:hAnsi="Times New Roman" w:cs="Times New Roman"/>
          <w:sz w:val="20"/>
          <w:szCs w:val="20"/>
          <w:vertAlign w:val="superscript"/>
        </w:rPr>
        <w:t xml:space="preserve"> </w:t>
      </w:r>
      <w:r w:rsidRPr="00C264B5">
        <w:rPr>
          <w:rFonts w:ascii="Times New Roman" w:eastAsia="Times New Roman" w:hAnsi="Times New Roman" w:cs="Times New Roman"/>
          <w:sz w:val="20"/>
          <w:szCs w:val="20"/>
        </w:rPr>
        <w:t>The INR reference range is based on the local reference prothrombin time.</w:t>
      </w:r>
    </w:p>
    <w:p w14:paraId="58AA255D"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8</w:t>
      </w:r>
      <w:r w:rsidRPr="00C264B5">
        <w:rPr>
          <w:rFonts w:ascii="Times New Roman" w:eastAsia="Times New Roman" w:hAnsi="Times New Roman" w:cs="Times New Roman"/>
          <w:sz w:val="20"/>
          <w:szCs w:val="20"/>
        </w:rPr>
        <w:t>The neurologic dysfunction subscore was pragmatically validated in both sedated and non-sedated patients, and those on and off IMV support.</w:t>
      </w:r>
    </w:p>
    <w:p w14:paraId="126841D2" w14:textId="77777777" w:rsidR="00F42E39" w:rsidRPr="00C264B5" w:rsidRDefault="00F42E39" w:rsidP="00F42E39">
      <w:pPr>
        <w:rPr>
          <w:rFonts w:ascii="Times New Roman" w:eastAsia="Times New Roman" w:hAnsi="Times New Roman" w:cs="Times New Roman"/>
          <w:sz w:val="20"/>
          <w:szCs w:val="20"/>
        </w:rPr>
      </w:pPr>
      <w:r w:rsidRPr="00C264B5">
        <w:rPr>
          <w:rFonts w:ascii="Times New Roman" w:eastAsia="Times New Roman" w:hAnsi="Times New Roman" w:cs="Times New Roman"/>
          <w:sz w:val="20"/>
          <w:szCs w:val="20"/>
          <w:vertAlign w:val="superscript"/>
        </w:rPr>
        <w:t>9</w:t>
      </w:r>
      <w:r w:rsidRPr="00C264B5">
        <w:rPr>
          <w:rFonts w:ascii="Times New Roman" w:eastAsia="Times New Roman" w:hAnsi="Times New Roman" w:cs="Times New Roman"/>
          <w:sz w:val="20"/>
          <w:szCs w:val="20"/>
        </w:rPr>
        <w:t>The GCS measures level of consciousness based on verbal, eye, and motor response and ranges from 3 to 15, with a higher score indicating better neurological function.</w:t>
      </w:r>
    </w:p>
    <w:p w14:paraId="48DC6F89" w14:textId="77777777" w:rsidR="00F42E39" w:rsidRPr="007D46AC" w:rsidRDefault="00F42E39">
      <w:pPr>
        <w:spacing w:line="480" w:lineRule="auto"/>
        <w:rPr>
          <w:rFonts w:ascii="Times New Roman" w:eastAsia="Times New Roman" w:hAnsi="Times New Roman" w:cs="Times New Roman"/>
        </w:rPr>
      </w:pPr>
    </w:p>
    <w:sectPr w:rsidR="00F42E39" w:rsidRPr="007D46AC">
      <w:footerReference w:type="even" r:id="rId101"/>
      <w:footerReference w:type="default" r:id="rId10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BE21" w14:textId="77777777" w:rsidR="00197EEA" w:rsidRDefault="00197EEA">
      <w:pPr>
        <w:spacing w:line="240" w:lineRule="auto"/>
      </w:pPr>
      <w:r>
        <w:separator/>
      </w:r>
    </w:p>
  </w:endnote>
  <w:endnote w:type="continuationSeparator" w:id="0">
    <w:p w14:paraId="31ED0A6A" w14:textId="77777777" w:rsidR="00197EEA" w:rsidRDefault="00197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77777777" w:rsidR="00DF71A5" w:rsidRDefault="00197EE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109" w14:textId="77777777" w:rsidR="00DF71A5" w:rsidRDefault="00DF71A5">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6" w14:textId="07413AB3" w:rsidR="00DF71A5" w:rsidRDefault="00197EE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D46AC">
      <w:rPr>
        <w:noProof/>
        <w:color w:val="000000"/>
      </w:rPr>
      <w:t>1</w:t>
    </w:r>
    <w:r>
      <w:rPr>
        <w:color w:val="000000"/>
      </w:rPr>
      <w:fldChar w:fldCharType="end"/>
    </w:r>
  </w:p>
  <w:p w14:paraId="00000107" w14:textId="77777777" w:rsidR="00DF71A5" w:rsidRDefault="00DF71A5">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7EA5" w14:textId="77777777" w:rsidR="00197EEA" w:rsidRDefault="00197EEA">
      <w:pPr>
        <w:spacing w:line="240" w:lineRule="auto"/>
      </w:pPr>
      <w:r>
        <w:separator/>
      </w:r>
    </w:p>
  </w:footnote>
  <w:footnote w:type="continuationSeparator" w:id="0">
    <w:p w14:paraId="1F351E4C" w14:textId="77777777" w:rsidR="00197EEA" w:rsidRDefault="00197E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3C"/>
    <w:multiLevelType w:val="multilevel"/>
    <w:tmpl w:val="FA18E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BD7692"/>
    <w:multiLevelType w:val="multilevel"/>
    <w:tmpl w:val="412A7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8D266D"/>
    <w:multiLevelType w:val="multilevel"/>
    <w:tmpl w:val="96802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4A74697"/>
    <w:multiLevelType w:val="multilevel"/>
    <w:tmpl w:val="ACD63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6CA1113"/>
    <w:multiLevelType w:val="multilevel"/>
    <w:tmpl w:val="7B469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823530E"/>
    <w:multiLevelType w:val="multilevel"/>
    <w:tmpl w:val="1EA4B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8584B20"/>
    <w:multiLevelType w:val="multilevel"/>
    <w:tmpl w:val="9BEAF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C03F81"/>
    <w:multiLevelType w:val="multilevel"/>
    <w:tmpl w:val="0CA8CD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5"/>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A5"/>
    <w:rsid w:val="00197EEA"/>
    <w:rsid w:val="001B3EA2"/>
    <w:rsid w:val="002C7362"/>
    <w:rsid w:val="00311C4F"/>
    <w:rsid w:val="00541136"/>
    <w:rsid w:val="005671D5"/>
    <w:rsid w:val="00597346"/>
    <w:rsid w:val="00634C2E"/>
    <w:rsid w:val="006B3A11"/>
    <w:rsid w:val="007D46AC"/>
    <w:rsid w:val="007F51D9"/>
    <w:rsid w:val="008F112E"/>
    <w:rsid w:val="009730D9"/>
    <w:rsid w:val="00AC5EC0"/>
    <w:rsid w:val="00B716B5"/>
    <w:rsid w:val="00B819A1"/>
    <w:rsid w:val="00C257E8"/>
    <w:rsid w:val="00DF71A5"/>
    <w:rsid w:val="00E4233E"/>
    <w:rsid w:val="00F4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7BFD"/>
  <w15:docId w15:val="{97708A89-D17E-0F4E-B084-A72D3F38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51D9"/>
    <w:pPr>
      <w:spacing w:line="240" w:lineRule="auto"/>
    </w:pPr>
  </w:style>
  <w:style w:type="paragraph" w:styleId="NormalWeb">
    <w:name w:val="Normal (Web)"/>
    <w:basedOn w:val="Normal"/>
    <w:uiPriority w:val="99"/>
    <w:semiHidden/>
    <w:unhideWhenUsed/>
    <w:rsid w:val="006B3A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paperpile.com/c/CKIHq7/IUEGn" TargetMode="External"/><Relationship Id="rId21" Type="http://schemas.openxmlformats.org/officeDocument/2006/relationships/hyperlink" Target="https://paperpile.com/c/CKIHq7/ZCvVY+WIBgq" TargetMode="External"/><Relationship Id="rId42" Type="http://schemas.openxmlformats.org/officeDocument/2006/relationships/hyperlink" Target="http://paperpile.com/b/CKIHq7/cj2A1" TargetMode="External"/><Relationship Id="rId47" Type="http://schemas.openxmlformats.org/officeDocument/2006/relationships/hyperlink" Target="http://paperpile.com/b/CKIHq7/iM7N7" TargetMode="External"/><Relationship Id="rId63" Type="http://schemas.openxmlformats.org/officeDocument/2006/relationships/hyperlink" Target="http://paperpile.com/b/CKIHq7/Qhrby" TargetMode="External"/><Relationship Id="rId68" Type="http://schemas.openxmlformats.org/officeDocument/2006/relationships/hyperlink" Target="http://paperpile.com/b/CKIHq7/Zz5Sx" TargetMode="External"/><Relationship Id="rId84" Type="http://schemas.openxmlformats.org/officeDocument/2006/relationships/hyperlink" Target="http://paperpile.com/b/CKIHq7/ZCvVY" TargetMode="External"/><Relationship Id="rId89" Type="http://schemas.openxmlformats.org/officeDocument/2006/relationships/hyperlink" Target="http://paperpile.com/b/CKIHq7/8zPAS" TargetMode="External"/><Relationship Id="rId16" Type="http://schemas.openxmlformats.org/officeDocument/2006/relationships/hyperlink" Target="https://paperpile.com/c/YjEm5G/aAqA+h4hS" TargetMode="External"/><Relationship Id="rId11" Type="http://schemas.openxmlformats.org/officeDocument/2006/relationships/hyperlink" Target="https://paperpile.com/c/CKIHq7/LyVcZ" TargetMode="External"/><Relationship Id="rId32" Type="http://schemas.openxmlformats.org/officeDocument/2006/relationships/hyperlink" Target="http://paperpile.com/b/CKIHq7/vI5oI" TargetMode="External"/><Relationship Id="rId37" Type="http://schemas.openxmlformats.org/officeDocument/2006/relationships/hyperlink" Target="http://paperpile.com/b/CKIHq7/IUEGn" TargetMode="External"/><Relationship Id="rId53" Type="http://schemas.openxmlformats.org/officeDocument/2006/relationships/hyperlink" Target="http://paperpile.com/b/CKIHq7/0Jk09" TargetMode="External"/><Relationship Id="rId58" Type="http://schemas.openxmlformats.org/officeDocument/2006/relationships/hyperlink" Target="http://paperpile.com/b/CKIHq7/cmtpo" TargetMode="External"/><Relationship Id="rId74" Type="http://schemas.openxmlformats.org/officeDocument/2006/relationships/hyperlink" Target="http://paperpile.com/b/CKIHq7/DXBCI" TargetMode="External"/><Relationship Id="rId79" Type="http://schemas.openxmlformats.org/officeDocument/2006/relationships/hyperlink" Target="http://paperpile.com/b/CKIHq7/szDq9" TargetMode="External"/><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paperpile.com/b/CKIHq7/8zPAS" TargetMode="External"/><Relationship Id="rId95" Type="http://schemas.openxmlformats.org/officeDocument/2006/relationships/hyperlink" Target="http://paperpile.com/b/CKIHq7/xEeIE" TargetMode="External"/><Relationship Id="rId22" Type="http://schemas.openxmlformats.org/officeDocument/2006/relationships/hyperlink" Target="https://paperpile.com/c/CKIHq7/wvbN6" TargetMode="External"/><Relationship Id="rId27" Type="http://schemas.openxmlformats.org/officeDocument/2006/relationships/hyperlink" Target="https://paperpile.com/c/CKIHq7/v35KD" TargetMode="External"/><Relationship Id="rId43" Type="http://schemas.openxmlformats.org/officeDocument/2006/relationships/hyperlink" Target="http://paperpile.com/b/CKIHq7/LyVcZ" TargetMode="External"/><Relationship Id="rId48" Type="http://schemas.openxmlformats.org/officeDocument/2006/relationships/hyperlink" Target="http://paperpile.com/b/CKIHq7/iM7N7" TargetMode="External"/><Relationship Id="rId64" Type="http://schemas.openxmlformats.org/officeDocument/2006/relationships/hyperlink" Target="http://paperpile.com/b/CKIHq7/y88dM" TargetMode="External"/><Relationship Id="rId69" Type="http://schemas.openxmlformats.org/officeDocument/2006/relationships/hyperlink" Target="http://paperpile.com/b/CKIHq7/Zz5Sx" TargetMode="External"/><Relationship Id="rId80" Type="http://schemas.openxmlformats.org/officeDocument/2006/relationships/hyperlink" Target="http://paperpile.com/b/CKIHq7/szDq9" TargetMode="External"/><Relationship Id="rId85" Type="http://schemas.openxmlformats.org/officeDocument/2006/relationships/hyperlink" Target="http://paperpile.com/b/CKIHq7/wvbN6" TargetMode="External"/><Relationship Id="rId12" Type="http://schemas.openxmlformats.org/officeDocument/2006/relationships/hyperlink" Target="https://paperpile.com/c/CKIHq7/iM7N7" TargetMode="External"/><Relationship Id="rId17" Type="http://schemas.openxmlformats.org/officeDocument/2006/relationships/hyperlink" Target="https://paperpile.com/c/YjEm5G/aeZEr+s3ZsW+cGo0r+OCQBf+BCleW+s51ss+boJdW" TargetMode="External"/><Relationship Id="rId25" Type="http://schemas.openxmlformats.org/officeDocument/2006/relationships/hyperlink" Target="https://paperpile.com/c/CKIHq7/xEeIE" TargetMode="External"/><Relationship Id="rId33" Type="http://schemas.openxmlformats.org/officeDocument/2006/relationships/hyperlink" Target="http://paperpile.com/b/CKIHq7/vI5oI" TargetMode="External"/><Relationship Id="rId38" Type="http://schemas.openxmlformats.org/officeDocument/2006/relationships/hyperlink" Target="http://paperpile.com/b/CKIHq7/IUEGn" TargetMode="External"/><Relationship Id="rId46" Type="http://schemas.openxmlformats.org/officeDocument/2006/relationships/hyperlink" Target="http://paperpile.com/b/CKIHq7/iM7N7" TargetMode="External"/><Relationship Id="rId59" Type="http://schemas.openxmlformats.org/officeDocument/2006/relationships/hyperlink" Target="http://paperpile.com/b/CKIHq7/cmtpo" TargetMode="External"/><Relationship Id="rId67" Type="http://schemas.openxmlformats.org/officeDocument/2006/relationships/hyperlink" Target="http://paperpile.com/b/CKIHq7/Zz5Sx" TargetMode="External"/><Relationship Id="rId103" Type="http://schemas.openxmlformats.org/officeDocument/2006/relationships/fontTable" Target="fontTable.xml"/><Relationship Id="rId20" Type="http://schemas.openxmlformats.org/officeDocument/2006/relationships/hyperlink" Target="https://paperpile.com/c/CKIHq7/IUEGn" TargetMode="External"/><Relationship Id="rId41" Type="http://schemas.openxmlformats.org/officeDocument/2006/relationships/hyperlink" Target="http://paperpile.com/b/CKIHq7/cj2A1" TargetMode="External"/><Relationship Id="rId54" Type="http://schemas.openxmlformats.org/officeDocument/2006/relationships/hyperlink" Target="http://paperpile.com/b/CKIHq7/0Jk09" TargetMode="External"/><Relationship Id="rId62" Type="http://schemas.openxmlformats.org/officeDocument/2006/relationships/hyperlink" Target="http://paperpile.com/b/CKIHq7/Qhrby" TargetMode="External"/><Relationship Id="rId70" Type="http://schemas.openxmlformats.org/officeDocument/2006/relationships/hyperlink" Target="http://paperpile.com/b/CKIHq7/1zuLn" TargetMode="External"/><Relationship Id="rId75" Type="http://schemas.openxmlformats.org/officeDocument/2006/relationships/hyperlink" Target="http://paperpile.com/b/CKIHq7/DXBCI" TargetMode="External"/><Relationship Id="rId83" Type="http://schemas.openxmlformats.org/officeDocument/2006/relationships/hyperlink" Target="http://paperpile.com/b/CKIHq7/ZCvVY" TargetMode="External"/><Relationship Id="rId88" Type="http://schemas.openxmlformats.org/officeDocument/2006/relationships/hyperlink" Target="http://paperpile.com/b/CKIHq7/8zPAS" TargetMode="External"/><Relationship Id="rId91" Type="http://schemas.openxmlformats.org/officeDocument/2006/relationships/hyperlink" Target="http://paperpile.com/b/CKIHq7/hdIEf" TargetMode="External"/><Relationship Id="rId96" Type="http://schemas.openxmlformats.org/officeDocument/2006/relationships/hyperlink" Target="http://paperpile.com/b/CKIHq7/xEeI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perpile.com/c/CKIHq7/0Jk09+WIBgq" TargetMode="External"/><Relationship Id="rId23" Type="http://schemas.openxmlformats.org/officeDocument/2006/relationships/hyperlink" Target="https://paperpile.com/c/CKIHq7/8zPAS" TargetMode="External"/><Relationship Id="rId28" Type="http://schemas.openxmlformats.org/officeDocument/2006/relationships/hyperlink" Target="http://paperpile.com/b/CKIHq7/PbD0H" TargetMode="External"/><Relationship Id="rId36" Type="http://schemas.openxmlformats.org/officeDocument/2006/relationships/hyperlink" Target="http://paperpile.com/b/CKIHq7/ENCic" TargetMode="External"/><Relationship Id="rId49" Type="http://schemas.openxmlformats.org/officeDocument/2006/relationships/hyperlink" Target="http://paperpile.com/b/CKIHq7/a5hGl" TargetMode="External"/><Relationship Id="rId57" Type="http://schemas.openxmlformats.org/officeDocument/2006/relationships/hyperlink" Target="http://paperpile.com/b/CKIHq7/WIBgq" TargetMode="External"/><Relationship Id="rId10" Type="http://schemas.openxmlformats.org/officeDocument/2006/relationships/hyperlink" Target="https://paperpile.com/c/CKIHq7/vI5oI+ENCic" TargetMode="External"/><Relationship Id="rId31" Type="http://schemas.openxmlformats.org/officeDocument/2006/relationships/hyperlink" Target="http://paperpile.com/b/CKIHq7/vI5oI" TargetMode="External"/><Relationship Id="rId44" Type="http://schemas.openxmlformats.org/officeDocument/2006/relationships/hyperlink" Target="http://paperpile.com/b/CKIHq7/LyVcZ" TargetMode="External"/><Relationship Id="rId52" Type="http://schemas.openxmlformats.org/officeDocument/2006/relationships/hyperlink" Target="http://paperpile.com/b/CKIHq7/0Jk09" TargetMode="External"/><Relationship Id="rId60" Type="http://schemas.openxmlformats.org/officeDocument/2006/relationships/hyperlink" Target="http://paperpile.com/b/CKIHq7/cmtpo" TargetMode="External"/><Relationship Id="rId65" Type="http://schemas.openxmlformats.org/officeDocument/2006/relationships/hyperlink" Target="http://paperpile.com/b/CKIHq7/y88dM" TargetMode="External"/><Relationship Id="rId73" Type="http://schemas.openxmlformats.org/officeDocument/2006/relationships/hyperlink" Target="http://paperpile.com/b/CKIHq7/DXBCI" TargetMode="External"/><Relationship Id="rId78" Type="http://schemas.openxmlformats.org/officeDocument/2006/relationships/hyperlink" Target="http://paperpile.com/b/CKIHq7/w1vdI" TargetMode="External"/><Relationship Id="rId81" Type="http://schemas.openxmlformats.org/officeDocument/2006/relationships/hyperlink" Target="http://paperpile.com/b/CKIHq7/szDq9" TargetMode="External"/><Relationship Id="rId86" Type="http://schemas.openxmlformats.org/officeDocument/2006/relationships/hyperlink" Target="http://paperpile.com/b/CKIHq7/wvbN6" TargetMode="External"/><Relationship Id="rId94" Type="http://schemas.openxmlformats.org/officeDocument/2006/relationships/hyperlink" Target="http://dx.doi.org/10.1542/peds.2021-052565" TargetMode="External"/><Relationship Id="rId99" Type="http://schemas.openxmlformats.org/officeDocument/2006/relationships/hyperlink" Target="http://paperpile.com/b/CKIHq7/v35KD"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perpile.com/c/CKIHq7/IUEGn+cj2A1" TargetMode="External"/><Relationship Id="rId13" Type="http://schemas.openxmlformats.org/officeDocument/2006/relationships/hyperlink" Target="https://paperpile.com/c/CKIHq7/a5hGl" TargetMode="External"/><Relationship Id="rId18" Type="http://schemas.openxmlformats.org/officeDocument/2006/relationships/hyperlink" Target="https://paperpile.com/c/YjEm5G/aAqA+h4hS" TargetMode="External"/><Relationship Id="rId39" Type="http://schemas.openxmlformats.org/officeDocument/2006/relationships/hyperlink" Target="http://paperpile.com/b/CKIHq7/IUEGn" TargetMode="External"/><Relationship Id="rId34" Type="http://schemas.openxmlformats.org/officeDocument/2006/relationships/hyperlink" Target="http://paperpile.com/b/CKIHq7/ENCic" TargetMode="External"/><Relationship Id="rId50" Type="http://schemas.openxmlformats.org/officeDocument/2006/relationships/hyperlink" Target="http://paperpile.com/b/CKIHq7/a5hGl" TargetMode="External"/><Relationship Id="rId55" Type="http://schemas.openxmlformats.org/officeDocument/2006/relationships/hyperlink" Target="http://paperpile.com/b/CKIHq7/WIBgq" TargetMode="External"/><Relationship Id="rId76" Type="http://schemas.openxmlformats.org/officeDocument/2006/relationships/hyperlink" Target="http://paperpile.com/b/CKIHq7/w1vdI" TargetMode="External"/><Relationship Id="rId97" Type="http://schemas.openxmlformats.org/officeDocument/2006/relationships/hyperlink" Target="http://paperpile.com/b/CKIHq7/xEeIE" TargetMode="External"/><Relationship Id="rId104" Type="http://schemas.openxmlformats.org/officeDocument/2006/relationships/theme" Target="theme/theme1.xml"/><Relationship Id="rId7" Type="http://schemas.openxmlformats.org/officeDocument/2006/relationships/hyperlink" Target="https://paperpile.com/c/CKIHq7/PbD0H" TargetMode="External"/><Relationship Id="rId71" Type="http://schemas.openxmlformats.org/officeDocument/2006/relationships/hyperlink" Target="http://paperpile.com/b/CKIHq7/1zuLn" TargetMode="External"/><Relationship Id="rId92" Type="http://schemas.openxmlformats.org/officeDocument/2006/relationships/hyperlink" Target="http://paperpile.com/b/CKIHq7/hdIEf" TargetMode="External"/><Relationship Id="rId2" Type="http://schemas.openxmlformats.org/officeDocument/2006/relationships/styles" Target="styles.xml"/><Relationship Id="rId29" Type="http://schemas.openxmlformats.org/officeDocument/2006/relationships/hyperlink" Target="http://paperpile.com/b/CKIHq7/PbD0H" TargetMode="External"/><Relationship Id="rId24" Type="http://schemas.openxmlformats.org/officeDocument/2006/relationships/hyperlink" Target="https://paperpile.com/c/CKIHq7/hdIEf" TargetMode="External"/><Relationship Id="rId40" Type="http://schemas.openxmlformats.org/officeDocument/2006/relationships/hyperlink" Target="http://paperpile.com/b/CKIHq7/cj2A1" TargetMode="External"/><Relationship Id="rId45" Type="http://schemas.openxmlformats.org/officeDocument/2006/relationships/hyperlink" Target="http://paperpile.com/b/CKIHq7/LyVcZ" TargetMode="External"/><Relationship Id="rId66" Type="http://schemas.openxmlformats.org/officeDocument/2006/relationships/hyperlink" Target="http://paperpile.com/b/CKIHq7/y88dM" TargetMode="External"/><Relationship Id="rId87" Type="http://schemas.openxmlformats.org/officeDocument/2006/relationships/hyperlink" Target="http://paperpile.com/b/CKIHq7/wvbN6" TargetMode="External"/><Relationship Id="rId61" Type="http://schemas.openxmlformats.org/officeDocument/2006/relationships/hyperlink" Target="http://paperpile.com/b/CKIHq7/Qhrby" TargetMode="External"/><Relationship Id="rId82" Type="http://schemas.openxmlformats.org/officeDocument/2006/relationships/hyperlink" Target="http://paperpile.com/b/CKIHq7/ZCvVY" TargetMode="External"/><Relationship Id="rId19" Type="http://schemas.openxmlformats.org/officeDocument/2006/relationships/hyperlink" Target="https://paperpile.com/c/YjEm5G/h4hS" TargetMode="External"/><Relationship Id="rId14" Type="http://schemas.openxmlformats.org/officeDocument/2006/relationships/hyperlink" Target="https://paperpile.com/c/CKIHq7/vI5oI+ENCic" TargetMode="External"/><Relationship Id="rId30" Type="http://schemas.openxmlformats.org/officeDocument/2006/relationships/hyperlink" Target="http://paperpile.com/b/CKIHq7/PbD0H" TargetMode="External"/><Relationship Id="rId35" Type="http://schemas.openxmlformats.org/officeDocument/2006/relationships/hyperlink" Target="http://paperpile.com/b/CKIHq7/ENCic" TargetMode="External"/><Relationship Id="rId56" Type="http://schemas.openxmlformats.org/officeDocument/2006/relationships/hyperlink" Target="http://paperpile.com/b/CKIHq7/WIBgq" TargetMode="External"/><Relationship Id="rId77" Type="http://schemas.openxmlformats.org/officeDocument/2006/relationships/hyperlink" Target="http://paperpile.com/b/CKIHq7/w1vdI" TargetMode="External"/><Relationship Id="rId100" Type="http://schemas.openxmlformats.org/officeDocument/2006/relationships/hyperlink" Target="http://paperpile.com/b/CKIHq7/v35KD" TargetMode="External"/><Relationship Id="rId8" Type="http://schemas.openxmlformats.org/officeDocument/2006/relationships/hyperlink" Target="https://paperpile.com/c/CKIHq7/vI5oI+ENCic" TargetMode="External"/><Relationship Id="rId51" Type="http://schemas.openxmlformats.org/officeDocument/2006/relationships/hyperlink" Target="http://paperpile.com/b/CKIHq7/a5hGl" TargetMode="External"/><Relationship Id="rId72" Type="http://schemas.openxmlformats.org/officeDocument/2006/relationships/hyperlink" Target="http://paperpile.com/b/CKIHq7/1zuLn" TargetMode="External"/><Relationship Id="rId93" Type="http://schemas.openxmlformats.org/officeDocument/2006/relationships/hyperlink" Target="http://paperpile.com/b/CKIHq7/hdIEf" TargetMode="External"/><Relationship Id="rId98" Type="http://schemas.openxmlformats.org/officeDocument/2006/relationships/hyperlink" Target="http://paperpile.com/b/CKIHq7/v35K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9299</Words>
  <Characters>53005</Characters>
  <Application>Microsoft Office Word</Application>
  <DocSecurity>0</DocSecurity>
  <Lines>441</Lines>
  <Paragraphs>124</Paragraphs>
  <ScaleCrop>false</ScaleCrop>
  <Company/>
  <LinksUpToDate>false</LinksUpToDate>
  <CharactersWithSpaces>62180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 Enitan</dc:creator>
  <cp:lastModifiedBy>Carrol, Enitan</cp:lastModifiedBy>
  <cp:revision>2</cp:revision>
  <dcterms:created xsi:type="dcterms:W3CDTF">2024-02-07T19:20:00Z</dcterms:created>
  <dcterms:modified xsi:type="dcterms:W3CDTF">2024-02-07T19:20:00Z</dcterms:modified>
</cp:coreProperties>
</file>