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EE0" w:rsidRDefault="00FD3EE0" w:rsidP="00FD3EE0">
      <w:pPr>
        <w:jc w:val="center"/>
        <w:rPr>
          <w:rFonts w:cstheme="minorHAnsi"/>
          <w:b/>
          <w:sz w:val="32"/>
          <w:szCs w:val="32"/>
        </w:rPr>
      </w:pPr>
      <w:r>
        <w:rPr>
          <w:rFonts w:cstheme="minorHAnsi"/>
          <w:b/>
          <w:sz w:val="32"/>
          <w:szCs w:val="32"/>
        </w:rPr>
        <w:t>Author accepted draft</w:t>
      </w:r>
      <w:bookmarkStart w:id="0" w:name="_GoBack"/>
      <w:bookmarkEnd w:id="0"/>
    </w:p>
    <w:p w:rsidR="00FD3EE0" w:rsidRPr="00FD3EE0" w:rsidRDefault="00FD3EE0" w:rsidP="00FD3EE0">
      <w:pPr>
        <w:rPr>
          <w:rFonts w:cstheme="minorHAnsi"/>
          <w:b/>
          <w:sz w:val="32"/>
          <w:szCs w:val="32"/>
        </w:rPr>
      </w:pPr>
      <w:r w:rsidRPr="00FD3EE0">
        <w:rPr>
          <w:rFonts w:cstheme="minorHAnsi"/>
          <w:b/>
          <w:sz w:val="32"/>
          <w:szCs w:val="32"/>
        </w:rPr>
        <w:t xml:space="preserve">the planner </w:t>
      </w:r>
      <w:proofErr w:type="gramStart"/>
      <w:r w:rsidRPr="00FD3EE0">
        <w:rPr>
          <w:rFonts w:cstheme="minorHAnsi"/>
          <w:b/>
          <w:sz w:val="32"/>
          <w:szCs w:val="32"/>
        </w:rPr>
        <w:t>essay</w:t>
      </w:r>
      <w:proofErr w:type="gramEnd"/>
    </w:p>
    <w:p w:rsidR="00FD3EE0" w:rsidRPr="00FD3EE0" w:rsidRDefault="00FD3EE0" w:rsidP="00FD3EE0">
      <w:pPr>
        <w:rPr>
          <w:rFonts w:cstheme="minorHAnsi"/>
          <w:b/>
          <w:sz w:val="32"/>
          <w:szCs w:val="32"/>
        </w:rPr>
      </w:pPr>
      <w:r w:rsidRPr="00FD3EE0">
        <w:rPr>
          <w:rFonts w:cstheme="minorHAnsi"/>
          <w:b/>
          <w:sz w:val="32"/>
          <w:szCs w:val="32"/>
        </w:rPr>
        <w:t>Has the ‘long 2010s’ period of planning reform made life worse for the poorest in Britain?</w:t>
      </w:r>
    </w:p>
    <w:p w:rsidR="00FD3EE0" w:rsidRPr="00FD3EE0" w:rsidRDefault="00FD3EE0" w:rsidP="00FD3EE0">
      <w:pPr>
        <w:rPr>
          <w:rFonts w:cstheme="minorHAnsi"/>
          <w:sz w:val="32"/>
          <w:szCs w:val="32"/>
        </w:rPr>
      </w:pPr>
    </w:p>
    <w:p w:rsidR="00FD3EE0" w:rsidRDefault="00FD3EE0" w:rsidP="00FD3EE0">
      <w:pPr>
        <w:rPr>
          <w:rFonts w:cstheme="minorHAnsi"/>
        </w:rPr>
      </w:pPr>
      <w:hyperlink r:id="rId5" w:history="1">
        <w:r>
          <w:rPr>
            <w:rStyle w:val="Hyperlink"/>
            <w:rFonts w:ascii="Arial" w:hAnsi="Arial" w:cs="Arial"/>
            <w:color w:val="1FBECA"/>
            <w:u w:val="none"/>
          </w:rPr>
          <w:t>Professor John Sturzaker and Dr Olivier Sykes</w:t>
        </w:r>
      </w:hyperlink>
      <w:r>
        <w:rPr>
          <w:rFonts w:ascii="Arial" w:hAnsi="Arial" w:cs="Arial"/>
          <w:color w:val="888888"/>
          <w:shd w:val="clear" w:color="auto" w:fill="FFFFFF"/>
        </w:rPr>
        <w:t> </w:t>
      </w:r>
      <w:r>
        <w:rPr>
          <w:rStyle w:val="authors-date-separator"/>
          <w:rFonts w:ascii="Arial" w:hAnsi="Arial" w:cs="Arial"/>
          <w:color w:val="888888"/>
          <w:shd w:val="clear" w:color="auto" w:fill="FFFFFF"/>
        </w:rPr>
        <w:t>—</w:t>
      </w:r>
      <w:r>
        <w:rPr>
          <w:rFonts w:ascii="Arial" w:hAnsi="Arial" w:cs="Arial"/>
          <w:color w:val="888888"/>
          <w:shd w:val="clear" w:color="auto" w:fill="FFFFFF"/>
        </w:rPr>
        <w:t> </w:t>
      </w:r>
      <w:r>
        <w:rPr>
          <w:rStyle w:val="date-created"/>
          <w:rFonts w:ascii="Arial" w:hAnsi="Arial" w:cs="Arial"/>
          <w:color w:val="888888"/>
          <w:shd w:val="clear" w:color="auto" w:fill="FFFFFF"/>
        </w:rPr>
        <w:t>Thu 15th Feb 2024</w:t>
      </w:r>
      <w:r>
        <w:rPr>
          <w:rFonts w:ascii="Arial" w:hAnsi="Arial" w:cs="Arial"/>
          <w:color w:val="888888"/>
          <w:shd w:val="clear" w:color="auto" w:fill="FFFFFF"/>
        </w:rPr>
        <w:t> </w:t>
      </w:r>
    </w:p>
    <w:p w:rsidR="00FD3EE0" w:rsidRPr="00FD3EE0" w:rsidRDefault="00FD3EE0" w:rsidP="00FD3EE0">
      <w:pPr>
        <w:rPr>
          <w:rFonts w:cstheme="minorHAnsi"/>
        </w:rPr>
      </w:pPr>
      <w:r w:rsidRPr="00FD3EE0">
        <w:rPr>
          <w:rFonts w:cstheme="minorHAnsi"/>
        </w:rPr>
        <w:t xml:space="preserve">Planning reform since 2010 has created a raft of “regressive outcomes”, argue John </w:t>
      </w:r>
      <w:proofErr w:type="spellStart"/>
      <w:r w:rsidRPr="00FD3EE0">
        <w:rPr>
          <w:rFonts w:cstheme="minorHAnsi"/>
        </w:rPr>
        <w:t>Stuzaker</w:t>
      </w:r>
      <w:proofErr w:type="spellEnd"/>
      <w:r w:rsidRPr="00FD3EE0">
        <w:rPr>
          <w:rFonts w:cstheme="minorHAnsi"/>
        </w:rPr>
        <w:t xml:space="preserve"> and Olivier Sykes. But there’s a solution the next Government can follow</w:t>
      </w:r>
    </w:p>
    <w:p w:rsidR="00FD3EE0" w:rsidRPr="00FD3EE0" w:rsidRDefault="00FD3EE0" w:rsidP="00FD3EE0">
      <w:pPr>
        <w:rPr>
          <w:rFonts w:cstheme="minorHAnsi"/>
        </w:rPr>
      </w:pPr>
      <w:r w:rsidRPr="00FD3EE0">
        <w:rPr>
          <w:rFonts w:cstheme="minorHAnsi"/>
        </w:rPr>
        <w:t xml:space="preserve">It has become almost a cliché to refer to the planning system in England as being under a constant state of reform, but like many clichés it is also the truth. </w:t>
      </w:r>
    </w:p>
    <w:p w:rsidR="00FD3EE0" w:rsidRPr="00FD3EE0" w:rsidRDefault="00FD3EE0" w:rsidP="00FD3EE0">
      <w:pPr>
        <w:rPr>
          <w:rFonts w:cstheme="minorHAnsi"/>
        </w:rPr>
      </w:pPr>
    </w:p>
    <w:p w:rsidR="00FD3EE0" w:rsidRPr="00FD3EE0" w:rsidRDefault="00FD3EE0" w:rsidP="00FD3EE0">
      <w:pPr>
        <w:rPr>
          <w:rFonts w:cstheme="minorHAnsi"/>
        </w:rPr>
      </w:pPr>
      <w:r w:rsidRPr="00FD3EE0">
        <w:rPr>
          <w:rFonts w:cstheme="minorHAnsi"/>
        </w:rPr>
        <w:t>Another oft-repeated observation by planners is that we are blamed for societal problems from climate change to flooding to obesity, making decisions too slowly yet not spending enough time engaging with the public.</w:t>
      </w:r>
    </w:p>
    <w:p w:rsidR="00FD3EE0" w:rsidRPr="00FD3EE0" w:rsidRDefault="00FD3EE0" w:rsidP="00FD3EE0">
      <w:pPr>
        <w:rPr>
          <w:rFonts w:cstheme="minorHAnsi"/>
        </w:rPr>
      </w:pPr>
    </w:p>
    <w:p w:rsidR="00E373FA" w:rsidRPr="00FD3EE0" w:rsidRDefault="00FD3EE0" w:rsidP="00FD3EE0">
      <w:pPr>
        <w:rPr>
          <w:rFonts w:cstheme="minorHAnsi"/>
        </w:rPr>
      </w:pPr>
      <w:r w:rsidRPr="00FD3EE0">
        <w:rPr>
          <w:rFonts w:cstheme="minorHAnsi"/>
        </w:rPr>
        <w:t xml:space="preserve">In our recently published book Planning in a Failing </w:t>
      </w:r>
      <w:proofErr w:type="gramStart"/>
      <w:r w:rsidRPr="00FD3EE0">
        <w:rPr>
          <w:rFonts w:cstheme="minorHAnsi"/>
        </w:rPr>
        <w:t>State ,</w:t>
      </w:r>
      <w:proofErr w:type="gramEnd"/>
      <w:r w:rsidRPr="00FD3EE0">
        <w:rPr>
          <w:rFonts w:cstheme="minorHAnsi"/>
        </w:rPr>
        <w:t xml:space="preserve"> we argue that the ‘state’ that planning is in is very largely the fault of failures by ‘the state’ – </w:t>
      </w:r>
      <w:proofErr w:type="spellStart"/>
      <w:r w:rsidRPr="00FD3EE0">
        <w:rPr>
          <w:rFonts w:cstheme="minorHAnsi"/>
        </w:rPr>
        <w:t>ie</w:t>
      </w:r>
      <w:proofErr w:type="spellEnd"/>
      <w:r w:rsidRPr="00FD3EE0">
        <w:rPr>
          <w:rFonts w:cstheme="minorHAnsi"/>
        </w:rPr>
        <w:t>, the UK Government – and is not the fault of planners.</w:t>
      </w:r>
    </w:p>
    <w:p w:rsidR="00FD3EE0" w:rsidRPr="00FD3EE0" w:rsidRDefault="00FD3EE0" w:rsidP="00FD3EE0">
      <w:pPr>
        <w:rPr>
          <w:rFonts w:cstheme="minorHAnsi"/>
        </w:rPr>
      </w:pP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Some of the results of these failures are well known: constant reforms and tinkering with the planning system have resulted in poor local plan coverage across England, with housebuilding getting nowhere near the Government’s targets. </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What can sometimes be overlooked, though, is that the botched series of changes to planning and related fields over the last 14 years have resulted in profoundly regressive outcomes in our society. Rather than making life better for the least well off, the reverse has happened.</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 xml:space="preserve">In the book we talk about four ‘R’s of analysis to frame this failure. The first three </w:t>
      </w:r>
      <w:proofErr w:type="gramStart"/>
      <w:r w:rsidRPr="00FD3EE0">
        <w:rPr>
          <w:rFonts w:eastAsia="Times New Roman" w:cstheme="minorHAnsi"/>
          <w:color w:val="666666"/>
          <w:lang w:eastAsia="en-GB"/>
        </w:rPr>
        <w:t>–  Rhetoric</w:t>
      </w:r>
      <w:proofErr w:type="gramEnd"/>
      <w:r w:rsidRPr="00FD3EE0">
        <w:rPr>
          <w:rFonts w:eastAsia="Times New Roman" w:cstheme="minorHAnsi"/>
          <w:color w:val="666666"/>
          <w:lang w:eastAsia="en-GB"/>
        </w:rPr>
        <w:t>, Rapidity of reform and Resourcing – combine to create the fourth: Regressive outcomes across a range of scales and through various policy areas. But what are these regressive outcomes and how are they related to planning and the built environment?</w:t>
      </w:r>
    </w:p>
    <w:p w:rsidR="00FD3EE0" w:rsidRPr="00FD3EE0" w:rsidRDefault="00FD3EE0" w:rsidP="00FD3EE0">
      <w:pPr>
        <w:shd w:val="clear" w:color="auto" w:fill="FFFFFF"/>
        <w:spacing w:after="100" w:afterAutospacing="1" w:line="240" w:lineRule="auto"/>
        <w:outlineLvl w:val="3"/>
        <w:rPr>
          <w:rFonts w:eastAsia="Times New Roman" w:cstheme="minorHAnsi"/>
          <w:b/>
          <w:color w:val="000000"/>
          <w:lang w:eastAsia="en-GB"/>
        </w:rPr>
      </w:pPr>
      <w:r w:rsidRPr="00FD3EE0">
        <w:rPr>
          <w:rFonts w:eastAsia="Times New Roman" w:cstheme="minorHAnsi"/>
          <w:b/>
          <w:color w:val="000000"/>
          <w:lang w:eastAsia="en-GB"/>
        </w:rPr>
        <w:t>Discretionary funding</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Overall, non-ring-fenced grants to local authorities were cut by 86 per cent during the first decade of Conservative-led governments, as was the budget for DLUHC and its predecessor departments. </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The </w:t>
      </w:r>
      <w:hyperlink r:id="rId6" w:tgtFrame="_blank" w:tooltip="RTPI research" w:history="1">
        <w:r w:rsidRPr="00FD3EE0">
          <w:rPr>
            <w:rFonts w:eastAsia="Times New Roman" w:cstheme="minorHAnsi"/>
            <w:color w:val="1FBECA"/>
            <w:u w:val="single"/>
            <w:lang w:eastAsia="en-GB"/>
          </w:rPr>
          <w:t>impacts of this on local authority planning services </w:t>
        </w:r>
      </w:hyperlink>
      <w:r w:rsidRPr="00FD3EE0">
        <w:rPr>
          <w:rFonts w:eastAsia="Times New Roman" w:cstheme="minorHAnsi"/>
          <w:color w:val="666666"/>
          <w:lang w:eastAsia="en-GB"/>
        </w:rPr>
        <w:t> are well recognised, with those in more deprived parts of the country seeing proportionally larger cuts in budgets. </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lastRenderedPageBreak/>
        <w:t>It’s worth remembering that this is not an accidental outcome of Government policy; indeed, the Prime Minister boasted about doing so when he was running for election as Conservative party leader. Speaking to party members in Tunbridge Wells, </w:t>
      </w:r>
      <w:hyperlink r:id="rId7" w:tgtFrame="_blank" w:tooltip="Guardian news story" w:history="1">
        <w:r w:rsidRPr="00FD3EE0">
          <w:rPr>
            <w:rFonts w:eastAsia="Times New Roman" w:cstheme="minorHAnsi"/>
            <w:color w:val="1FBECA"/>
            <w:u w:val="single"/>
            <w:lang w:eastAsia="en-GB"/>
          </w:rPr>
          <w:t>he said </w:t>
        </w:r>
      </w:hyperlink>
      <w:r w:rsidRPr="00FD3EE0">
        <w:rPr>
          <w:rFonts w:eastAsia="Times New Roman" w:cstheme="minorHAnsi"/>
          <w:color w:val="666666"/>
          <w:lang w:eastAsia="en-GB"/>
        </w:rPr>
        <w:t>: “I managed to start changing the funding formulas to make sure areas like this are getting the funding they deserved… We inherited a bunch of formulas from Labour that shoved all the funding into deprived urban areas and that needed to be undone. I started the work of undoing that”.</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The consequences of this for people and places are visible on the streets of our towns and cities, from increased homelessness to a poorly maintained urban realm. More insidious perhaps are the hidden consequences, such as the poor-quality housing which is characteristic of England, with inadequate insulation, small rooms and lack of access to high-quality outdoor space problems that afflict many of us. As with many other parts of life, these problems are worse if you are poor – </w:t>
      </w:r>
      <w:hyperlink r:id="rId8" w:tgtFrame="_blank" w:tooltip="Guardian news story" w:history="1">
        <w:r w:rsidRPr="00FD3EE0">
          <w:rPr>
            <w:rFonts w:eastAsia="Times New Roman" w:cstheme="minorHAnsi"/>
            <w:color w:val="1FBECA"/>
            <w:u w:val="single"/>
            <w:lang w:eastAsia="en-GB"/>
          </w:rPr>
          <w:t>and/or young </w:t>
        </w:r>
      </w:hyperlink>
      <w:r w:rsidRPr="00FD3EE0">
        <w:rPr>
          <w:rFonts w:eastAsia="Times New Roman" w:cstheme="minorHAnsi"/>
          <w:color w:val="666666"/>
          <w:lang w:eastAsia="en-GB"/>
        </w:rPr>
        <w:t>.</w:t>
      </w:r>
    </w:p>
    <w:p w:rsidR="00FD3EE0" w:rsidRPr="00FD3EE0" w:rsidRDefault="00FD3EE0" w:rsidP="00FD3EE0">
      <w:pPr>
        <w:shd w:val="clear" w:color="auto" w:fill="FFFFFF"/>
        <w:spacing w:after="100" w:afterAutospacing="1" w:line="240" w:lineRule="auto"/>
        <w:outlineLvl w:val="3"/>
        <w:rPr>
          <w:rFonts w:eastAsia="Times New Roman" w:cstheme="minorHAnsi"/>
          <w:b/>
          <w:color w:val="000000"/>
          <w:lang w:eastAsia="en-GB"/>
        </w:rPr>
      </w:pPr>
      <w:r w:rsidRPr="00FD3EE0">
        <w:rPr>
          <w:rFonts w:eastAsia="Times New Roman" w:cstheme="minorHAnsi"/>
          <w:b/>
          <w:color w:val="000000"/>
          <w:lang w:eastAsia="en-GB"/>
        </w:rPr>
        <w:t>Neighbourhood planning/loss of strategic planning</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Neighbourhood planning was introduced in England as a key plank of the 2011 Localism Act, trumpeted with language that even at the time seemed optimistic – and with the benefit of hindsight, ludicrously so.</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Those of us who worked in planning at the time might remember the Secretary of State of the then Department for Communities and Local Government, (now Lord) Eric Pickles, and his </w:t>
      </w:r>
      <w:hyperlink r:id="rId9" w:tgtFrame="_blank" w:tooltip="Government press release" w:history="1">
        <w:r w:rsidRPr="00FD3EE0">
          <w:rPr>
            <w:rFonts w:eastAsia="Times New Roman" w:cstheme="minorHAnsi"/>
            <w:color w:val="1FBECA"/>
            <w:u w:val="single"/>
            <w:lang w:eastAsia="en-GB"/>
          </w:rPr>
          <w:t>evangelical promises about neighbourhood planning </w:t>
        </w:r>
      </w:hyperlink>
      <w:r w:rsidRPr="00FD3EE0">
        <w:rPr>
          <w:rFonts w:eastAsia="Times New Roman" w:cstheme="minorHAnsi"/>
          <w:color w:val="666666"/>
          <w:lang w:eastAsia="en-GB"/>
        </w:rPr>
        <w:t> doing what he said the “Soviet tractor style top-down” regional spatial strategies had failed to do, and generate support amongst communities for new housing developments.</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This has evidently not happened, and neither has neighbourhood planning been taken up with the enthusiasm that the Government of the time expected. They anticipated that by 2022, more than 4,000 communities would have adopted a neighbourhood plan. The actual number was less than a third of this. </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Of particular relevance to our argument here, however, is the type of communities which have chosen to do so. In </w:t>
      </w:r>
      <w:r w:rsidRPr="00FD3EE0">
        <w:rPr>
          <w:rFonts w:eastAsia="Times New Roman" w:cstheme="minorHAnsi"/>
          <w:i/>
          <w:iCs/>
          <w:color w:val="666666"/>
          <w:lang w:eastAsia="en-GB"/>
        </w:rPr>
        <w:t xml:space="preserve">Planning in a Failing </w:t>
      </w:r>
      <w:proofErr w:type="gramStart"/>
      <w:r w:rsidRPr="00FD3EE0">
        <w:rPr>
          <w:rFonts w:eastAsia="Times New Roman" w:cstheme="minorHAnsi"/>
          <w:i/>
          <w:iCs/>
          <w:color w:val="666666"/>
          <w:lang w:eastAsia="en-GB"/>
        </w:rPr>
        <w:t>State</w:t>
      </w:r>
      <w:proofErr w:type="gramEnd"/>
      <w:r w:rsidRPr="00FD3EE0">
        <w:rPr>
          <w:rFonts w:eastAsia="Times New Roman" w:cstheme="minorHAnsi"/>
          <w:color w:val="666666"/>
          <w:lang w:eastAsia="en-GB"/>
        </w:rPr>
        <w:t> we analyse the latest data from DLUHC, showing that more than half of neighbourhood planning activity is in the least deprived parts of the country – and that wealthier communities are more likely to get their neighbourhood plans adopted. </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 xml:space="preserve">We think </w:t>
      </w:r>
      <w:proofErr w:type="gramStart"/>
      <w:r w:rsidRPr="00FD3EE0">
        <w:rPr>
          <w:rFonts w:eastAsia="Times New Roman" w:cstheme="minorHAnsi"/>
          <w:color w:val="666666"/>
          <w:lang w:eastAsia="en-GB"/>
        </w:rPr>
        <w:t>this matters</w:t>
      </w:r>
      <w:proofErr w:type="gramEnd"/>
      <w:r w:rsidRPr="00FD3EE0">
        <w:rPr>
          <w:rFonts w:eastAsia="Times New Roman" w:cstheme="minorHAnsi"/>
          <w:color w:val="666666"/>
          <w:lang w:eastAsia="en-GB"/>
        </w:rPr>
        <w:t xml:space="preserve"> both as a point of principle – given the statutory weight given to neighbourhood plans, it is inequitable that wealthier communities are more likely to be able to have their say – and because without a neighbourhood plan poorer communities are less able to influence what goes on in the place they live in.</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When added to the parlous nature of many local authority planning departments, and the lack of statutory strategic planning and the tools that may historically have been available to allocate development to places which need it the most, this points to more deprived places lacking the sort of proactive planning needed to address long-standing problems.</w:t>
      </w:r>
    </w:p>
    <w:p w:rsidR="00FD3EE0" w:rsidRPr="00FD3EE0" w:rsidRDefault="00FD3EE0" w:rsidP="00FD3EE0">
      <w:pPr>
        <w:shd w:val="clear" w:color="auto" w:fill="FFFFFF"/>
        <w:spacing w:after="100" w:afterAutospacing="1" w:line="240" w:lineRule="auto"/>
        <w:outlineLvl w:val="3"/>
        <w:rPr>
          <w:rFonts w:eastAsia="Times New Roman" w:cstheme="minorHAnsi"/>
          <w:b/>
          <w:color w:val="000000"/>
          <w:lang w:eastAsia="en-GB"/>
        </w:rPr>
      </w:pPr>
      <w:r w:rsidRPr="00FD3EE0">
        <w:rPr>
          <w:rFonts w:eastAsia="Times New Roman" w:cstheme="minorHAnsi"/>
          <w:b/>
          <w:color w:val="000000"/>
          <w:lang w:eastAsia="en-GB"/>
        </w:rPr>
        <w:t>Permitted development rights and health</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The significant expansion of permitted development (PD) rights since 2010 has resulted in the conversion of many commercial and other buildings into new homes. Again, this was heralded by Eric Pickles as being an entirely good thing, </w:t>
      </w:r>
      <w:hyperlink r:id="rId10" w:tgtFrame="_blank" w:tooltip="Government press release" w:history="1">
        <w:r w:rsidRPr="00FD3EE0">
          <w:rPr>
            <w:rFonts w:eastAsia="Times New Roman" w:cstheme="minorHAnsi"/>
            <w:color w:val="1FBECA"/>
            <w:u w:val="single"/>
            <w:lang w:eastAsia="en-GB"/>
          </w:rPr>
          <w:t>“unshackling developers from a legacy of bureaucratic planning” </w:t>
        </w:r>
      </w:hyperlink>
      <w:r w:rsidRPr="00FD3EE0">
        <w:rPr>
          <w:rFonts w:eastAsia="Times New Roman" w:cstheme="minorHAnsi"/>
          <w:color w:val="666666"/>
          <w:lang w:eastAsia="en-GB"/>
        </w:rPr>
        <w:t> . </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Some in the development sector have indeed noted the benefits of this, and presumably those who own such buildings are delighted that they can generate greater profits. However, </w:t>
      </w:r>
      <w:hyperlink r:id="rId11" w:anchor=":~:text=8%20June%202021&amp;text=He%20advised%20that%20permitted%20development,in%20terms%20of%20housing%20quality%27" w:tgtFrame="_blank" w:tooltip="UCL press release" w:history="1">
        <w:r w:rsidRPr="00FD3EE0">
          <w:rPr>
            <w:rFonts w:eastAsia="Times New Roman" w:cstheme="minorHAnsi"/>
            <w:color w:val="1FBECA"/>
            <w:u w:val="single"/>
            <w:lang w:eastAsia="en-GB"/>
          </w:rPr>
          <w:t>as Ben Clifford of UCL has argued </w:t>
        </w:r>
      </w:hyperlink>
      <w:r w:rsidRPr="00FD3EE0">
        <w:rPr>
          <w:rFonts w:eastAsia="Times New Roman" w:cstheme="minorHAnsi"/>
          <w:color w:val="666666"/>
          <w:lang w:eastAsia="en-GB"/>
        </w:rPr>
        <w:t>.  since very shortly after the expansion of PD rights, the quality of much of this new housing leaves much to be desired. One of the chapters of </w:t>
      </w:r>
      <w:r w:rsidRPr="00FD3EE0">
        <w:rPr>
          <w:rFonts w:eastAsia="Times New Roman" w:cstheme="minorHAnsi"/>
          <w:i/>
          <w:iCs/>
          <w:color w:val="666666"/>
          <w:lang w:eastAsia="en-GB"/>
        </w:rPr>
        <w:t>Planning in a Failing State</w:t>
      </w:r>
      <w:r w:rsidRPr="00FD3EE0">
        <w:rPr>
          <w:rFonts w:eastAsia="Times New Roman" w:cstheme="minorHAnsi"/>
          <w:color w:val="666666"/>
          <w:lang w:eastAsia="en-GB"/>
        </w:rPr>
        <w:t>, written by our colleagues Richard Dunning, Alex Lord and Mark Smith, focuses on the health outcomes of the expansion of permitted development. Planning, of course, has a long association with public health – Ebenezer Howard’s famous Three Magnets diagram emphasised the health benefits of the garden city, for example.</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Through exploring residential conversions using permitted development rights in several local authorities, the evidence in </w:t>
      </w:r>
      <w:r w:rsidRPr="00FD3EE0">
        <w:rPr>
          <w:rFonts w:eastAsia="Times New Roman" w:cstheme="minorHAnsi"/>
          <w:i/>
          <w:iCs/>
          <w:color w:val="666666"/>
          <w:lang w:eastAsia="en-GB"/>
        </w:rPr>
        <w:t>Planning in a Failing State</w:t>
      </w:r>
      <w:r w:rsidRPr="00FD3EE0">
        <w:rPr>
          <w:rFonts w:eastAsia="Times New Roman" w:cstheme="minorHAnsi"/>
          <w:color w:val="666666"/>
          <w:lang w:eastAsia="en-GB"/>
        </w:rPr>
        <w:t xml:space="preserve"> shows that many of these conversions are in the unhealthiest areas of those local authorities – in terms of air quality, access to blue/green infrastructure and the quality of the retail environment – </w:t>
      </w:r>
      <w:proofErr w:type="spellStart"/>
      <w:r w:rsidRPr="00FD3EE0">
        <w:rPr>
          <w:rFonts w:eastAsia="Times New Roman" w:cstheme="minorHAnsi"/>
          <w:color w:val="666666"/>
          <w:lang w:eastAsia="en-GB"/>
        </w:rPr>
        <w:t>ie</w:t>
      </w:r>
      <w:proofErr w:type="spellEnd"/>
      <w:r w:rsidRPr="00FD3EE0">
        <w:rPr>
          <w:rFonts w:eastAsia="Times New Roman" w:cstheme="minorHAnsi"/>
          <w:color w:val="666666"/>
          <w:lang w:eastAsia="en-GB"/>
        </w:rPr>
        <w:t>, access to healthy food. </w:t>
      </w:r>
    </w:p>
    <w:p w:rsidR="00FD3EE0" w:rsidRPr="00FD3EE0" w:rsidRDefault="00FD3EE0" w:rsidP="00FD3EE0">
      <w:pPr>
        <w:shd w:val="clear" w:color="auto" w:fill="FFFFFF"/>
        <w:spacing w:after="100" w:afterAutospacing="1" w:line="240" w:lineRule="auto"/>
        <w:rPr>
          <w:rFonts w:eastAsia="Times New Roman" w:cstheme="minorHAnsi"/>
          <w:color w:val="666666"/>
          <w:lang w:eastAsia="en-GB"/>
        </w:rPr>
      </w:pPr>
      <w:r w:rsidRPr="00FD3EE0">
        <w:rPr>
          <w:rFonts w:eastAsia="Times New Roman" w:cstheme="minorHAnsi"/>
          <w:color w:val="666666"/>
          <w:lang w:eastAsia="en-GB"/>
        </w:rPr>
        <w:t>As noted above, those “choosing” to live in such locations are often the poorest in society, who in reality have little choice about where and in what conditions they can afford to live. Our argument, therefore, is that deregulating the conversion of buildings to residential use, and hence removing planning controls on where and in what form housing is developed, has profoundly regressive outcomes.</w:t>
      </w:r>
    </w:p>
    <w:p w:rsidR="00FD3EE0" w:rsidRPr="00FD3EE0" w:rsidRDefault="00FD3EE0" w:rsidP="00FD3EE0">
      <w:pPr>
        <w:rPr>
          <w:rFonts w:cstheme="minorHAnsi"/>
          <w:b/>
        </w:rPr>
      </w:pPr>
      <w:r w:rsidRPr="00FD3EE0">
        <w:rPr>
          <w:rFonts w:cstheme="minorHAnsi"/>
          <w:b/>
        </w:rPr>
        <w:t>Follow the evidence</w:t>
      </w:r>
    </w:p>
    <w:p w:rsidR="00FD3EE0" w:rsidRPr="00FD3EE0" w:rsidRDefault="00FD3EE0" w:rsidP="00FD3EE0">
      <w:pPr>
        <w:rPr>
          <w:rFonts w:cstheme="minorHAnsi"/>
        </w:rPr>
      </w:pPr>
      <w:r w:rsidRPr="00FD3EE0">
        <w:rPr>
          <w:rFonts w:cstheme="minorHAnsi"/>
        </w:rPr>
        <w:t xml:space="preserve">In this summary of some of the arguments explored in greater detail in Planning in a Failing State, we have highlighted evidence which shows that the changes introduced to planning since 2010 have, in many cases, led to outcomes which can only be described as regressive – they have made the lives of poorer people worse, not better. </w:t>
      </w:r>
    </w:p>
    <w:p w:rsidR="00FD3EE0" w:rsidRPr="00FD3EE0" w:rsidRDefault="00FD3EE0" w:rsidP="00FD3EE0">
      <w:pPr>
        <w:rPr>
          <w:rFonts w:cstheme="minorHAnsi"/>
        </w:rPr>
      </w:pPr>
    </w:p>
    <w:p w:rsidR="00FD3EE0" w:rsidRPr="00FD3EE0" w:rsidRDefault="00FD3EE0" w:rsidP="00FD3EE0">
      <w:pPr>
        <w:rPr>
          <w:rFonts w:cstheme="minorHAnsi"/>
        </w:rPr>
      </w:pPr>
      <w:r w:rsidRPr="00FD3EE0">
        <w:rPr>
          <w:rFonts w:cstheme="minorHAnsi"/>
        </w:rPr>
        <w:t>A properly funded system of evidence-led planning is essential to the delivery of more progressive outcomes</w:t>
      </w:r>
    </w:p>
    <w:p w:rsidR="00FD3EE0" w:rsidRPr="00FD3EE0" w:rsidRDefault="00FD3EE0" w:rsidP="00FD3EE0">
      <w:pPr>
        <w:rPr>
          <w:rFonts w:cstheme="minorHAnsi"/>
        </w:rPr>
      </w:pPr>
    </w:p>
    <w:p w:rsidR="00FD3EE0" w:rsidRPr="00FD3EE0" w:rsidRDefault="00FD3EE0" w:rsidP="00FD3EE0">
      <w:pPr>
        <w:rPr>
          <w:rFonts w:cstheme="minorHAnsi"/>
        </w:rPr>
      </w:pPr>
      <w:r w:rsidRPr="00FD3EE0">
        <w:rPr>
          <w:rFonts w:cstheme="minorHAnsi"/>
        </w:rPr>
        <w:t>Writing as we are in a year when a General Election seems inevitable, we hope that, in the event that this heralds a change in Government, that the incoming administration takes note of this and recognises that a properly funded system of evidence-led planning is essential to the delivery of more progressive outcomes.</w:t>
      </w:r>
    </w:p>
    <w:sectPr w:rsidR="00FD3EE0" w:rsidRPr="00FD3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768C3"/>
    <w:multiLevelType w:val="multilevel"/>
    <w:tmpl w:val="A104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E0"/>
    <w:rsid w:val="000B73CC"/>
    <w:rsid w:val="009B3806"/>
    <w:rsid w:val="00FD3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7926"/>
  <w15:chartTrackingRefBased/>
  <w15:docId w15:val="{7F01B9C5-CD82-4086-A61E-64BC318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FD3EE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D3EE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D3E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D3EE0"/>
    <w:rPr>
      <w:color w:val="0000FF"/>
      <w:u w:val="single"/>
    </w:rPr>
  </w:style>
  <w:style w:type="character" w:styleId="Emphasis">
    <w:name w:val="Emphasis"/>
    <w:basedOn w:val="DefaultParagraphFont"/>
    <w:uiPriority w:val="20"/>
    <w:qFormat/>
    <w:rsid w:val="00FD3EE0"/>
    <w:rPr>
      <w:i/>
      <w:iCs/>
    </w:rPr>
  </w:style>
  <w:style w:type="character" w:customStyle="1" w:styleId="authors">
    <w:name w:val="authors"/>
    <w:basedOn w:val="DefaultParagraphFont"/>
    <w:rsid w:val="00FD3EE0"/>
  </w:style>
  <w:style w:type="character" w:customStyle="1" w:styleId="authors-date-separator">
    <w:name w:val="authors-date-separator"/>
    <w:basedOn w:val="DefaultParagraphFont"/>
    <w:rsid w:val="00FD3EE0"/>
  </w:style>
  <w:style w:type="character" w:customStyle="1" w:styleId="date-created">
    <w:name w:val="date-created"/>
    <w:basedOn w:val="DefaultParagraphFont"/>
    <w:rsid w:val="00FD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14508">
      <w:bodyDiv w:val="1"/>
      <w:marLeft w:val="0"/>
      <w:marRight w:val="0"/>
      <w:marTop w:val="0"/>
      <w:marBottom w:val="0"/>
      <w:divBdr>
        <w:top w:val="none" w:sz="0" w:space="0" w:color="auto"/>
        <w:left w:val="none" w:sz="0" w:space="0" w:color="auto"/>
        <w:bottom w:val="none" w:sz="0" w:space="0" w:color="auto"/>
        <w:right w:val="none" w:sz="0" w:space="0" w:color="auto"/>
      </w:divBdr>
      <w:divsChild>
        <w:div w:id="1485506891">
          <w:marLeft w:val="0"/>
          <w:marRight w:val="0"/>
          <w:marTop w:val="0"/>
          <w:marBottom w:val="0"/>
          <w:divBdr>
            <w:top w:val="none" w:sz="0" w:space="0" w:color="auto"/>
            <w:left w:val="none" w:sz="0" w:space="0" w:color="auto"/>
            <w:bottom w:val="none" w:sz="0" w:space="0" w:color="auto"/>
            <w:right w:val="none" w:sz="0" w:space="0" w:color="auto"/>
          </w:divBdr>
          <w:divsChild>
            <w:div w:id="556356873">
              <w:blockQuote w:val="1"/>
              <w:marLeft w:val="480"/>
              <w:marRight w:val="480"/>
              <w:marTop w:val="960"/>
              <w:marBottom w:val="960"/>
              <w:divBdr>
                <w:top w:val="none" w:sz="0" w:space="0" w:color="auto"/>
                <w:left w:val="none" w:sz="0" w:space="0" w:color="auto"/>
                <w:bottom w:val="none" w:sz="0" w:space="0" w:color="auto"/>
                <w:right w:val="none" w:sz="0" w:space="0" w:color="auto"/>
              </w:divBdr>
            </w:div>
          </w:divsChild>
        </w:div>
        <w:div w:id="1504976436">
          <w:marLeft w:val="0"/>
          <w:marRight w:val="0"/>
          <w:marTop w:val="0"/>
          <w:marBottom w:val="0"/>
          <w:divBdr>
            <w:top w:val="none" w:sz="0" w:space="0" w:color="auto"/>
            <w:left w:val="none" w:sz="0" w:space="0" w:color="auto"/>
            <w:bottom w:val="none" w:sz="0" w:space="0" w:color="auto"/>
            <w:right w:val="none" w:sz="0" w:space="0" w:color="auto"/>
          </w:divBdr>
          <w:divsChild>
            <w:div w:id="426191508">
              <w:blockQuote w:val="1"/>
              <w:marLeft w:val="480"/>
              <w:marRight w:val="480"/>
              <w:marTop w:val="960"/>
              <w:marBottom w:val="960"/>
              <w:divBdr>
                <w:top w:val="none" w:sz="0" w:space="0" w:color="auto"/>
                <w:left w:val="none" w:sz="0" w:space="0" w:color="auto"/>
                <w:bottom w:val="none" w:sz="0" w:space="0" w:color="auto"/>
                <w:right w:val="none" w:sz="0" w:space="0" w:color="auto"/>
              </w:divBdr>
            </w:div>
            <w:div w:id="447701198">
              <w:marLeft w:val="0"/>
              <w:marRight w:val="0"/>
              <w:marTop w:val="480"/>
              <w:marBottom w:val="480"/>
              <w:divBdr>
                <w:top w:val="dotted" w:sz="12" w:space="24" w:color="888888"/>
                <w:left w:val="dotted" w:sz="2" w:space="24" w:color="888888"/>
                <w:bottom w:val="dotted" w:sz="12" w:space="18" w:color="888888"/>
                <w:right w:val="dotted" w:sz="2" w:space="24" w:color="888888"/>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business/2023/apr/15/young-adults-uk-hous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guardian.com/politics/2022/aug/05/video-emerges-of-rishi-sunak-admitting-to-taking-money-from-deprived-are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pi.org.uk/news/2023/may/local-authorities-struggle-as-over-a-quarter-of-planners-depart/" TargetMode="External"/><Relationship Id="rId11" Type="http://schemas.openxmlformats.org/officeDocument/2006/relationships/hyperlink" Target="https://www.ucl.ac.uk/bartlett/planning/news/2021/jun/permitted-development-rights-ben-clifford-gives-evidence-inquiry" TargetMode="External"/><Relationship Id="rId5" Type="http://schemas.openxmlformats.org/officeDocument/2006/relationships/hyperlink" Target="https://www.theplanner.co.uk/authors/professor-john-sturzaker-and-dr-olivier-sykes" TargetMode="External"/><Relationship Id="rId10" Type="http://schemas.openxmlformats.org/officeDocument/2006/relationships/hyperlink" Target="https://www.gov.uk/government/news/growth-plan-to-transform-empty-offices-into-new-homes" TargetMode="External"/><Relationship Id="rId4" Type="http://schemas.openxmlformats.org/officeDocument/2006/relationships/webSettings" Target="webSettings.xml"/><Relationship Id="rId9" Type="http://schemas.openxmlformats.org/officeDocument/2006/relationships/hyperlink" Target="https://www.gov.uk/government/news/eric-pickles-puts-stop-to-flawed-regional-strategies-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Sykes, Olivier</dc:creator>
  <cp:keywords/>
  <dc:description/>
  <cp:lastModifiedBy>Sykes, Olivier</cp:lastModifiedBy>
  <cp:revision>1</cp:revision>
  <dcterms:created xsi:type="dcterms:W3CDTF">2024-02-26T11:50:00Z</dcterms:created>
  <dcterms:modified xsi:type="dcterms:W3CDTF">2024-02-26T11:55:00Z</dcterms:modified>
</cp:coreProperties>
</file>