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39D5E" w14:textId="1B45699E" w:rsidR="006C0C98" w:rsidRDefault="00FD5A36" w:rsidP="006C0C98">
      <w:pPr>
        <w:jc w:val="center"/>
        <w:rPr>
          <w:b/>
          <w:bCs/>
        </w:rPr>
      </w:pPr>
      <w:r w:rsidRPr="006C0C98">
        <w:rPr>
          <w:b/>
          <w:bCs/>
        </w:rPr>
        <w:t xml:space="preserve">The </w:t>
      </w:r>
      <w:r w:rsidR="00B46F65">
        <w:rPr>
          <w:b/>
          <w:bCs/>
        </w:rPr>
        <w:t>C</w:t>
      </w:r>
      <w:r w:rsidRPr="006C0C98">
        <w:rPr>
          <w:b/>
          <w:bCs/>
        </w:rPr>
        <w:t xml:space="preserve">onstructionalization of the </w:t>
      </w:r>
      <w:r w:rsidRPr="006C0C98">
        <w:rPr>
          <w:rFonts w:ascii="Trlit_CG Times" w:hAnsi="Trlit_CG Times"/>
          <w:b/>
          <w:bCs/>
        </w:rPr>
        <w:t>n</w:t>
      </w:r>
      <w:r w:rsidRPr="006C0C98">
        <w:rPr>
          <w:b/>
          <w:bCs/>
        </w:rPr>
        <w:t>-</w:t>
      </w:r>
      <w:r w:rsidR="00B46F65">
        <w:rPr>
          <w:b/>
          <w:bCs/>
        </w:rPr>
        <w:t>D</w:t>
      </w:r>
      <w:r w:rsidRPr="006C0C98">
        <w:rPr>
          <w:b/>
          <w:bCs/>
        </w:rPr>
        <w:t xml:space="preserve">emonstratives </w:t>
      </w:r>
    </w:p>
    <w:p w14:paraId="30E09F15" w14:textId="2740A450" w:rsidR="00D4659F" w:rsidRPr="006C0C98" w:rsidRDefault="00FD5A36" w:rsidP="006C0C98">
      <w:pPr>
        <w:jc w:val="center"/>
        <w:rPr>
          <w:b/>
          <w:bCs/>
        </w:rPr>
      </w:pPr>
      <w:r w:rsidRPr="006C0C98">
        <w:rPr>
          <w:b/>
          <w:bCs/>
        </w:rPr>
        <w:t xml:space="preserve">as </w:t>
      </w:r>
      <w:r w:rsidR="00B46F65">
        <w:rPr>
          <w:b/>
          <w:bCs/>
        </w:rPr>
        <w:t>D</w:t>
      </w:r>
      <w:r w:rsidR="00E0648D" w:rsidRPr="006C0C98">
        <w:rPr>
          <w:b/>
          <w:bCs/>
        </w:rPr>
        <w:t xml:space="preserve">emonstrative </w:t>
      </w:r>
      <w:r w:rsidR="00B46F65">
        <w:rPr>
          <w:b/>
          <w:bCs/>
        </w:rPr>
        <w:t>M</w:t>
      </w:r>
      <w:r w:rsidR="00E0648D" w:rsidRPr="006C0C98">
        <w:rPr>
          <w:b/>
          <w:bCs/>
        </w:rPr>
        <w:t>odifiers</w:t>
      </w:r>
      <w:r w:rsidRPr="006C0C98">
        <w:rPr>
          <w:b/>
          <w:bCs/>
        </w:rPr>
        <w:t xml:space="preserve"> from Old to Middle Egyptian</w:t>
      </w:r>
    </w:p>
    <w:p w14:paraId="28205F1E" w14:textId="119D4E6A" w:rsidR="00FD5A36" w:rsidRPr="006C0C98" w:rsidRDefault="00FD5A36" w:rsidP="006C0C98">
      <w:pPr>
        <w:jc w:val="center"/>
        <w:rPr>
          <w:b/>
          <w:bCs/>
        </w:rPr>
      </w:pPr>
      <w:r w:rsidRPr="006C0C98">
        <w:rPr>
          <w:b/>
          <w:bCs/>
        </w:rPr>
        <w:t>Mark Collier</w:t>
      </w:r>
    </w:p>
    <w:p w14:paraId="5AD5F13A" w14:textId="309FC814" w:rsidR="00FD5A36" w:rsidRPr="006C0C98" w:rsidRDefault="00FD5A36" w:rsidP="006C0C98">
      <w:pPr>
        <w:jc w:val="center"/>
        <w:rPr>
          <w:b/>
          <w:bCs/>
        </w:rPr>
      </w:pPr>
      <w:r w:rsidRPr="006C0C98">
        <w:rPr>
          <w:b/>
          <w:bCs/>
        </w:rPr>
        <w:t>University of Liverpool</w:t>
      </w:r>
    </w:p>
    <w:p w14:paraId="7CCB8659" w14:textId="3C57E6D0" w:rsidR="00FD5A36" w:rsidRDefault="00FD5A36" w:rsidP="00507094"/>
    <w:p w14:paraId="133E7D3A" w14:textId="24DEF645" w:rsidR="006F3B80" w:rsidRDefault="006F3B80" w:rsidP="00507094">
      <w:r w:rsidRPr="00953A5C">
        <w:rPr>
          <w:i/>
          <w:iCs/>
        </w:rPr>
        <w:t>Abstract</w:t>
      </w:r>
      <w:r>
        <w:t xml:space="preserve">: A discussion of the constructionalization of the Old Egyptian invariant </w:t>
      </w:r>
      <w:r w:rsidRPr="003A3C71">
        <w:rPr>
          <w:rFonts w:ascii="Trlit_CG Times" w:hAnsi="Trlit_CG Times"/>
        </w:rPr>
        <w:t>n</w:t>
      </w:r>
      <w:r>
        <w:t xml:space="preserve">-demonstrative pronouns </w:t>
      </w:r>
      <w:r w:rsidR="00361926">
        <w:t>into</w:t>
      </w:r>
      <w:r>
        <w:t xml:space="preserve"> the common-plural demonstrative</w:t>
      </w:r>
      <w:r w:rsidR="00AE12C8">
        <w:t>-</w:t>
      </w:r>
      <w:r>
        <w:t xml:space="preserve">modifier construction </w:t>
      </w:r>
      <w:r w:rsidRPr="006F3B80">
        <w:rPr>
          <w:rFonts w:ascii="Trlit_CG Times" w:hAnsi="Trlit_CG Times"/>
        </w:rPr>
        <w:t>n</w:t>
      </w:r>
      <w:r>
        <w:t xml:space="preserve">-demonstrative </w:t>
      </w:r>
      <w:r w:rsidRPr="006F3B80">
        <w:rPr>
          <w:rFonts w:ascii="Trlit_CG Times" w:hAnsi="Trlit_CG Times"/>
        </w:rPr>
        <w:t>n(y)</w:t>
      </w:r>
      <w:r>
        <w:t xml:space="preserve"> + noun </w:t>
      </w:r>
      <w:r w:rsidR="00361926">
        <w:t>of</w:t>
      </w:r>
      <w:r>
        <w:t xml:space="preserve"> early Middle Egyptian</w:t>
      </w:r>
      <w:r w:rsidRPr="006F3B80">
        <w:t>.</w:t>
      </w:r>
    </w:p>
    <w:p w14:paraId="2037E41C" w14:textId="785DBDDC" w:rsidR="006F3B80" w:rsidRDefault="006F3B80" w:rsidP="00507094"/>
    <w:p w14:paraId="3F49901E" w14:textId="1531A8EB" w:rsidR="003A3C71" w:rsidRDefault="003A3C71" w:rsidP="00507094">
      <w:r w:rsidRPr="00953A5C">
        <w:rPr>
          <w:i/>
          <w:iCs/>
        </w:rPr>
        <w:t>Keywords</w:t>
      </w:r>
      <w:r>
        <w:t>: demonstrative pronoun, demonstrative modifier, number-gender marking, Old Egyptian, Middle Egyptian</w:t>
      </w:r>
    </w:p>
    <w:p w14:paraId="22201191" w14:textId="77777777" w:rsidR="006F3B80" w:rsidRDefault="006F3B80" w:rsidP="00507094"/>
    <w:p w14:paraId="093BA563" w14:textId="5CCE103F" w:rsidR="00AF0C14" w:rsidRDefault="00AF0C14" w:rsidP="00EC0BA2">
      <w:r>
        <w:t>Jim Allen is one of my Egyp</w:t>
      </w:r>
      <w:r w:rsidR="00F92048">
        <w:t>t</w:t>
      </w:r>
      <w:r>
        <w:t>ological heroes. They say you should never meet your heroes, but Jim is an exception to that rule. Like so many others, I have benefited from the ho</w:t>
      </w:r>
      <w:r w:rsidR="004C0390">
        <w:t>spitality and friendship which Susan and Jim are famous for. Right from my first international outing, Jim was eager to discuss what I was working on and how it might relate to his own work. All couched in a peer-</w:t>
      </w:r>
      <w:r w:rsidR="001D1AE6">
        <w:t>to-</w:t>
      </w:r>
      <w:r w:rsidR="004C0390">
        <w:t>peer format</w:t>
      </w:r>
      <w:r w:rsidR="00280916">
        <w:t>,</w:t>
      </w:r>
      <w:r w:rsidR="004C0390">
        <w:t xml:space="preserve"> which was anything but in actuality</w:t>
      </w:r>
      <w:r w:rsidR="001D1AE6">
        <w:t>,</w:t>
      </w:r>
      <w:r w:rsidR="004C0390">
        <w:t xml:space="preserve"> but which made me feel welcome in and a part of the research world of Egyptology.</w:t>
      </w:r>
    </w:p>
    <w:p w14:paraId="6C344894" w14:textId="2854AA58" w:rsidR="00AF0C14" w:rsidRDefault="00AF0C14" w:rsidP="00507094"/>
    <w:p w14:paraId="5317C211" w14:textId="4FED943B" w:rsidR="003E3B5D" w:rsidRDefault="003E3B5D" w:rsidP="00507094">
      <w:r>
        <w:t xml:space="preserve">For my contribution to this volume celebrating Jim’s career and his contribution to Egyptology, I would like to discuss </w:t>
      </w:r>
      <w:r w:rsidR="005F2C41">
        <w:t xml:space="preserve">certain features of </w:t>
      </w:r>
      <w:r>
        <w:t xml:space="preserve">the constructionalization of the </w:t>
      </w:r>
      <w:r w:rsidRPr="00132014">
        <w:rPr>
          <w:rFonts w:ascii="Trlit_CG Times" w:hAnsi="Trlit_CG Times"/>
        </w:rPr>
        <w:t>n</w:t>
      </w:r>
      <w:r>
        <w:t xml:space="preserve">-demonstratives of Old Egyptian as they </w:t>
      </w:r>
      <w:r w:rsidR="005B2706">
        <w:t>extended</w:t>
      </w:r>
      <w:r>
        <w:t xml:space="preserve"> from being demonstrative pronouns to becom</w:t>
      </w:r>
      <w:r w:rsidR="00123BC2">
        <w:t>e</w:t>
      </w:r>
      <w:r>
        <w:t xml:space="preserve"> common-plural demonstrative modifiers.</w:t>
      </w:r>
    </w:p>
    <w:p w14:paraId="5A9E8AEF" w14:textId="2C9D051C" w:rsidR="008B61D8" w:rsidRDefault="008B61D8" w:rsidP="00507094"/>
    <w:p w14:paraId="1ED9DCDD" w14:textId="40A6F44B" w:rsidR="003E3B5D" w:rsidRPr="003E3B5D" w:rsidRDefault="000F293B" w:rsidP="00507094">
      <w:pPr>
        <w:rPr>
          <w:b/>
          <w:bCs/>
        </w:rPr>
      </w:pPr>
      <w:r>
        <w:rPr>
          <w:b/>
          <w:bCs/>
        </w:rPr>
        <w:t xml:space="preserve">1. </w:t>
      </w:r>
      <w:r w:rsidR="003E3B5D" w:rsidRPr="003E3B5D">
        <w:rPr>
          <w:b/>
          <w:bCs/>
        </w:rPr>
        <w:t>Introduction</w:t>
      </w:r>
    </w:p>
    <w:p w14:paraId="1153CE6C" w14:textId="7B8D4C46" w:rsidR="00FD5A36" w:rsidRDefault="00FD5A36" w:rsidP="00507094">
      <w:r>
        <w:t xml:space="preserve">One of the characteristic features of Ancient Egyptian from Middle Egyptian through to Coptic is the increasing role of the </w:t>
      </w:r>
      <w:r w:rsidRPr="00FD5A36">
        <w:rPr>
          <w:rFonts w:ascii="Trlit_CG Times" w:hAnsi="Trlit_CG Times"/>
        </w:rPr>
        <w:t>p-</w:t>
      </w:r>
      <w:r>
        <w:t xml:space="preserve">, </w:t>
      </w:r>
      <w:r w:rsidRPr="00FD5A36">
        <w:rPr>
          <w:rFonts w:ascii="Trlit_CG Times" w:hAnsi="Trlit_CG Times"/>
        </w:rPr>
        <w:t>t-</w:t>
      </w:r>
      <w:r>
        <w:t xml:space="preserve">, </w:t>
      </w:r>
      <w:r w:rsidRPr="00FD5A36">
        <w:rPr>
          <w:rFonts w:ascii="Trlit_CG Times" w:hAnsi="Trlit_CG Times"/>
        </w:rPr>
        <w:t>n-</w:t>
      </w:r>
      <w:r>
        <w:t xml:space="preserve"> series of determiners in gender-number marking in the noun phrase.</w:t>
      </w:r>
      <w:r w:rsidR="006E65DC">
        <w:rPr>
          <w:rStyle w:val="FootnoteReference"/>
        </w:rPr>
        <w:footnoteReference w:id="1"/>
      </w:r>
      <w:r>
        <w:t xml:space="preserve"> Th</w:t>
      </w:r>
      <w:r w:rsidR="00121E3B">
        <w:t>e</w:t>
      </w:r>
      <w:r>
        <w:t xml:space="preserve"> 3-term series mark</w:t>
      </w:r>
      <w:r w:rsidR="00A01A34">
        <w:t xml:space="preserve">s: </w:t>
      </w:r>
      <w:r>
        <w:t>masculine singular (</w:t>
      </w:r>
      <w:r w:rsidRPr="00FD5A36">
        <w:rPr>
          <w:rFonts w:ascii="Trlit_CG Times" w:hAnsi="Trlit_CG Times"/>
        </w:rPr>
        <w:t>p-</w:t>
      </w:r>
      <w:r>
        <w:t>)</w:t>
      </w:r>
      <w:r w:rsidR="00A01A34">
        <w:t xml:space="preserve">, </w:t>
      </w:r>
      <w:r>
        <w:t>feminine singular (</w:t>
      </w:r>
      <w:r w:rsidRPr="00FD5A36">
        <w:rPr>
          <w:rFonts w:ascii="Trlit_CG Times" w:hAnsi="Trlit_CG Times"/>
        </w:rPr>
        <w:t>t-</w:t>
      </w:r>
      <w:r>
        <w:t>)</w:t>
      </w:r>
      <w:r w:rsidR="00640E96">
        <w:t>,</w:t>
      </w:r>
      <w:r>
        <w:t xml:space="preserve"> and a common plural (</w:t>
      </w:r>
      <w:r w:rsidRPr="00FD5A36">
        <w:rPr>
          <w:rFonts w:ascii="Trlit_CG Times" w:hAnsi="Trlit_CG Times"/>
        </w:rPr>
        <w:t>n-</w:t>
      </w:r>
      <w:r>
        <w:t xml:space="preserve">). </w:t>
      </w:r>
      <w:r w:rsidR="00235D7E">
        <w:t xml:space="preserve">Over an extensive period of time, this prefixal 3-term series </w:t>
      </w:r>
      <w:r w:rsidR="00883024">
        <w:t xml:space="preserve">co-exists with and then </w:t>
      </w:r>
      <w:r w:rsidR="00235D7E">
        <w:t>supersedes the older suffixal marking of number and gender, centred on the noun itself.</w:t>
      </w:r>
      <w:r w:rsidR="00235D7E" w:rsidRPr="00235D7E">
        <w:rPr>
          <w:rStyle w:val="FootnoteReference"/>
        </w:rPr>
        <w:t xml:space="preserve"> </w:t>
      </w:r>
      <w:r w:rsidR="00235D7E">
        <w:rPr>
          <w:rStyle w:val="FootnoteReference"/>
        </w:rPr>
        <w:footnoteReference w:id="2"/>
      </w:r>
      <w:r w:rsidR="00235D7E" w:rsidRPr="00640E96">
        <w:t xml:space="preserve"> </w:t>
      </w:r>
      <w:r w:rsidR="00235D7E">
        <w:t>This older suffixal system originally</w:t>
      </w:r>
      <w:r w:rsidR="0056252E">
        <w:t xml:space="preserve"> </w:t>
      </w:r>
      <w:r w:rsidR="00235D7E">
        <w:t>in Old Egyptian distinguishes masculine and feminine gender in singular, plural and dual numbers. So,</w:t>
      </w:r>
      <w:r w:rsidR="006E65DC">
        <w:t xml:space="preserve"> </w:t>
      </w:r>
      <w:r w:rsidR="00B27696">
        <w:t xml:space="preserve">in terms of plural marking, </w:t>
      </w:r>
      <w:r w:rsidR="00235D7E">
        <w:t>over time an original system of masculine and feminine plural</w:t>
      </w:r>
      <w:r w:rsidR="00883024">
        <w:t xml:space="preserve"> first co-exists with and</w:t>
      </w:r>
      <w:r w:rsidR="00235D7E">
        <w:t xml:space="preserve"> is </w:t>
      </w:r>
      <w:r w:rsidR="00883024">
        <w:t xml:space="preserve">then superseded by a common-plural marking as the dominant marking system. </w:t>
      </w:r>
    </w:p>
    <w:p w14:paraId="5547B5A9" w14:textId="6E1C73C1" w:rsidR="00CF310C" w:rsidRDefault="00CF310C" w:rsidP="00ED223F">
      <w:pPr>
        <w:ind w:firstLine="720"/>
      </w:pPr>
      <w:r>
        <w:t>One key element in this change is the rise of common</w:t>
      </w:r>
      <w:r w:rsidR="00121E3B">
        <w:t>-</w:t>
      </w:r>
      <w:r>
        <w:t xml:space="preserve">plural number-gender marking through the </w:t>
      </w:r>
      <w:r w:rsidRPr="00121E3B">
        <w:rPr>
          <w:rFonts w:ascii="Trlit_CG Times" w:hAnsi="Trlit_CG Times"/>
        </w:rPr>
        <w:t>n</w:t>
      </w:r>
      <w:r>
        <w:t>-</w:t>
      </w:r>
      <w:r w:rsidR="00E932DD">
        <w:t>determiners</w:t>
      </w:r>
      <w:r>
        <w:t xml:space="preserve">. </w:t>
      </w:r>
      <w:r w:rsidR="00823BB6">
        <w:t>We are in the fortunate position that in Old Egyptian through to Middle Egyptian we have reasonable</w:t>
      </w:r>
      <w:r w:rsidR="00132014">
        <w:t xml:space="preserve"> </w:t>
      </w:r>
      <w:r w:rsidR="00823BB6">
        <w:t xml:space="preserve">evidence </w:t>
      </w:r>
      <w:r w:rsidR="00121E3B">
        <w:t>for</w:t>
      </w:r>
      <w:r w:rsidR="00823BB6">
        <w:t xml:space="preserve"> </w:t>
      </w:r>
      <w:r w:rsidR="00B16315">
        <w:t>the development of this</w:t>
      </w:r>
      <w:r w:rsidR="00823BB6">
        <w:t xml:space="preserve"> </w:t>
      </w:r>
      <w:r w:rsidR="00650B83">
        <w:t xml:space="preserve">series of </w:t>
      </w:r>
      <w:r w:rsidR="00823BB6">
        <w:t>new common</w:t>
      </w:r>
      <w:r w:rsidR="00121E3B">
        <w:t>-</w:t>
      </w:r>
      <w:r w:rsidR="00823BB6">
        <w:t xml:space="preserve">plural </w:t>
      </w:r>
      <w:r w:rsidR="00650B83">
        <w:t>determiners</w:t>
      </w:r>
      <w:r w:rsidR="00B16315">
        <w:t>.</w:t>
      </w:r>
      <w:r w:rsidR="0070008C">
        <w:t xml:space="preserve"> </w:t>
      </w:r>
    </w:p>
    <w:p w14:paraId="13BB6388" w14:textId="77777777" w:rsidR="00CF310C" w:rsidRDefault="00CF310C" w:rsidP="00507094"/>
    <w:p w14:paraId="372C574A" w14:textId="1D229591" w:rsidR="00FD5A36" w:rsidRPr="003775C7" w:rsidRDefault="000F293B" w:rsidP="00507094">
      <w:pPr>
        <w:rPr>
          <w:b/>
          <w:bCs/>
        </w:rPr>
      </w:pPr>
      <w:r>
        <w:rPr>
          <w:b/>
          <w:bCs/>
        </w:rPr>
        <w:t xml:space="preserve">2. </w:t>
      </w:r>
      <w:r w:rsidR="0070008C" w:rsidRPr="003775C7">
        <w:rPr>
          <w:b/>
          <w:bCs/>
        </w:rPr>
        <w:t>Old Egyptian</w:t>
      </w:r>
    </w:p>
    <w:p w14:paraId="368A78FF" w14:textId="651D5142" w:rsidR="00A5416B" w:rsidRPr="003775C7" w:rsidRDefault="000F293B" w:rsidP="00507094">
      <w:pPr>
        <w:rPr>
          <w:b/>
          <w:bCs/>
        </w:rPr>
      </w:pPr>
      <w:r>
        <w:rPr>
          <w:b/>
          <w:bCs/>
        </w:rPr>
        <w:t xml:space="preserve">2.1 </w:t>
      </w:r>
      <w:r w:rsidR="00A5416B" w:rsidRPr="003775C7">
        <w:rPr>
          <w:b/>
          <w:bCs/>
        </w:rPr>
        <w:t>Demonstrative Modifiers</w:t>
      </w:r>
      <w:r w:rsidR="001107DE" w:rsidRPr="003775C7">
        <w:rPr>
          <w:b/>
          <w:bCs/>
        </w:rPr>
        <w:t xml:space="preserve"> in Old Egyptian</w:t>
      </w:r>
    </w:p>
    <w:p w14:paraId="6ECAF3CE" w14:textId="28C05F57" w:rsidR="00121E3B" w:rsidRDefault="001015CD" w:rsidP="00507094">
      <w:r>
        <w:lastRenderedPageBreak/>
        <w:t>In Old Egyptian, the predominant demonstrative system is one which distinguishes in form between demonstrative modifiers and demonstrative pronouns</w:t>
      </w:r>
      <w:r w:rsidR="00121E3B">
        <w:t>:</w:t>
      </w:r>
      <w:r w:rsidR="003570F4">
        <w:rPr>
          <w:rStyle w:val="FootnoteReference"/>
        </w:rPr>
        <w:footnoteReference w:id="3"/>
      </w:r>
    </w:p>
    <w:p w14:paraId="49E79404" w14:textId="77777777" w:rsidR="00121E3B" w:rsidRDefault="00121E3B" w:rsidP="00121E3B"/>
    <w:tbl>
      <w:tblPr>
        <w:tblStyle w:val="TableGrid"/>
        <w:tblW w:w="0" w:type="auto"/>
        <w:jc w:val="center"/>
        <w:tblLook w:val="04A0" w:firstRow="1" w:lastRow="0" w:firstColumn="1" w:lastColumn="0" w:noHBand="0" w:noVBand="1"/>
      </w:tblPr>
      <w:tblGrid>
        <w:gridCol w:w="1134"/>
        <w:gridCol w:w="2252"/>
        <w:gridCol w:w="2253"/>
        <w:gridCol w:w="2720"/>
      </w:tblGrid>
      <w:tr w:rsidR="00121E3B" w14:paraId="124C9173" w14:textId="77777777" w:rsidTr="00C65381">
        <w:trPr>
          <w:jc w:val="center"/>
        </w:trPr>
        <w:tc>
          <w:tcPr>
            <w:tcW w:w="1134" w:type="dxa"/>
          </w:tcPr>
          <w:p w14:paraId="54264C7F" w14:textId="77777777" w:rsidR="00121E3B" w:rsidRDefault="00121E3B" w:rsidP="00C65381">
            <w:pPr>
              <w:jc w:val="center"/>
            </w:pPr>
          </w:p>
        </w:tc>
        <w:tc>
          <w:tcPr>
            <w:tcW w:w="4505" w:type="dxa"/>
            <w:gridSpan w:val="2"/>
          </w:tcPr>
          <w:p w14:paraId="5C518551" w14:textId="77777777" w:rsidR="00121E3B" w:rsidRDefault="00121E3B" w:rsidP="00C65381">
            <w:pPr>
              <w:jc w:val="center"/>
            </w:pPr>
            <w:r>
              <w:t>demonstrative modifier</w:t>
            </w:r>
          </w:p>
        </w:tc>
        <w:tc>
          <w:tcPr>
            <w:tcW w:w="2720" w:type="dxa"/>
          </w:tcPr>
          <w:p w14:paraId="3E7464D2" w14:textId="77777777" w:rsidR="00121E3B" w:rsidRDefault="00121E3B" w:rsidP="00C65381">
            <w:pPr>
              <w:jc w:val="center"/>
            </w:pPr>
            <w:r>
              <w:t>demonstrative pronoun</w:t>
            </w:r>
          </w:p>
        </w:tc>
      </w:tr>
      <w:tr w:rsidR="00121E3B" w14:paraId="557FDB74" w14:textId="77777777" w:rsidTr="00C65381">
        <w:trPr>
          <w:jc w:val="center"/>
        </w:trPr>
        <w:tc>
          <w:tcPr>
            <w:tcW w:w="1134" w:type="dxa"/>
          </w:tcPr>
          <w:p w14:paraId="1E74B55B" w14:textId="77777777" w:rsidR="00121E3B" w:rsidRDefault="00121E3B" w:rsidP="00C65381">
            <w:pPr>
              <w:jc w:val="center"/>
            </w:pPr>
          </w:p>
        </w:tc>
        <w:tc>
          <w:tcPr>
            <w:tcW w:w="2252" w:type="dxa"/>
          </w:tcPr>
          <w:p w14:paraId="7E5E2FF5" w14:textId="77777777" w:rsidR="00121E3B" w:rsidRDefault="00121E3B" w:rsidP="00C65381">
            <w:pPr>
              <w:jc w:val="center"/>
            </w:pPr>
            <w:r>
              <w:t>sg</w:t>
            </w:r>
          </w:p>
        </w:tc>
        <w:tc>
          <w:tcPr>
            <w:tcW w:w="2253" w:type="dxa"/>
          </w:tcPr>
          <w:p w14:paraId="7E62CA47" w14:textId="77777777" w:rsidR="00121E3B" w:rsidRDefault="00121E3B" w:rsidP="00C65381">
            <w:pPr>
              <w:jc w:val="center"/>
            </w:pPr>
            <w:r>
              <w:t>pl &amp; dual</w:t>
            </w:r>
          </w:p>
        </w:tc>
        <w:tc>
          <w:tcPr>
            <w:tcW w:w="2720" w:type="dxa"/>
          </w:tcPr>
          <w:p w14:paraId="2EF704CC" w14:textId="77777777" w:rsidR="00121E3B" w:rsidRDefault="00121E3B" w:rsidP="00C65381">
            <w:pPr>
              <w:jc w:val="center"/>
            </w:pPr>
            <w:r>
              <w:t>common/invariant</w:t>
            </w:r>
          </w:p>
        </w:tc>
      </w:tr>
      <w:tr w:rsidR="00121E3B" w14:paraId="5F670E95" w14:textId="77777777" w:rsidTr="00C65381">
        <w:trPr>
          <w:jc w:val="center"/>
        </w:trPr>
        <w:tc>
          <w:tcPr>
            <w:tcW w:w="1134" w:type="dxa"/>
          </w:tcPr>
          <w:p w14:paraId="2512C6B6" w14:textId="77777777" w:rsidR="00121E3B" w:rsidRDefault="00121E3B" w:rsidP="00C65381">
            <w:pPr>
              <w:jc w:val="center"/>
            </w:pPr>
            <w:r>
              <w:t>m</w:t>
            </w:r>
          </w:p>
        </w:tc>
        <w:tc>
          <w:tcPr>
            <w:tcW w:w="2252" w:type="dxa"/>
          </w:tcPr>
          <w:p w14:paraId="5C5DF83A" w14:textId="77777777" w:rsidR="00121E3B" w:rsidRPr="00121E3B" w:rsidRDefault="00121E3B" w:rsidP="00C65381">
            <w:pPr>
              <w:jc w:val="center"/>
              <w:rPr>
                <w:rFonts w:ascii="Trlit_CG Times" w:hAnsi="Trlit_CG Times"/>
              </w:rPr>
            </w:pPr>
            <w:r w:rsidRPr="00121E3B">
              <w:rPr>
                <w:rFonts w:ascii="Trlit_CG Times" w:hAnsi="Trlit_CG Times"/>
              </w:rPr>
              <w:t>p-</w:t>
            </w:r>
          </w:p>
        </w:tc>
        <w:tc>
          <w:tcPr>
            <w:tcW w:w="2253" w:type="dxa"/>
          </w:tcPr>
          <w:p w14:paraId="1C08A72F" w14:textId="77777777" w:rsidR="00121E3B" w:rsidRPr="00121E3B" w:rsidRDefault="00121E3B" w:rsidP="00C65381">
            <w:pPr>
              <w:jc w:val="center"/>
              <w:rPr>
                <w:rFonts w:ascii="Trlit_CG Times" w:hAnsi="Trlit_CG Times"/>
              </w:rPr>
            </w:pPr>
            <w:r w:rsidRPr="00121E3B">
              <w:rPr>
                <w:rFonts w:ascii="Trlit_CG Times" w:hAnsi="Trlit_CG Times"/>
              </w:rPr>
              <w:t>ip-</w:t>
            </w:r>
          </w:p>
        </w:tc>
        <w:tc>
          <w:tcPr>
            <w:tcW w:w="2720" w:type="dxa"/>
            <w:vMerge w:val="restart"/>
            <w:vAlign w:val="center"/>
          </w:tcPr>
          <w:p w14:paraId="13026EF3" w14:textId="77777777" w:rsidR="00121E3B" w:rsidRPr="00121E3B" w:rsidRDefault="00121E3B" w:rsidP="00C65381">
            <w:pPr>
              <w:jc w:val="center"/>
              <w:rPr>
                <w:rFonts w:ascii="Trlit_CG Times" w:hAnsi="Trlit_CG Times"/>
              </w:rPr>
            </w:pPr>
            <w:r w:rsidRPr="00121E3B">
              <w:rPr>
                <w:rFonts w:ascii="Trlit_CG Times" w:hAnsi="Trlit_CG Times"/>
              </w:rPr>
              <w:t>n-</w:t>
            </w:r>
          </w:p>
        </w:tc>
      </w:tr>
      <w:tr w:rsidR="00121E3B" w14:paraId="4CE8F223" w14:textId="77777777" w:rsidTr="00C65381">
        <w:trPr>
          <w:jc w:val="center"/>
        </w:trPr>
        <w:tc>
          <w:tcPr>
            <w:tcW w:w="1134" w:type="dxa"/>
          </w:tcPr>
          <w:p w14:paraId="0FA74DB6" w14:textId="77777777" w:rsidR="00121E3B" w:rsidRDefault="00121E3B" w:rsidP="00C65381">
            <w:pPr>
              <w:jc w:val="center"/>
            </w:pPr>
            <w:r>
              <w:t>f</w:t>
            </w:r>
          </w:p>
        </w:tc>
        <w:tc>
          <w:tcPr>
            <w:tcW w:w="2252" w:type="dxa"/>
          </w:tcPr>
          <w:p w14:paraId="205D01F5" w14:textId="77777777" w:rsidR="00121E3B" w:rsidRPr="00121E3B" w:rsidRDefault="00121E3B" w:rsidP="00C65381">
            <w:pPr>
              <w:jc w:val="center"/>
              <w:rPr>
                <w:rFonts w:ascii="Trlit_CG Times" w:hAnsi="Trlit_CG Times"/>
              </w:rPr>
            </w:pPr>
            <w:r w:rsidRPr="00121E3B">
              <w:rPr>
                <w:rFonts w:ascii="Trlit_CG Times" w:hAnsi="Trlit_CG Times"/>
              </w:rPr>
              <w:t>t-</w:t>
            </w:r>
          </w:p>
        </w:tc>
        <w:tc>
          <w:tcPr>
            <w:tcW w:w="2253" w:type="dxa"/>
          </w:tcPr>
          <w:p w14:paraId="2B20C861" w14:textId="77777777" w:rsidR="00121E3B" w:rsidRPr="00121E3B" w:rsidRDefault="00121E3B" w:rsidP="00C65381">
            <w:pPr>
              <w:jc w:val="center"/>
              <w:rPr>
                <w:rFonts w:ascii="Trlit_CG Times" w:hAnsi="Trlit_CG Times"/>
              </w:rPr>
            </w:pPr>
            <w:r w:rsidRPr="00121E3B">
              <w:rPr>
                <w:rFonts w:ascii="Trlit_CG Times" w:hAnsi="Trlit_CG Times"/>
              </w:rPr>
              <w:t>ipt-</w:t>
            </w:r>
          </w:p>
        </w:tc>
        <w:tc>
          <w:tcPr>
            <w:tcW w:w="2720" w:type="dxa"/>
            <w:vMerge/>
          </w:tcPr>
          <w:p w14:paraId="23B409CE" w14:textId="77777777" w:rsidR="00121E3B" w:rsidRDefault="00121E3B" w:rsidP="00C65381"/>
        </w:tc>
      </w:tr>
    </w:tbl>
    <w:p w14:paraId="1F9DFB70" w14:textId="77777777" w:rsidR="00121E3B" w:rsidRDefault="00121E3B" w:rsidP="00121E3B"/>
    <w:p w14:paraId="6477F62D" w14:textId="46D4540D" w:rsidR="00FD5A36" w:rsidRDefault="001015CD" w:rsidP="00507094">
      <w:r>
        <w:t>The demonstrative modifiers (i.e. demonstrative</w:t>
      </w:r>
      <w:r w:rsidR="00E80841">
        <w:t>s</w:t>
      </w:r>
      <w:r>
        <w:t xml:space="preserve"> used in combination with a noun, with which the demonstrative agre</w:t>
      </w:r>
      <w:r w:rsidR="00611F21">
        <w:t>e</w:t>
      </w:r>
      <w:r>
        <w:t>s in number and gender</w:t>
      </w:r>
      <w:r w:rsidR="00C70A0F">
        <w:t xml:space="preserve"> in Old Egyptian</w:t>
      </w:r>
      <w:r>
        <w:t xml:space="preserve">) are </w:t>
      </w:r>
      <w:r w:rsidR="00611F21">
        <w:t>composed of</w:t>
      </w:r>
      <w:r>
        <w:t xml:space="preserve"> a prefixal number-gender marker</w:t>
      </w:r>
      <w:r w:rsidR="00BB6DEA">
        <w:t xml:space="preserve"> </w:t>
      </w:r>
      <w:r w:rsidR="000C2C2C">
        <w:t>plus</w:t>
      </w:r>
      <w:r>
        <w:t xml:space="preserve"> a demonstrative base (distinguishing the various demonstratives from each other</w:t>
      </w:r>
      <w:r w:rsidR="008D2E0E">
        <w:t>; in Old Egyptian the most common demonstratives</w:t>
      </w:r>
      <w:r w:rsidR="00C34CE0">
        <w:t xml:space="preserve"> </w:t>
      </w:r>
      <w:r w:rsidR="008D2E0E">
        <w:t xml:space="preserve">are the </w:t>
      </w:r>
      <w:r w:rsidR="008D2E0E" w:rsidRPr="008D2E0E">
        <w:rPr>
          <w:rFonts w:ascii="Trlit_CG Times" w:hAnsi="Trlit_CG Times"/>
        </w:rPr>
        <w:t>pn</w:t>
      </w:r>
      <w:r w:rsidR="008D2E0E">
        <w:t xml:space="preserve">, </w:t>
      </w:r>
      <w:r w:rsidR="008D2E0E" w:rsidRPr="008D2E0E">
        <w:rPr>
          <w:rFonts w:ascii="Trlit_CG Times" w:hAnsi="Trlit_CG Times"/>
        </w:rPr>
        <w:t>pw</w:t>
      </w:r>
      <w:r w:rsidR="008D2E0E">
        <w:t xml:space="preserve"> and </w:t>
      </w:r>
      <w:r w:rsidR="008D2E0E" w:rsidRPr="008D2E0E">
        <w:rPr>
          <w:rFonts w:ascii="Trlit_CG Times" w:hAnsi="Trlit_CG Times"/>
        </w:rPr>
        <w:t>pf</w:t>
      </w:r>
      <w:r w:rsidR="008D2E0E">
        <w:t xml:space="preserve"> series of demonstratives</w:t>
      </w:r>
      <w:r w:rsidR="00C34CE0">
        <w:t>, quoted here in their masculine singular form</w:t>
      </w:r>
      <w:r w:rsidR="00E80841">
        <w:t>)</w:t>
      </w:r>
      <w:r w:rsidR="000C2C2C">
        <w:t>.</w:t>
      </w:r>
      <w:r w:rsidR="008D2E0E">
        <w:rPr>
          <w:rStyle w:val="FootnoteReference"/>
        </w:rPr>
        <w:footnoteReference w:id="4"/>
      </w:r>
      <w:r w:rsidR="000C2C2C">
        <w:t xml:space="preserve"> T</w:t>
      </w:r>
      <w:r w:rsidR="00BB6DEA">
        <w:t>he table above shows the prefixal component common to the different demonstratives</w:t>
      </w:r>
      <w:r w:rsidR="000C2C2C">
        <w:t>.</w:t>
      </w:r>
      <w:r w:rsidR="000C2C2C">
        <w:rPr>
          <w:rStyle w:val="FootnoteReference"/>
        </w:rPr>
        <w:footnoteReference w:id="5"/>
      </w:r>
    </w:p>
    <w:p w14:paraId="62FF3D0C" w14:textId="34BD68D0" w:rsidR="001015CD" w:rsidRDefault="00121E3B" w:rsidP="00544FAA">
      <w:pPr>
        <w:ind w:firstLine="720"/>
      </w:pPr>
      <w:r>
        <w:t>So</w:t>
      </w:r>
      <w:r w:rsidRPr="00121E3B">
        <w:t xml:space="preserve">, the </w:t>
      </w:r>
      <w:r w:rsidR="00544FAA">
        <w:t xml:space="preserve">Old </w:t>
      </w:r>
      <w:r w:rsidR="00B27696">
        <w:t>Egyptian</w:t>
      </w:r>
      <w:r w:rsidR="00544FAA">
        <w:t xml:space="preserve"> </w:t>
      </w:r>
      <w:r w:rsidRPr="00121E3B">
        <w:t xml:space="preserve">singular forms </w:t>
      </w:r>
      <w:r w:rsidR="009368E5">
        <w:t xml:space="preserve">of demonstrative modifiers </w:t>
      </w:r>
      <w:r w:rsidRPr="00121E3B">
        <w:t xml:space="preserve">already reflect the </w:t>
      </w:r>
      <w:r w:rsidRPr="00121E3B">
        <w:rPr>
          <w:rFonts w:ascii="Trlit_CG Times" w:hAnsi="Trlit_CG Times"/>
        </w:rPr>
        <w:t>p-</w:t>
      </w:r>
      <w:r>
        <w:rPr>
          <w:rFonts w:ascii="Trlit_CG Times" w:hAnsi="Trlit_CG Times"/>
        </w:rPr>
        <w:t xml:space="preserve"> </w:t>
      </w:r>
      <w:r w:rsidRPr="00121E3B">
        <w:t>for masculine</w:t>
      </w:r>
      <w:r>
        <w:t xml:space="preserve"> singular and </w:t>
      </w:r>
      <w:r w:rsidRPr="00121E3B">
        <w:rPr>
          <w:rFonts w:ascii="Trlit_CG Times" w:hAnsi="Trlit_CG Times"/>
        </w:rPr>
        <w:t>t-</w:t>
      </w:r>
      <w:r>
        <w:t xml:space="preserve"> for </w:t>
      </w:r>
      <w:r w:rsidRPr="00121E3B">
        <w:t xml:space="preserve">feminine </w:t>
      </w:r>
      <w:r>
        <w:t xml:space="preserve">singular </w:t>
      </w:r>
      <w:r w:rsidRPr="00121E3B">
        <w:t>system we see later for demonstratives and their relations</w:t>
      </w:r>
      <w:r w:rsidR="00D373CF">
        <w:t>. However, for</w:t>
      </w:r>
      <w:r w:rsidRPr="00121E3B">
        <w:t xml:space="preserve"> the plural </w:t>
      </w:r>
      <w:r w:rsidR="006F28CB">
        <w:t>(</w:t>
      </w:r>
      <w:r w:rsidR="00B82739">
        <w:t>&amp; dual</w:t>
      </w:r>
      <w:r w:rsidR="006F28CB">
        <w:t>; see below)</w:t>
      </w:r>
      <w:r w:rsidR="00D373CF">
        <w:t>, there</w:t>
      </w:r>
      <w:r w:rsidR="00B82739">
        <w:t xml:space="preserve"> </w:t>
      </w:r>
      <w:r w:rsidR="00D373CF">
        <w:t>are</w:t>
      </w:r>
      <w:r w:rsidRPr="00121E3B">
        <w:t xml:space="preserve"> separate forms for the masculine and feminine</w:t>
      </w:r>
      <w:r w:rsidR="00544FAA">
        <w:t xml:space="preserve">, which </w:t>
      </w:r>
      <w:r w:rsidR="00BC027A">
        <w:t>aligns</w:t>
      </w:r>
      <w:r w:rsidR="00544FAA">
        <w:t xml:space="preserve"> with the </w:t>
      </w:r>
      <w:r w:rsidR="009368E5">
        <w:t xml:space="preserve">distinctions in </w:t>
      </w:r>
      <w:r w:rsidR="00D373CF">
        <w:t xml:space="preserve">the </w:t>
      </w:r>
      <w:r w:rsidR="00544FAA">
        <w:t xml:space="preserve">suffixal number-gender marking system found on the noun </w:t>
      </w:r>
      <w:r w:rsidR="009368E5">
        <w:t>(</w:t>
      </w:r>
      <w:r w:rsidR="00544FAA">
        <w:t>and its other dependents under agreement</w:t>
      </w:r>
      <w:r w:rsidR="009368E5">
        <w:t>), where masculine and feminine plurals (and duals) are distinguished in Old Egyptian</w:t>
      </w:r>
      <w:r w:rsidRPr="00121E3B">
        <w:t>.</w:t>
      </w:r>
      <w:r w:rsidR="00DD4DBF">
        <w:rPr>
          <w:rStyle w:val="FootnoteReference"/>
        </w:rPr>
        <w:footnoteReference w:id="6"/>
      </w:r>
      <w:r w:rsidRPr="00121E3B">
        <w:t xml:space="preserve"> The plural is marked by the </w:t>
      </w:r>
      <w:r w:rsidR="006F28CB">
        <w:t xml:space="preserve">additional </w:t>
      </w:r>
      <w:r w:rsidRPr="00121E3B">
        <w:t xml:space="preserve">prefix </w:t>
      </w:r>
      <w:r w:rsidRPr="00121E3B">
        <w:rPr>
          <w:rFonts w:ascii="Trlit_CG Times" w:hAnsi="Trlit_CG Times"/>
        </w:rPr>
        <w:t>i(p)-</w:t>
      </w:r>
      <w:r w:rsidRPr="00121E3B">
        <w:t xml:space="preserve"> (possibly just </w:t>
      </w:r>
      <w:r w:rsidRPr="00121E3B">
        <w:rPr>
          <w:rFonts w:ascii="Trlit_CG Times" w:hAnsi="Trlit_CG Times"/>
        </w:rPr>
        <w:t>ip-</w:t>
      </w:r>
      <w:r w:rsidRPr="00121E3B">
        <w:t xml:space="preserve"> if the masculine plural writings reflect forms such as *</w:t>
      </w:r>
      <w:r w:rsidRPr="00121E3B">
        <w:rPr>
          <w:rFonts w:ascii="Trlit_CG Times" w:hAnsi="Trlit_CG Times"/>
        </w:rPr>
        <w:t>ippn</w:t>
      </w:r>
      <w:r w:rsidRPr="00121E3B">
        <w:t>, *</w:t>
      </w:r>
      <w:r w:rsidRPr="00121E3B">
        <w:rPr>
          <w:rFonts w:ascii="Trlit_CG Times" w:hAnsi="Trlit_CG Times"/>
        </w:rPr>
        <w:t>ippw</w:t>
      </w:r>
      <w:r w:rsidRPr="00121E3B">
        <w:t>, *</w:t>
      </w:r>
      <w:r w:rsidRPr="00121E3B">
        <w:rPr>
          <w:rFonts w:ascii="Trlit_CG Times" w:hAnsi="Trlit_CG Times"/>
        </w:rPr>
        <w:t>ippf</w:t>
      </w:r>
      <w:r w:rsidRPr="00121E3B">
        <w:t>).</w:t>
      </w:r>
      <w:r w:rsidR="003570F4">
        <w:rPr>
          <w:rStyle w:val="FootnoteReference"/>
        </w:rPr>
        <w:footnoteReference w:id="7"/>
      </w:r>
      <w:r w:rsidR="000F293B">
        <w:t xml:space="preserve"> </w:t>
      </w:r>
      <w:r w:rsidR="00D32CC7">
        <w:t xml:space="preserve">The existence of a </w:t>
      </w:r>
      <w:r w:rsidR="000F293B">
        <w:t xml:space="preserve">separate </w:t>
      </w:r>
      <w:r w:rsidR="00D32CC7">
        <w:t xml:space="preserve">dual </w:t>
      </w:r>
      <w:r w:rsidR="000F293B">
        <w:t xml:space="preserve">form is </w:t>
      </w:r>
      <w:r w:rsidR="00BE3C07">
        <w:t>likely, though not straightforward to demonstrate for Old Egyptian</w:t>
      </w:r>
      <w:r w:rsidR="000F293B">
        <w:t xml:space="preserve">. </w:t>
      </w:r>
      <w:r w:rsidR="00BE3C07">
        <w:t>However, g</w:t>
      </w:r>
      <w:r w:rsidR="000F293B">
        <w:t xml:space="preserve">iven the </w:t>
      </w:r>
      <w:r w:rsidR="00BE3C07">
        <w:t xml:space="preserve">slightly later </w:t>
      </w:r>
      <w:r w:rsidR="000F293B">
        <w:t xml:space="preserve">Coffin Text evidence, </w:t>
      </w:r>
      <w:r w:rsidR="00B50B2F">
        <w:t xml:space="preserve">such </w:t>
      </w:r>
      <w:r w:rsidR="000F293B">
        <w:t>a separate dual form seems to be a derivative of, or at least to share the plural prefixal elements from</w:t>
      </w:r>
      <w:r w:rsidR="00B27696">
        <w:t>,</w:t>
      </w:r>
      <w:r w:rsidR="000F293B">
        <w:t xml:space="preserve"> the plural forms, with a</w:t>
      </w:r>
      <w:r w:rsidR="00BE3C07">
        <w:t>n additional</w:t>
      </w:r>
      <w:r w:rsidR="000F293B">
        <w:t xml:space="preserve"> suffixal dual ending </w:t>
      </w:r>
      <w:r w:rsidR="000F293B" w:rsidRPr="000F293B">
        <w:rPr>
          <w:rFonts w:ascii="Trlit_CG Times" w:hAnsi="Trlit_CG Times"/>
        </w:rPr>
        <w:t>-y</w:t>
      </w:r>
      <w:r w:rsidR="000F293B">
        <w:t xml:space="preserve">, </w:t>
      </w:r>
      <w:r w:rsidR="00BE3C07">
        <w:t xml:space="preserve">an ending </w:t>
      </w:r>
      <w:r w:rsidR="000F293B">
        <w:t xml:space="preserve">which </w:t>
      </w:r>
      <w:r w:rsidR="00BE3C07">
        <w:t xml:space="preserve">standardly </w:t>
      </w:r>
      <w:r w:rsidR="000F293B">
        <w:t>is not written in Old Egyptian orthography</w:t>
      </w:r>
      <w:r w:rsidR="00D32CC7">
        <w:t>.</w:t>
      </w:r>
      <w:r w:rsidR="00941C7B">
        <w:rPr>
          <w:rStyle w:val="FootnoteReference"/>
        </w:rPr>
        <w:footnoteReference w:id="8"/>
      </w:r>
    </w:p>
    <w:p w14:paraId="367D8358" w14:textId="77A230EC" w:rsidR="001107DE" w:rsidRDefault="001107DE" w:rsidP="00F814C7">
      <w:pPr>
        <w:ind w:firstLine="720"/>
      </w:pPr>
      <w:r>
        <w:t xml:space="preserve">The </w:t>
      </w:r>
      <w:r w:rsidR="00404131">
        <w:t xml:space="preserve">Old Egyptian </w:t>
      </w:r>
      <w:r>
        <w:t xml:space="preserve">demonstrative modifiers occur after their noun </w:t>
      </w:r>
      <w:r w:rsidR="00404131">
        <w:t xml:space="preserve">(probably as enclitics) </w:t>
      </w:r>
      <w:r>
        <w:t>and</w:t>
      </w:r>
      <w:r w:rsidR="008D25DC">
        <w:t>, as already noted,</w:t>
      </w:r>
      <w:r>
        <w:t xml:space="preserve"> agree with that noun in number and gender</w:t>
      </w:r>
      <w:r w:rsidR="00502974">
        <w:t>, here in singular and plural</w:t>
      </w:r>
      <w:r>
        <w:t>:</w:t>
      </w:r>
    </w:p>
    <w:p w14:paraId="14F38F40" w14:textId="5ECB4178" w:rsidR="001107DE" w:rsidRDefault="001107DE" w:rsidP="00507094"/>
    <w:p w14:paraId="45C2EBB6" w14:textId="7294C7EE" w:rsidR="0005003F" w:rsidRPr="0005003F" w:rsidRDefault="008241CA" w:rsidP="0005003F">
      <w:r w:rsidRPr="008241CA">
        <w:lastRenderedPageBreak/>
        <w:t>Ex. 1.</w:t>
      </w:r>
      <w:r>
        <w:rPr>
          <w:i/>
          <w:iCs/>
        </w:rPr>
        <w:t xml:space="preserve"> </w:t>
      </w:r>
      <w:r w:rsidR="0005003F" w:rsidRPr="0005003F">
        <w:rPr>
          <w:i/>
          <w:iCs/>
        </w:rPr>
        <w:t>Urk</w:t>
      </w:r>
      <w:r w:rsidR="0005003F" w:rsidRPr="0005003F">
        <w:t>. I</w:t>
      </w:r>
      <w:r w:rsidR="00AB61BE">
        <w:t>,</w:t>
      </w:r>
      <w:r w:rsidR="0005003F" w:rsidRPr="0005003F">
        <w:t xml:space="preserve"> 202, 16</w:t>
      </w:r>
      <w:r w:rsidR="0005003F">
        <w:t xml:space="preserve"> (</w:t>
      </w:r>
      <w:r w:rsidR="000878AE">
        <w:t xml:space="preserve">Tomb of </w:t>
      </w:r>
      <w:r w:rsidR="0005003F">
        <w:t>Ankhmahor)</w:t>
      </w:r>
    </w:p>
    <w:p w14:paraId="46F22F4A" w14:textId="5204E366" w:rsidR="0005003F" w:rsidRPr="0005003F" w:rsidRDefault="0005003F" w:rsidP="0005003F">
      <w:pPr>
        <w:rPr>
          <w:rFonts w:ascii="Trlit_CG Times" w:hAnsi="Trlit_CG Times"/>
        </w:rPr>
      </w:pPr>
      <w:r w:rsidRPr="0005003F">
        <w:rPr>
          <w:rFonts w:ascii="Trlit_CG Times" w:hAnsi="Trlit_CG Times"/>
        </w:rPr>
        <w:t xml:space="preserve">zS </w:t>
      </w:r>
      <w:r w:rsidR="00B84E36">
        <w:rPr>
          <w:rFonts w:ascii="Trlit_CG Times" w:hAnsi="Trlit_CG Times"/>
        </w:rPr>
        <w:tab/>
      </w:r>
      <w:r w:rsidR="00B84E36">
        <w:rPr>
          <w:rFonts w:ascii="Trlit_CG Times" w:hAnsi="Trlit_CG Times"/>
        </w:rPr>
        <w:tab/>
      </w:r>
      <w:r w:rsidRPr="0005003F">
        <w:rPr>
          <w:rFonts w:ascii="Trlit_CG Times" w:hAnsi="Trlit_CG Times"/>
          <w:b/>
          <w:bCs/>
        </w:rPr>
        <w:t>pf</w:t>
      </w:r>
      <w:r w:rsidRPr="0005003F">
        <w:rPr>
          <w:rFonts w:ascii="Trlit_CG Times" w:hAnsi="Trlit_CG Times"/>
        </w:rPr>
        <w:t xml:space="preserve"> </w:t>
      </w:r>
      <w:r w:rsidR="00B84E36">
        <w:rPr>
          <w:rFonts w:ascii="Trlit_CG Times" w:hAnsi="Trlit_CG Times"/>
        </w:rPr>
        <w:tab/>
      </w:r>
      <w:r w:rsidR="00B84E36">
        <w:rPr>
          <w:rFonts w:ascii="Trlit_CG Times" w:hAnsi="Trlit_CG Times"/>
        </w:rPr>
        <w:tab/>
      </w:r>
      <w:r w:rsidRPr="0005003F">
        <w:rPr>
          <w:rFonts w:ascii="Trlit_CG Times" w:hAnsi="Trlit_CG Times"/>
        </w:rPr>
        <w:t xml:space="preserve">StA </w:t>
      </w:r>
      <w:r w:rsidRPr="0005003F">
        <w:rPr>
          <w:rFonts w:ascii="Trlit_CG Times" w:hAnsi="Trlit_CG Times"/>
        </w:rPr>
        <w:tab/>
      </w:r>
      <w:r w:rsidRPr="0005003F">
        <w:rPr>
          <w:rFonts w:ascii="Trlit_CG Times" w:hAnsi="Trlit_CG Times"/>
        </w:rPr>
        <w:tab/>
        <w:t xml:space="preserve">n(y) </w:t>
      </w:r>
      <w:r w:rsidR="00B84E36">
        <w:rPr>
          <w:rFonts w:ascii="Trlit_CG Times" w:hAnsi="Trlit_CG Times"/>
        </w:rPr>
        <w:tab/>
      </w:r>
      <w:r w:rsidR="003958F8">
        <w:rPr>
          <w:rFonts w:ascii="Trlit_CG Times" w:hAnsi="Trlit_CG Times"/>
        </w:rPr>
        <w:tab/>
      </w:r>
      <w:r w:rsidRPr="0005003F">
        <w:rPr>
          <w:rFonts w:ascii="Trlit_CG Times" w:hAnsi="Trlit_CG Times"/>
        </w:rPr>
        <w:t xml:space="preserve">Hmt </w:t>
      </w:r>
      <w:r w:rsidR="00B84E36">
        <w:rPr>
          <w:rFonts w:ascii="Trlit_CG Times" w:hAnsi="Trlit_CG Times"/>
        </w:rPr>
        <w:tab/>
      </w:r>
      <w:r w:rsidR="00FC5400">
        <w:rPr>
          <w:rFonts w:ascii="Trlit_CG Times" w:hAnsi="Trlit_CG Times"/>
        </w:rPr>
        <w:tab/>
      </w:r>
      <w:r w:rsidRPr="0005003F">
        <w:rPr>
          <w:rFonts w:ascii="Trlit_CG Times" w:hAnsi="Trlit_CG Times"/>
        </w:rPr>
        <w:t>Xry-Hbt</w:t>
      </w:r>
    </w:p>
    <w:p w14:paraId="3EDE111C" w14:textId="20949CF8" w:rsidR="00B84E36" w:rsidRDefault="00B84E36" w:rsidP="0005003F">
      <w:r>
        <w:t>writing.</w:t>
      </w:r>
      <w:r w:rsidRPr="003958F8">
        <w:rPr>
          <w:smallCaps/>
        </w:rPr>
        <w:t>msg</w:t>
      </w:r>
      <w:r>
        <w:tab/>
      </w:r>
      <w:r w:rsidRPr="003958F8">
        <w:rPr>
          <w:b/>
          <w:bCs/>
          <w:smallCaps/>
        </w:rPr>
        <w:t>dem.msg</w:t>
      </w:r>
      <w:r>
        <w:tab/>
        <w:t>secret.</w:t>
      </w:r>
      <w:r w:rsidRPr="003958F8">
        <w:rPr>
          <w:smallCaps/>
        </w:rPr>
        <w:t>m</w:t>
      </w:r>
      <w:r w:rsidR="003958F8" w:rsidRPr="003958F8">
        <w:rPr>
          <w:smallCaps/>
        </w:rPr>
        <w:t>s</w:t>
      </w:r>
      <w:r w:rsidRPr="003958F8">
        <w:rPr>
          <w:smallCaps/>
        </w:rPr>
        <w:t>g</w:t>
      </w:r>
      <w:r>
        <w:tab/>
        <w:t>of.</w:t>
      </w:r>
      <w:r w:rsidRPr="003958F8">
        <w:rPr>
          <w:smallCaps/>
        </w:rPr>
        <w:t>msg</w:t>
      </w:r>
      <w:r>
        <w:tab/>
      </w:r>
      <w:r w:rsidR="003958F8">
        <w:tab/>
      </w:r>
      <w:r>
        <w:t>craft</w:t>
      </w:r>
      <w:r w:rsidR="00FC5400">
        <w:t>.</w:t>
      </w:r>
      <w:r w:rsidR="00FC5400" w:rsidRPr="003958F8">
        <w:rPr>
          <w:smallCaps/>
        </w:rPr>
        <w:t>fsg</w:t>
      </w:r>
      <w:r>
        <w:tab/>
        <w:t>lector</w:t>
      </w:r>
      <w:r w:rsidR="00FC5400">
        <w:t>.</w:t>
      </w:r>
      <w:r w:rsidR="00FC5400" w:rsidRPr="003958F8">
        <w:rPr>
          <w:smallCaps/>
        </w:rPr>
        <w:t>msg</w:t>
      </w:r>
    </w:p>
    <w:p w14:paraId="10D65315" w14:textId="77777777" w:rsidR="0005003F" w:rsidRPr="0005003F" w:rsidRDefault="0005003F" w:rsidP="0005003F">
      <w:r w:rsidRPr="0005003F">
        <w:t>that secret writing of the craft of the lector-priest</w:t>
      </w:r>
    </w:p>
    <w:p w14:paraId="4622F494" w14:textId="460DA443" w:rsidR="0005003F" w:rsidRDefault="0005003F" w:rsidP="00507094"/>
    <w:p w14:paraId="7B475016" w14:textId="7167F686" w:rsidR="002523C9" w:rsidRPr="002523C9" w:rsidRDefault="008241CA" w:rsidP="002523C9">
      <w:r w:rsidRPr="008241CA">
        <w:t>Ex. 2.</w:t>
      </w:r>
      <w:r>
        <w:rPr>
          <w:i/>
          <w:iCs/>
        </w:rPr>
        <w:t xml:space="preserve"> </w:t>
      </w:r>
      <w:r w:rsidR="002523C9" w:rsidRPr="002523C9">
        <w:rPr>
          <w:i/>
          <w:iCs/>
        </w:rPr>
        <w:t>Urk</w:t>
      </w:r>
      <w:r w:rsidR="002523C9" w:rsidRPr="002523C9">
        <w:t>. I, 202,9</w:t>
      </w:r>
      <w:r w:rsidR="002523C9">
        <w:t xml:space="preserve"> (</w:t>
      </w:r>
      <w:r w:rsidR="00585F9C">
        <w:t xml:space="preserve">Tomb of </w:t>
      </w:r>
      <w:r w:rsidR="002523C9">
        <w:t>Ankhmahor)</w:t>
      </w:r>
      <w:r w:rsidR="002523C9" w:rsidRPr="002523C9">
        <w:t>:</w:t>
      </w:r>
    </w:p>
    <w:p w14:paraId="7B3928A3" w14:textId="00569291" w:rsidR="002523C9" w:rsidRPr="002523C9" w:rsidRDefault="002523C9" w:rsidP="002523C9">
      <w:pPr>
        <w:rPr>
          <w:rFonts w:ascii="Trlit_CG Times" w:hAnsi="Trlit_CG Times"/>
        </w:rPr>
      </w:pPr>
      <w:r w:rsidRPr="002523C9">
        <w:rPr>
          <w:rFonts w:ascii="Trlit_CG Times" w:hAnsi="Trlit_CG Times"/>
        </w:rPr>
        <w:t xml:space="preserve">DADAt </w:t>
      </w:r>
      <w:r w:rsidRPr="002523C9">
        <w:rPr>
          <w:rFonts w:ascii="Trlit_CG Times" w:hAnsi="Trlit_CG Times"/>
        </w:rPr>
        <w:tab/>
      </w:r>
      <w:r w:rsidRPr="002523C9">
        <w:rPr>
          <w:rFonts w:ascii="Trlit_CG Times" w:hAnsi="Trlit_CG Times"/>
        </w:rPr>
        <w:tab/>
      </w:r>
      <w:r w:rsidRPr="002523C9">
        <w:rPr>
          <w:rFonts w:ascii="Trlit_CG Times" w:hAnsi="Trlit_CG Times"/>
          <w:b/>
          <w:bCs/>
        </w:rPr>
        <w:t xml:space="preserve">tf </w:t>
      </w:r>
      <w:r w:rsidRPr="002523C9">
        <w:rPr>
          <w:rFonts w:ascii="Trlit_CG Times" w:hAnsi="Trlit_CG Times"/>
        </w:rPr>
        <w:tab/>
      </w:r>
      <w:r w:rsidRPr="002523C9">
        <w:rPr>
          <w:rFonts w:ascii="Trlit_CG Times" w:hAnsi="Trlit_CG Times"/>
        </w:rPr>
        <w:tab/>
        <w:t xml:space="preserve">Spst </w:t>
      </w:r>
      <w:r w:rsidRPr="002523C9">
        <w:rPr>
          <w:rFonts w:ascii="Trlit_CG Times" w:hAnsi="Trlit_CG Times"/>
        </w:rPr>
        <w:tab/>
      </w:r>
      <w:r w:rsidRPr="002523C9">
        <w:rPr>
          <w:rFonts w:ascii="Trlit_CG Times" w:hAnsi="Trlit_CG Times"/>
        </w:rPr>
        <w:tab/>
        <w:t xml:space="preserve">nt </w:t>
      </w:r>
      <w:r w:rsidR="00FC5400">
        <w:rPr>
          <w:rFonts w:ascii="Trlit_CG Times" w:hAnsi="Trlit_CG Times"/>
        </w:rPr>
        <w:tab/>
      </w:r>
      <w:r w:rsidR="003958F8">
        <w:rPr>
          <w:rFonts w:ascii="Trlit_CG Times" w:hAnsi="Trlit_CG Times"/>
        </w:rPr>
        <w:tab/>
      </w:r>
      <w:r w:rsidRPr="002523C9">
        <w:rPr>
          <w:rFonts w:ascii="Trlit_CG Times" w:hAnsi="Trlit_CG Times"/>
        </w:rPr>
        <w:t xml:space="preserve">nTr </w:t>
      </w:r>
      <w:r w:rsidR="00FC5400">
        <w:rPr>
          <w:rFonts w:ascii="Trlit_CG Times" w:hAnsi="Trlit_CG Times"/>
        </w:rPr>
        <w:tab/>
      </w:r>
      <w:r w:rsidR="00FC5400">
        <w:rPr>
          <w:rFonts w:ascii="Trlit_CG Times" w:hAnsi="Trlit_CG Times"/>
        </w:rPr>
        <w:tab/>
      </w:r>
      <w:r w:rsidRPr="002523C9">
        <w:rPr>
          <w:rFonts w:ascii="Trlit_CG Times" w:hAnsi="Trlit_CG Times"/>
        </w:rPr>
        <w:t>aA</w:t>
      </w:r>
    </w:p>
    <w:p w14:paraId="5AD8E708" w14:textId="14416832" w:rsidR="002523C9" w:rsidRPr="002523C9" w:rsidRDefault="00FC5400" w:rsidP="002523C9">
      <w:r>
        <w:t>c</w:t>
      </w:r>
      <w:r w:rsidR="002523C9" w:rsidRPr="002523C9">
        <w:t>ourt</w:t>
      </w:r>
      <w:r>
        <w:t>.</w:t>
      </w:r>
      <w:r w:rsidRPr="003958F8">
        <w:rPr>
          <w:smallCaps/>
        </w:rPr>
        <w:t>fsg</w:t>
      </w:r>
      <w:r w:rsidR="002523C9" w:rsidRPr="002523C9">
        <w:tab/>
      </w:r>
      <w:r>
        <w:rPr>
          <w:b/>
          <w:bCs/>
        </w:rPr>
        <w:t>dem.</w:t>
      </w:r>
      <w:r w:rsidRPr="003958F8">
        <w:rPr>
          <w:b/>
          <w:bCs/>
          <w:smallCaps/>
        </w:rPr>
        <w:t>fsg</w:t>
      </w:r>
      <w:r w:rsidR="002523C9" w:rsidRPr="002523C9">
        <w:tab/>
        <w:t>august</w:t>
      </w:r>
      <w:r>
        <w:t>.</w:t>
      </w:r>
      <w:r w:rsidRPr="003958F8">
        <w:rPr>
          <w:smallCaps/>
        </w:rPr>
        <w:t>fsg</w:t>
      </w:r>
      <w:r w:rsidR="002523C9" w:rsidRPr="002523C9">
        <w:tab/>
        <w:t>of</w:t>
      </w:r>
      <w:r>
        <w:t>.</w:t>
      </w:r>
      <w:r w:rsidRPr="003958F8">
        <w:rPr>
          <w:smallCaps/>
        </w:rPr>
        <w:t>fsg</w:t>
      </w:r>
      <w:r w:rsidR="002523C9" w:rsidRPr="002523C9">
        <w:t xml:space="preserve"> </w:t>
      </w:r>
      <w:r>
        <w:tab/>
      </w:r>
      <w:r w:rsidR="003958F8">
        <w:tab/>
      </w:r>
      <w:r w:rsidR="002523C9" w:rsidRPr="002523C9">
        <w:t>god</w:t>
      </w:r>
      <w:r>
        <w:t>.</w:t>
      </w:r>
      <w:r w:rsidRPr="003958F8">
        <w:rPr>
          <w:smallCaps/>
        </w:rPr>
        <w:t>msg</w:t>
      </w:r>
      <w:r w:rsidR="002523C9" w:rsidRPr="002523C9">
        <w:t xml:space="preserve"> </w:t>
      </w:r>
      <w:r>
        <w:tab/>
      </w:r>
      <w:r w:rsidR="002523C9" w:rsidRPr="002523C9">
        <w:t>great</w:t>
      </w:r>
      <w:r>
        <w:t>.</w:t>
      </w:r>
      <w:r w:rsidRPr="003958F8">
        <w:rPr>
          <w:smallCaps/>
        </w:rPr>
        <w:t>msg</w:t>
      </w:r>
    </w:p>
    <w:p w14:paraId="5465B1BF" w14:textId="77777777" w:rsidR="002523C9" w:rsidRPr="002523C9" w:rsidRDefault="002523C9" w:rsidP="002523C9">
      <w:r w:rsidRPr="002523C9">
        <w:t>that august court of the great god</w:t>
      </w:r>
    </w:p>
    <w:p w14:paraId="146377A8" w14:textId="7366F12C" w:rsidR="0005003F" w:rsidRDefault="0005003F" w:rsidP="00507094"/>
    <w:p w14:paraId="7631C1F6" w14:textId="61DF68B1" w:rsidR="002523C9" w:rsidRPr="002523C9" w:rsidRDefault="008241CA" w:rsidP="002523C9">
      <w:r>
        <w:t xml:space="preserve">Ex. 3. </w:t>
      </w:r>
      <w:r w:rsidR="000B001B">
        <w:t xml:space="preserve">Tomb of </w:t>
      </w:r>
      <w:r w:rsidR="002523C9" w:rsidRPr="002523C9">
        <w:t>Niankhkhnum &amp; Khnumhotep</w:t>
      </w:r>
      <w:r w:rsidR="002523C9">
        <w:t xml:space="preserve"> </w:t>
      </w:r>
      <w:r w:rsidR="000B001B">
        <w:t>(</w:t>
      </w:r>
      <w:r w:rsidR="003958F8">
        <w:t xml:space="preserve">Moussa and </w:t>
      </w:r>
      <w:r w:rsidR="000B001B">
        <w:t xml:space="preserve">Altenmüller, </w:t>
      </w:r>
      <w:r w:rsidR="009E3BB7" w:rsidRPr="009E3BB7">
        <w:rPr>
          <w:i/>
          <w:iCs/>
        </w:rPr>
        <w:t>Grab des Nianchchnum und Chnumhotep</w:t>
      </w:r>
      <w:r w:rsidR="009E3BB7">
        <w:t xml:space="preserve">, </w:t>
      </w:r>
      <w:r w:rsidR="000B001B">
        <w:t>pl. 28)</w:t>
      </w:r>
    </w:p>
    <w:p w14:paraId="6DEAEF8D" w14:textId="787ABEF8" w:rsidR="002523C9" w:rsidRPr="002523C9" w:rsidRDefault="002523C9" w:rsidP="002523C9">
      <w:pPr>
        <w:rPr>
          <w:rFonts w:ascii="Trlit_CG Times" w:hAnsi="Trlit_CG Times"/>
        </w:rPr>
      </w:pPr>
      <w:r w:rsidRPr="002523C9">
        <w:rPr>
          <w:rFonts w:ascii="Trlit_CG Times" w:hAnsi="Trlit_CG Times"/>
        </w:rPr>
        <w:t xml:space="preserve">ir </w:t>
      </w:r>
      <w:r w:rsidRPr="002523C9">
        <w:rPr>
          <w:rFonts w:ascii="Trlit_CG Times" w:hAnsi="Trlit_CG Times"/>
        </w:rPr>
        <w:tab/>
        <w:t xml:space="preserve">snw </w:t>
      </w:r>
      <w:r w:rsidRPr="002523C9">
        <w:rPr>
          <w:rFonts w:ascii="Trlit_CG Times" w:hAnsi="Trlit_CG Times"/>
        </w:rPr>
        <w:tab/>
      </w:r>
      <w:r w:rsidRPr="002523C9">
        <w:rPr>
          <w:rFonts w:ascii="Trlit_CG Times" w:hAnsi="Trlit_CG Times"/>
        </w:rPr>
        <w:tab/>
      </w:r>
      <w:r w:rsidRPr="002523C9">
        <w:rPr>
          <w:rFonts w:ascii="Trlit_CG Times" w:hAnsi="Trlit_CG Times"/>
          <w:b/>
          <w:bCs/>
        </w:rPr>
        <w:t>ipn</w:t>
      </w:r>
      <w:r w:rsidRPr="002523C9">
        <w:rPr>
          <w:rFonts w:ascii="Trlit_CG Times" w:hAnsi="Trlit_CG Times"/>
        </w:rPr>
        <w:t xml:space="preserve"> </w:t>
      </w:r>
      <w:r w:rsidRPr="002523C9">
        <w:rPr>
          <w:rFonts w:ascii="Trlit_CG Times" w:hAnsi="Trlit_CG Times"/>
        </w:rPr>
        <w:tab/>
      </w:r>
      <w:r w:rsidRPr="002523C9">
        <w:rPr>
          <w:rFonts w:ascii="Trlit_CG Times" w:hAnsi="Trlit_CG Times"/>
        </w:rPr>
        <w:tab/>
        <w:t>Hm(w)-kA</w:t>
      </w:r>
      <w:r w:rsidRPr="002523C9">
        <w:rPr>
          <w:rFonts w:ascii="Trlit_CG Times" w:hAnsi="Trlit_CG Times"/>
        </w:rPr>
        <w:tab/>
      </w:r>
      <w:r w:rsidR="00A91FB1">
        <w:rPr>
          <w:rFonts w:ascii="Trlit_CG Times" w:hAnsi="Trlit_CG Times"/>
        </w:rPr>
        <w:tab/>
      </w:r>
      <w:r w:rsidRPr="0080357B">
        <w:rPr>
          <w:rFonts w:ascii="Trlit_CG Times" w:hAnsi="Trlit_CG Times"/>
          <w:b/>
          <w:bCs/>
        </w:rPr>
        <w:t>ipn</w:t>
      </w:r>
    </w:p>
    <w:p w14:paraId="68F4F7B8" w14:textId="17FD1F5D" w:rsidR="002523C9" w:rsidRPr="002523C9" w:rsidRDefault="002523C9" w:rsidP="002523C9">
      <w:r w:rsidRPr="002523C9">
        <w:t>as-for</w:t>
      </w:r>
      <w:r w:rsidRPr="002523C9">
        <w:tab/>
        <w:t>brothers</w:t>
      </w:r>
      <w:r w:rsidR="0080357B">
        <w:t>.</w:t>
      </w:r>
      <w:r w:rsidR="0080357B" w:rsidRPr="003958F8">
        <w:rPr>
          <w:smallCaps/>
        </w:rPr>
        <w:t>mpl</w:t>
      </w:r>
      <w:r w:rsidRPr="002523C9">
        <w:tab/>
      </w:r>
      <w:r w:rsidR="0080357B" w:rsidRPr="0080357B">
        <w:rPr>
          <w:rFonts w:cs="Times New Roman (Body CS)"/>
          <w:b/>
          <w:bCs/>
          <w:smallCaps/>
        </w:rPr>
        <w:t>dem</w:t>
      </w:r>
      <w:r w:rsidR="0080357B">
        <w:rPr>
          <w:b/>
          <w:bCs/>
        </w:rPr>
        <w:t>.</w:t>
      </w:r>
      <w:r w:rsidR="0080357B" w:rsidRPr="003958F8">
        <w:rPr>
          <w:b/>
          <w:bCs/>
          <w:smallCaps/>
        </w:rPr>
        <w:t>mpl</w:t>
      </w:r>
      <w:r w:rsidRPr="002523C9">
        <w:tab/>
        <w:t>ka-priests</w:t>
      </w:r>
      <w:r w:rsidR="0080357B">
        <w:t>.</w:t>
      </w:r>
      <w:r w:rsidR="0080357B" w:rsidRPr="003958F8">
        <w:rPr>
          <w:smallCaps/>
        </w:rPr>
        <w:t>mpl</w:t>
      </w:r>
      <w:r w:rsidRPr="003958F8">
        <w:rPr>
          <w:smallCaps/>
        </w:rPr>
        <w:t xml:space="preserve"> </w:t>
      </w:r>
      <w:r w:rsidR="00A91FB1">
        <w:rPr>
          <w:smallCaps/>
        </w:rPr>
        <w:tab/>
      </w:r>
      <w:r w:rsidRPr="003958F8">
        <w:rPr>
          <w:smallCaps/>
        </w:rPr>
        <w:tab/>
      </w:r>
      <w:r w:rsidR="0080357B" w:rsidRPr="003958F8">
        <w:rPr>
          <w:b/>
          <w:bCs/>
          <w:smallCaps/>
        </w:rPr>
        <w:t>dem.mpl</w:t>
      </w:r>
    </w:p>
    <w:p w14:paraId="090D0285" w14:textId="01208066" w:rsidR="002523C9" w:rsidRPr="002523C9" w:rsidRDefault="003958F8" w:rsidP="002523C9">
      <w:r>
        <w:t>a</w:t>
      </w:r>
      <w:r w:rsidR="002523C9" w:rsidRPr="002523C9">
        <w:t xml:space="preserve">s for these brothers and these </w:t>
      </w:r>
      <w:r w:rsidR="002523C9" w:rsidRPr="002523C9">
        <w:rPr>
          <w:i/>
        </w:rPr>
        <w:t>ka</w:t>
      </w:r>
      <w:r w:rsidR="002523C9" w:rsidRPr="002523C9">
        <w:t>-priests</w:t>
      </w:r>
    </w:p>
    <w:p w14:paraId="4F3F10BB" w14:textId="4171B791" w:rsidR="002523C9" w:rsidRDefault="002523C9" w:rsidP="00507094"/>
    <w:p w14:paraId="6F2FA7FC" w14:textId="0A86D8AD" w:rsidR="003017E1" w:rsidRPr="003017E1" w:rsidRDefault="008241CA" w:rsidP="003017E1">
      <w:r w:rsidRPr="008241CA">
        <w:t>Ex. 4.</w:t>
      </w:r>
      <w:r>
        <w:rPr>
          <w:i/>
          <w:iCs/>
        </w:rPr>
        <w:t xml:space="preserve"> </w:t>
      </w:r>
      <w:r w:rsidR="003017E1" w:rsidRPr="003017E1">
        <w:rPr>
          <w:i/>
          <w:iCs/>
        </w:rPr>
        <w:t>Urk</w:t>
      </w:r>
      <w:r w:rsidR="003017E1" w:rsidRPr="003017E1">
        <w:t>. I, 125, 9</w:t>
      </w:r>
      <w:r w:rsidR="003017E1">
        <w:t xml:space="preserve"> (</w:t>
      </w:r>
      <w:r w:rsidR="00731911">
        <w:t xml:space="preserve">Tomb of </w:t>
      </w:r>
      <w:r w:rsidR="003017E1">
        <w:t>Harkhuf)</w:t>
      </w:r>
    </w:p>
    <w:p w14:paraId="1578D928" w14:textId="77777777" w:rsidR="003017E1" w:rsidRPr="003017E1" w:rsidRDefault="003017E1" w:rsidP="003017E1">
      <w:pPr>
        <w:rPr>
          <w:rFonts w:ascii="Trlit_CG Times" w:hAnsi="Trlit_CG Times"/>
          <w:b/>
          <w:bCs/>
        </w:rPr>
      </w:pPr>
      <w:r w:rsidRPr="003017E1">
        <w:rPr>
          <w:rFonts w:ascii="Trlit_CG Times" w:hAnsi="Trlit_CG Times"/>
        </w:rPr>
        <w:t xml:space="preserve">xAs(w)t </w:t>
      </w:r>
      <w:r w:rsidRPr="003017E1">
        <w:rPr>
          <w:rFonts w:ascii="Trlit_CG Times" w:hAnsi="Trlit_CG Times"/>
        </w:rPr>
        <w:tab/>
      </w:r>
      <w:r w:rsidRPr="003017E1">
        <w:rPr>
          <w:rFonts w:ascii="Trlit_CG Times" w:hAnsi="Trlit_CG Times"/>
        </w:rPr>
        <w:tab/>
      </w:r>
      <w:r w:rsidRPr="003017E1">
        <w:rPr>
          <w:rFonts w:ascii="Trlit_CG Times" w:hAnsi="Trlit_CG Times"/>
          <w:b/>
          <w:bCs/>
        </w:rPr>
        <w:t>(i)ptn</w:t>
      </w:r>
    </w:p>
    <w:p w14:paraId="582F9C36" w14:textId="6B627104" w:rsidR="003017E1" w:rsidRPr="003017E1" w:rsidRDefault="003017E1" w:rsidP="003017E1">
      <w:r w:rsidRPr="003017E1">
        <w:t>foreign-lands</w:t>
      </w:r>
      <w:r w:rsidR="006B1E58">
        <w:t>.</w:t>
      </w:r>
      <w:r w:rsidR="006B1E58" w:rsidRPr="00A91FB1">
        <w:rPr>
          <w:smallCaps/>
        </w:rPr>
        <w:t>fpl</w:t>
      </w:r>
      <w:r w:rsidRPr="00A91FB1">
        <w:rPr>
          <w:smallCaps/>
        </w:rPr>
        <w:tab/>
      </w:r>
      <w:r w:rsidR="006B1E58" w:rsidRPr="00A91FB1">
        <w:rPr>
          <w:b/>
          <w:bCs/>
          <w:smallCaps/>
        </w:rPr>
        <w:t>dem.fpl</w:t>
      </w:r>
    </w:p>
    <w:p w14:paraId="56271680" w14:textId="77777777" w:rsidR="003017E1" w:rsidRPr="003017E1" w:rsidRDefault="003017E1" w:rsidP="003017E1">
      <w:r w:rsidRPr="003017E1">
        <w:t>those foreign lands</w:t>
      </w:r>
    </w:p>
    <w:p w14:paraId="0619EA76" w14:textId="77777777" w:rsidR="008241CA" w:rsidRDefault="008241CA" w:rsidP="00507094"/>
    <w:p w14:paraId="3ECB624E" w14:textId="224BFAAF" w:rsidR="001107DE" w:rsidRPr="001107DE" w:rsidRDefault="00F2576E" w:rsidP="00507094">
      <w:pPr>
        <w:rPr>
          <w:b/>
          <w:bCs/>
        </w:rPr>
      </w:pPr>
      <w:r>
        <w:rPr>
          <w:b/>
          <w:bCs/>
        </w:rPr>
        <w:t xml:space="preserve">2.2. </w:t>
      </w:r>
      <w:r w:rsidR="001107DE" w:rsidRPr="001107DE">
        <w:rPr>
          <w:b/>
          <w:bCs/>
        </w:rPr>
        <w:t>Demonstrative Pronouns in Old Egyptian</w:t>
      </w:r>
    </w:p>
    <w:p w14:paraId="7166CE1B" w14:textId="3CC52872" w:rsidR="001107DE" w:rsidRDefault="001107DE" w:rsidP="00507094">
      <w:r>
        <w:t xml:space="preserve">The demonstrative pronouns in Old Egyptian share the demonstrative base with the demonstrative modifiers, but have a different prefixal element, </w:t>
      </w:r>
      <w:r w:rsidRPr="002D4F7D">
        <w:rPr>
          <w:rFonts w:ascii="Trlit_CG Times" w:hAnsi="Trlit_CG Times"/>
        </w:rPr>
        <w:t>n-</w:t>
      </w:r>
      <w:r>
        <w:t xml:space="preserve">. The demonstrative pronouns are invariant </w:t>
      </w:r>
      <w:r w:rsidR="00F2576E">
        <w:t xml:space="preserve">or neutral </w:t>
      </w:r>
      <w:r>
        <w:t>in number and gender</w:t>
      </w:r>
      <w:r w:rsidR="00616E29">
        <w:t>, usually taken to be in the default masculine singular form</w:t>
      </w:r>
      <w:r w:rsidR="00F92048">
        <w:t>.</w:t>
      </w:r>
      <w:r w:rsidR="00FC18BB">
        <w:rPr>
          <w:rStyle w:val="FootnoteReference"/>
        </w:rPr>
        <w:footnoteReference w:id="9"/>
      </w:r>
      <w:r>
        <w:t xml:space="preserve"> </w:t>
      </w:r>
      <w:r w:rsidR="00080C89">
        <w:t>In terms of number</w:t>
      </w:r>
      <w:r w:rsidR="00EF0B10">
        <w:t xml:space="preserve">, </w:t>
      </w:r>
      <w:r w:rsidR="00F92048">
        <w:t xml:space="preserve">the </w:t>
      </w:r>
      <w:r w:rsidR="00937337" w:rsidRPr="00937337">
        <w:rPr>
          <w:rFonts w:ascii="Trlit_CG Times" w:hAnsi="Trlit_CG Times"/>
        </w:rPr>
        <w:t>n</w:t>
      </w:r>
      <w:r w:rsidR="00937337">
        <w:t>-</w:t>
      </w:r>
      <w:r w:rsidR="00F92048">
        <w:t xml:space="preserve">demonstrative pronouns can refer to single entities, dual entities, plural entities, </w:t>
      </w:r>
      <w:r w:rsidR="00656328">
        <w:t xml:space="preserve">or </w:t>
      </w:r>
      <w:r w:rsidR="00F92048">
        <w:t xml:space="preserve">situations </w:t>
      </w:r>
      <w:r w:rsidR="001412AE">
        <w:t>(</w:t>
      </w:r>
      <w:r w:rsidR="00F92048">
        <w:t xml:space="preserve">and </w:t>
      </w:r>
      <w:r w:rsidR="00F2576E">
        <w:t>se</w:t>
      </w:r>
      <w:r w:rsidR="00D46B0A">
        <w:t>c</w:t>
      </w:r>
      <w:r w:rsidR="00F2576E">
        <w:t xml:space="preserve">tions of </w:t>
      </w:r>
      <w:r w:rsidR="00F92048">
        <w:t>discourse</w:t>
      </w:r>
      <w:r w:rsidR="001412AE">
        <w:t>)</w:t>
      </w:r>
      <w:r w:rsidR="00080C89">
        <w:t>, without any distinctions of marking</w:t>
      </w:r>
      <w:r w:rsidR="003253BD">
        <w:t xml:space="preserve"> (here deictic examples accompanying scenes</w:t>
      </w:r>
      <w:r w:rsidR="00616E29">
        <w:t xml:space="preserve"> depicting the referent</w:t>
      </w:r>
      <w:r w:rsidR="003253BD">
        <w:t>)</w:t>
      </w:r>
      <w:r w:rsidR="00EF0B10">
        <w:t>:</w:t>
      </w:r>
    </w:p>
    <w:p w14:paraId="6C63ADD8" w14:textId="6EFD18E9" w:rsidR="00EF0B10" w:rsidRDefault="00EF0B10" w:rsidP="00507094"/>
    <w:p w14:paraId="7D34ADDC" w14:textId="68FEB925" w:rsidR="00347768" w:rsidRPr="00F92048" w:rsidRDefault="00347768" w:rsidP="00347768">
      <w:pPr>
        <w:rPr>
          <w:b/>
          <w:bCs/>
        </w:rPr>
      </w:pPr>
      <w:r w:rsidRPr="00F92048">
        <w:rPr>
          <w:b/>
          <w:bCs/>
        </w:rPr>
        <w:t>singular referent:</w:t>
      </w:r>
    </w:p>
    <w:p w14:paraId="7654FDE5" w14:textId="29ABFA54" w:rsidR="008852F3" w:rsidRDefault="000407F0" w:rsidP="00507094">
      <w:r>
        <w:t xml:space="preserve">Ex. 5. </w:t>
      </w:r>
      <w:r w:rsidR="002E1355">
        <w:t xml:space="preserve">Berlin </w:t>
      </w:r>
      <w:r w:rsidR="002E1355" w:rsidRPr="002E1355">
        <w:rPr>
          <w:rFonts w:eastAsiaTheme="minorHAnsi" w:cstheme="minorBidi"/>
          <w:lang w:val="en-US" w:eastAsia="en-US"/>
        </w:rPr>
        <w:t>M1108 (L</w:t>
      </w:r>
      <w:r w:rsidR="002E1355" w:rsidRPr="002E1355">
        <w:rPr>
          <w:rFonts w:eastAsiaTheme="minorHAnsi" w:cstheme="minorBidi"/>
          <w:i/>
          <w:iCs/>
          <w:lang w:val="en-US" w:eastAsia="en-US"/>
        </w:rPr>
        <w:t>D</w:t>
      </w:r>
      <w:r w:rsidR="002E1355" w:rsidRPr="002E1355">
        <w:rPr>
          <w:rFonts w:eastAsiaTheme="minorHAnsi" w:cstheme="minorBidi"/>
          <w:lang w:val="en-US" w:eastAsia="en-US"/>
        </w:rPr>
        <w:t xml:space="preserve"> 2, pl. 68; </w:t>
      </w:r>
      <w:r w:rsidR="002E1355" w:rsidRPr="002E1355">
        <w:rPr>
          <w:rFonts w:eastAsiaTheme="minorHAnsi" w:cstheme="minorBidi"/>
          <w:i/>
          <w:iCs/>
          <w:lang w:val="en-US" w:eastAsia="en-US"/>
        </w:rPr>
        <w:t>ÄI</w:t>
      </w:r>
      <w:r w:rsidR="002E1355" w:rsidRPr="002E1355">
        <w:rPr>
          <w:rFonts w:eastAsiaTheme="minorHAnsi" w:cstheme="minorBidi"/>
          <w:lang w:val="en-US" w:eastAsia="en-US"/>
        </w:rPr>
        <w:t>, 114 [Ce</w:t>
      </w:r>
      <w:r w:rsidR="002E1355">
        <w:rPr>
          <w:lang w:val="en-US"/>
        </w:rPr>
        <w:t>]</w:t>
      </w:r>
      <w:r w:rsidR="002E1355" w:rsidRPr="002E1355">
        <w:rPr>
          <w:rFonts w:eastAsiaTheme="minorHAnsi" w:cstheme="minorBidi"/>
          <w:lang w:val="en-US" w:eastAsia="en-US"/>
        </w:rPr>
        <w:t>)</w:t>
      </w:r>
      <w:r w:rsidR="002E1355">
        <w:t xml:space="preserve">. </w:t>
      </w:r>
      <w:r w:rsidR="00347768">
        <w:t>A</w:t>
      </w:r>
      <w:r w:rsidR="008852F3">
        <w:t xml:space="preserve"> butcher is holding up a single leg of an ox, prior to cutting it off. He says to his colleague:</w:t>
      </w:r>
    </w:p>
    <w:p w14:paraId="0E23B818" w14:textId="4BD96C1B" w:rsidR="008852F3" w:rsidRPr="008852F3" w:rsidRDefault="008852F3" w:rsidP="008852F3">
      <w:pPr>
        <w:rPr>
          <w:rFonts w:ascii="Trlit_CG Times" w:hAnsi="Trlit_CG Times"/>
        </w:rPr>
      </w:pPr>
      <w:r w:rsidRPr="008852F3">
        <w:rPr>
          <w:rFonts w:ascii="Trlit_CG Times" w:hAnsi="Trlit_CG Times"/>
        </w:rPr>
        <w:t xml:space="preserve">iT </w:t>
      </w:r>
      <w:r w:rsidR="002E1A30">
        <w:rPr>
          <w:rFonts w:ascii="Trlit_CG Times" w:hAnsi="Trlit_CG Times"/>
        </w:rPr>
        <w:tab/>
      </w:r>
      <w:r w:rsidR="002E1A30">
        <w:rPr>
          <w:rFonts w:ascii="Trlit_CG Times" w:hAnsi="Trlit_CG Times"/>
        </w:rPr>
        <w:tab/>
      </w:r>
      <w:r w:rsidRPr="008852F3">
        <w:rPr>
          <w:rFonts w:ascii="Trlit_CG Times" w:hAnsi="Trlit_CG Times"/>
          <w:b/>
          <w:bCs/>
        </w:rPr>
        <w:t>nw</w:t>
      </w:r>
      <w:r w:rsidRPr="008852F3">
        <w:rPr>
          <w:rFonts w:ascii="Trlit_CG Times" w:hAnsi="Trlit_CG Times"/>
        </w:rPr>
        <w:t xml:space="preserve"> </w:t>
      </w:r>
      <w:r w:rsidR="002E1A30">
        <w:rPr>
          <w:rFonts w:ascii="Trlit_CG Times" w:hAnsi="Trlit_CG Times"/>
        </w:rPr>
        <w:tab/>
      </w:r>
      <w:r w:rsidRPr="008852F3">
        <w:rPr>
          <w:rFonts w:ascii="Trlit_CG Times" w:hAnsi="Trlit_CG Times"/>
        </w:rPr>
        <w:t>r=k</w:t>
      </w:r>
    </w:p>
    <w:p w14:paraId="5C3F5FCC" w14:textId="4D196EA4" w:rsidR="002E1A30" w:rsidRDefault="002E1A30" w:rsidP="00507094">
      <w:r>
        <w:t>pull.</w:t>
      </w:r>
      <w:r w:rsidRPr="002E1A30">
        <w:rPr>
          <w:rFonts w:cs="Times New Roman (Body CS)"/>
          <w:smallCaps/>
        </w:rPr>
        <w:t>imp</w:t>
      </w:r>
      <w:r>
        <w:tab/>
      </w:r>
      <w:r w:rsidR="003670DD">
        <w:tab/>
      </w:r>
      <w:r w:rsidRPr="002E1A30">
        <w:rPr>
          <w:rFonts w:cs="Times New Roman (Body CS)"/>
          <w:smallCaps/>
        </w:rPr>
        <w:t>dem</w:t>
      </w:r>
      <w:r>
        <w:tab/>
        <w:t>to=you</w:t>
      </w:r>
    </w:p>
    <w:p w14:paraId="1DBF9E7F" w14:textId="14D576E8" w:rsidR="008852F3" w:rsidRDefault="008852F3" w:rsidP="00507094">
      <w:r>
        <w:t xml:space="preserve">pull </w:t>
      </w:r>
      <w:r w:rsidRPr="00520CAD">
        <w:t>this</w:t>
      </w:r>
      <w:r>
        <w:t xml:space="preserve"> towards you</w:t>
      </w:r>
    </w:p>
    <w:p w14:paraId="6CB07C9B" w14:textId="22CA7A3C" w:rsidR="008852F3" w:rsidRDefault="008852F3" w:rsidP="00507094"/>
    <w:p w14:paraId="4CC003F2" w14:textId="559C025C" w:rsidR="00347768" w:rsidRPr="002E1A30" w:rsidRDefault="00347768" w:rsidP="00507094">
      <w:pPr>
        <w:rPr>
          <w:b/>
          <w:bCs/>
        </w:rPr>
      </w:pPr>
      <w:r w:rsidRPr="002E1A30">
        <w:rPr>
          <w:b/>
          <w:bCs/>
        </w:rPr>
        <w:t>dual referent:</w:t>
      </w:r>
    </w:p>
    <w:p w14:paraId="1437A052" w14:textId="5088923F" w:rsidR="00AC5BE3" w:rsidRDefault="000407F0" w:rsidP="00507094">
      <w:r>
        <w:t xml:space="preserve">Ex. 6. </w:t>
      </w:r>
      <w:r w:rsidR="00AC2F7D">
        <w:t xml:space="preserve">Tomb of </w:t>
      </w:r>
      <w:r w:rsidR="00347768">
        <w:t xml:space="preserve">Pepiankh </w:t>
      </w:r>
      <w:r w:rsidR="00AC2F7D">
        <w:t xml:space="preserve">Heny, </w:t>
      </w:r>
      <w:r w:rsidR="00AC2F7D" w:rsidRPr="00AC2F7D">
        <w:rPr>
          <w:rFonts w:eastAsiaTheme="minorEastAsia"/>
          <w:lang w:val="en-US"/>
        </w:rPr>
        <w:t>Room B East Wall North Scene Register 3 (left middle)</w:t>
      </w:r>
      <w:r w:rsidR="00AC2F7D">
        <w:rPr>
          <w:lang w:val="en-US"/>
        </w:rPr>
        <w:t xml:space="preserve">: Blackman and Apted, </w:t>
      </w:r>
      <w:r w:rsidR="00AC2F7D" w:rsidRPr="00AC2F7D">
        <w:rPr>
          <w:i/>
          <w:iCs/>
          <w:lang w:val="en-US"/>
        </w:rPr>
        <w:t>Meir</w:t>
      </w:r>
      <w:r w:rsidR="00AC2F7D">
        <w:rPr>
          <w:lang w:val="en-US"/>
        </w:rPr>
        <w:t xml:space="preserve"> V, pl. 30)</w:t>
      </w:r>
      <w:r w:rsidR="00AC2F7D" w:rsidRPr="00AC2F7D">
        <w:rPr>
          <w:rFonts w:eastAsiaTheme="minorEastAsia"/>
          <w:lang w:val="en-US"/>
        </w:rPr>
        <w:t>.</w:t>
      </w:r>
      <w:r w:rsidR="00E466E3">
        <w:t xml:space="preserve"> </w:t>
      </w:r>
      <w:r w:rsidR="00AC5BE3">
        <w:t xml:space="preserve">A man is holding </w:t>
      </w:r>
      <w:r w:rsidR="003F4C54">
        <w:t>two</w:t>
      </w:r>
      <w:r w:rsidR="00AC5BE3">
        <w:t xml:space="preserve"> birds in one hand </w:t>
      </w:r>
      <w:r w:rsidR="00673A68">
        <w:t xml:space="preserve">and </w:t>
      </w:r>
      <w:r w:rsidR="00AC5BE3">
        <w:t xml:space="preserve">is reaching into a net of caught birds with his other. </w:t>
      </w:r>
      <w:r w:rsidR="00673A68">
        <w:t xml:space="preserve">He wants his colleague to take the two birds from him. </w:t>
      </w:r>
      <w:r w:rsidR="00AC5BE3">
        <w:t>The caption above says:</w:t>
      </w:r>
    </w:p>
    <w:p w14:paraId="1BDDBDE2" w14:textId="0AD07D6E" w:rsidR="00AC5BE3" w:rsidRPr="0021207F" w:rsidRDefault="00AC5BE3" w:rsidP="00AC5BE3">
      <w:pPr>
        <w:rPr>
          <w:rFonts w:ascii="Trlit_CG Times" w:hAnsi="Trlit_CG Times"/>
        </w:rPr>
      </w:pPr>
      <w:r w:rsidRPr="00AC5BE3">
        <w:rPr>
          <w:rFonts w:ascii="Trlit_CG Times" w:hAnsi="Trlit_CG Times"/>
        </w:rPr>
        <w:t xml:space="preserve">Ssp </w:t>
      </w:r>
      <w:r w:rsidR="00C00117">
        <w:rPr>
          <w:rFonts w:ascii="Trlit_CG Times" w:hAnsi="Trlit_CG Times"/>
        </w:rPr>
        <w:tab/>
      </w:r>
      <w:r w:rsidR="008F6994">
        <w:rPr>
          <w:rFonts w:ascii="Trlit_CG Times" w:hAnsi="Trlit_CG Times"/>
        </w:rPr>
        <w:tab/>
      </w:r>
      <w:r w:rsidRPr="00AC5BE3">
        <w:rPr>
          <w:rFonts w:ascii="Trlit_CG Times" w:hAnsi="Trlit_CG Times"/>
          <w:b/>
          <w:bCs/>
        </w:rPr>
        <w:t>nw</w:t>
      </w:r>
      <w:r w:rsidRPr="00AC5BE3">
        <w:rPr>
          <w:rFonts w:ascii="Trlit_CG Times" w:hAnsi="Trlit_CG Times"/>
        </w:rPr>
        <w:t xml:space="preserve"> </w:t>
      </w:r>
      <w:r w:rsidR="00C00117">
        <w:rPr>
          <w:rFonts w:ascii="Trlit_CG Times" w:hAnsi="Trlit_CG Times"/>
        </w:rPr>
        <w:tab/>
      </w:r>
      <w:r w:rsidRPr="00AC5BE3">
        <w:rPr>
          <w:rFonts w:ascii="Trlit_CG Times" w:hAnsi="Trlit_CG Times"/>
        </w:rPr>
        <w:t xml:space="preserve">m-a(=i) </w:t>
      </w:r>
    </w:p>
    <w:p w14:paraId="00C3629A" w14:textId="553F78BD" w:rsidR="00C00117" w:rsidRDefault="008F6994" w:rsidP="00AC5BE3">
      <w:pPr>
        <w:rPr>
          <w:lang w:val="en-US"/>
        </w:rPr>
      </w:pPr>
      <w:r>
        <w:rPr>
          <w:lang w:val="en-US"/>
        </w:rPr>
        <w:lastRenderedPageBreak/>
        <w:t>take.</w:t>
      </w:r>
      <w:r w:rsidRPr="008F6994">
        <w:rPr>
          <w:rFonts w:cs="Times New Roman (Body CS)"/>
          <w:smallCaps/>
          <w:lang w:val="en-US"/>
        </w:rPr>
        <w:t>imp</w:t>
      </w:r>
      <w:r w:rsidRPr="008F6994">
        <w:rPr>
          <w:rFonts w:cs="Times New Roman (Body CS)"/>
          <w:smallCaps/>
          <w:lang w:val="en-US"/>
        </w:rPr>
        <w:tab/>
      </w:r>
      <w:r w:rsidRPr="00520CAD">
        <w:rPr>
          <w:rFonts w:cs="Times New Roman (Body CS)"/>
          <w:b/>
          <w:bCs/>
          <w:smallCaps/>
          <w:lang w:val="en-US"/>
        </w:rPr>
        <w:t>dem</w:t>
      </w:r>
      <w:r>
        <w:rPr>
          <w:lang w:val="en-US"/>
        </w:rPr>
        <w:tab/>
        <w:t>from(=me)</w:t>
      </w:r>
    </w:p>
    <w:p w14:paraId="6372B568" w14:textId="4CFF9A47" w:rsidR="00AC5BE3" w:rsidRPr="00AC5BE3" w:rsidRDefault="00AC5BE3" w:rsidP="00AC5BE3">
      <w:r w:rsidRPr="00AC5BE3">
        <w:rPr>
          <w:lang w:val="en-US"/>
        </w:rPr>
        <w:t xml:space="preserve">Take </w:t>
      </w:r>
      <w:r w:rsidRPr="00520CAD">
        <w:rPr>
          <w:lang w:val="en-US"/>
        </w:rPr>
        <w:t>th</w:t>
      </w:r>
      <w:r w:rsidR="0021207F" w:rsidRPr="00520CAD">
        <w:rPr>
          <w:lang w:val="en-US"/>
        </w:rPr>
        <w:t>ese</w:t>
      </w:r>
      <w:r w:rsidRPr="00AC5BE3">
        <w:rPr>
          <w:lang w:val="en-US"/>
        </w:rPr>
        <w:t xml:space="preserve"> from me </w:t>
      </w:r>
    </w:p>
    <w:p w14:paraId="7A5761EE" w14:textId="2C6E1778" w:rsidR="00AC5BE3" w:rsidRDefault="00AC5BE3" w:rsidP="00507094"/>
    <w:p w14:paraId="1687293E" w14:textId="7FB20EDF" w:rsidR="00347768" w:rsidRPr="008F6994" w:rsidRDefault="00802A51" w:rsidP="00507094">
      <w:pPr>
        <w:rPr>
          <w:b/>
          <w:bCs/>
        </w:rPr>
      </w:pPr>
      <w:r w:rsidRPr="008F6994">
        <w:rPr>
          <w:b/>
          <w:bCs/>
        </w:rPr>
        <w:t>p</w:t>
      </w:r>
      <w:r w:rsidR="00347768" w:rsidRPr="008F6994">
        <w:rPr>
          <w:b/>
          <w:bCs/>
        </w:rPr>
        <w:t>lural referent</w:t>
      </w:r>
    </w:p>
    <w:p w14:paraId="6047339E" w14:textId="135207BD" w:rsidR="00347768" w:rsidRDefault="000407F0" w:rsidP="00507094">
      <w:r>
        <w:t xml:space="preserve">Ex. 7. </w:t>
      </w:r>
      <w:r w:rsidR="00036E77">
        <w:t xml:space="preserve">Von </w:t>
      </w:r>
      <w:r w:rsidR="00347768">
        <w:t>Bissing</w:t>
      </w:r>
      <w:r w:rsidR="00036E77">
        <w:t xml:space="preserve">, </w:t>
      </w:r>
      <w:r w:rsidR="00E466E3" w:rsidRPr="00036E77">
        <w:rPr>
          <w:rFonts w:eastAsiaTheme="minorEastAsia"/>
          <w:i/>
          <w:iCs/>
          <w:lang w:val="en-US"/>
        </w:rPr>
        <w:t>Gem-ni-kai</w:t>
      </w:r>
      <w:r w:rsidR="00036E77">
        <w:rPr>
          <w:lang w:val="en-US"/>
        </w:rPr>
        <w:t xml:space="preserve"> 1</w:t>
      </w:r>
      <w:r w:rsidR="00E466E3" w:rsidRPr="00E466E3">
        <w:rPr>
          <w:rFonts w:eastAsiaTheme="minorEastAsia"/>
          <w:lang w:val="en-US"/>
        </w:rPr>
        <w:t>, pl. 24</w:t>
      </w:r>
      <w:r w:rsidR="002B1C17">
        <w:rPr>
          <w:lang w:val="en-US"/>
        </w:rPr>
        <w:t xml:space="preserve">. Door to </w:t>
      </w:r>
      <w:r w:rsidR="00D0073E">
        <w:rPr>
          <w:lang w:val="en-US"/>
        </w:rPr>
        <w:t>C</w:t>
      </w:r>
      <w:r w:rsidR="002B1C17">
        <w:rPr>
          <w:lang w:val="en-US"/>
        </w:rPr>
        <w:t>hamber 2, Wall A.</w:t>
      </w:r>
      <w:r w:rsidR="00036E77">
        <w:t xml:space="preserve"> </w:t>
      </w:r>
      <w:r w:rsidR="00347768">
        <w:t>Three men are carrying heaps of offerings. The caption says:</w:t>
      </w:r>
    </w:p>
    <w:p w14:paraId="5B89EEB8" w14:textId="52B4BBE7" w:rsidR="00347768" w:rsidRPr="00347768" w:rsidRDefault="00347768" w:rsidP="00347768">
      <w:pPr>
        <w:rPr>
          <w:rFonts w:ascii="Trlit_CG Times" w:hAnsi="Trlit_CG Times"/>
        </w:rPr>
      </w:pPr>
      <w:r w:rsidRPr="00347768">
        <w:rPr>
          <w:rFonts w:ascii="Trlit_CG Times" w:hAnsi="Trlit_CG Times"/>
        </w:rPr>
        <w:t xml:space="preserve">iw </w:t>
      </w:r>
      <w:r w:rsidR="008F6994">
        <w:rPr>
          <w:rFonts w:ascii="Trlit_CG Times" w:hAnsi="Trlit_CG Times"/>
        </w:rPr>
        <w:tab/>
      </w:r>
      <w:r w:rsidRPr="00347768">
        <w:rPr>
          <w:rFonts w:ascii="Trlit_CG Times" w:hAnsi="Trlit_CG Times"/>
          <w:b/>
          <w:bCs/>
        </w:rPr>
        <w:t>nn</w:t>
      </w:r>
      <w:r w:rsidRPr="00347768">
        <w:rPr>
          <w:rFonts w:ascii="Trlit_CG Times" w:hAnsi="Trlit_CG Times"/>
        </w:rPr>
        <w:t xml:space="preserve"> </w:t>
      </w:r>
      <w:r w:rsidR="008F6994">
        <w:rPr>
          <w:rFonts w:ascii="Trlit_CG Times" w:hAnsi="Trlit_CG Times"/>
        </w:rPr>
        <w:tab/>
      </w:r>
      <w:r w:rsidRPr="00347768">
        <w:rPr>
          <w:rFonts w:ascii="Trlit_CG Times" w:hAnsi="Trlit_CG Times"/>
        </w:rPr>
        <w:t xml:space="preserve">n </w:t>
      </w:r>
      <w:r w:rsidR="008F6994">
        <w:rPr>
          <w:rFonts w:ascii="Trlit_CG Times" w:hAnsi="Trlit_CG Times"/>
        </w:rPr>
        <w:tab/>
      </w:r>
      <w:r w:rsidRPr="00347768">
        <w:rPr>
          <w:rFonts w:ascii="Trlit_CG Times" w:hAnsi="Trlit_CG Times"/>
        </w:rPr>
        <w:t>kA mmi</w:t>
      </w:r>
    </w:p>
    <w:p w14:paraId="69921773" w14:textId="56E498C8" w:rsidR="008F6994" w:rsidRPr="008F6994" w:rsidRDefault="008F6994" w:rsidP="00507094">
      <w:r w:rsidRPr="008F6994">
        <w:rPr>
          <w:rFonts w:cs="Times New Roman (Body CS)"/>
          <w:smallCaps/>
        </w:rPr>
        <w:t>aux</w:t>
      </w:r>
      <w:r w:rsidRPr="008F6994">
        <w:rPr>
          <w:rFonts w:cs="Times New Roman (Body CS)"/>
          <w:smallCaps/>
        </w:rPr>
        <w:tab/>
      </w:r>
      <w:r w:rsidRPr="00520CAD">
        <w:rPr>
          <w:rFonts w:cs="Times New Roman (Body CS)"/>
          <w:b/>
          <w:bCs/>
          <w:smallCaps/>
        </w:rPr>
        <w:t>dem</w:t>
      </w:r>
      <w:r>
        <w:tab/>
        <w:t>for</w:t>
      </w:r>
      <w:r>
        <w:tab/>
      </w:r>
      <w:r w:rsidRPr="008F6994">
        <w:rPr>
          <w:i/>
          <w:iCs/>
        </w:rPr>
        <w:t>ka</w:t>
      </w:r>
      <w:r>
        <w:t xml:space="preserve"> Memi</w:t>
      </w:r>
    </w:p>
    <w:p w14:paraId="0ACD1E34" w14:textId="7A9963AF" w:rsidR="00347768" w:rsidRDefault="00347768" w:rsidP="00507094">
      <w:r w:rsidRPr="00520CAD">
        <w:t xml:space="preserve">These </w:t>
      </w:r>
      <w:r>
        <w:t xml:space="preserve">are for the </w:t>
      </w:r>
      <w:r w:rsidRPr="008F6994">
        <w:rPr>
          <w:i/>
          <w:iCs/>
        </w:rPr>
        <w:t>ka</w:t>
      </w:r>
      <w:r>
        <w:t xml:space="preserve"> of Memi</w:t>
      </w:r>
    </w:p>
    <w:p w14:paraId="6057FD67" w14:textId="2144F889" w:rsidR="00347768" w:rsidRDefault="00347768" w:rsidP="00507094"/>
    <w:p w14:paraId="6DFF73FD" w14:textId="15912D79" w:rsidR="008F6994" w:rsidRPr="008F6994" w:rsidRDefault="008F6994" w:rsidP="00507094">
      <w:pPr>
        <w:rPr>
          <w:b/>
          <w:bCs/>
        </w:rPr>
      </w:pPr>
      <w:r w:rsidRPr="008F6994">
        <w:rPr>
          <w:b/>
          <w:bCs/>
        </w:rPr>
        <w:t>situational reference</w:t>
      </w:r>
    </w:p>
    <w:p w14:paraId="23D6E785" w14:textId="1F8CDC34" w:rsidR="008C4BEE" w:rsidRDefault="000407F0" w:rsidP="00507094">
      <w:r>
        <w:rPr>
          <w:lang w:val="en-US"/>
        </w:rPr>
        <w:t xml:space="preserve">Ex. 8. </w:t>
      </w:r>
      <w:r w:rsidR="008C4BEE" w:rsidRPr="008C4BEE">
        <w:rPr>
          <w:lang w:val="en-US"/>
        </w:rPr>
        <w:t>Tomb of Ankhmahor. Room 4 East Wall Middle Register</w:t>
      </w:r>
      <w:r w:rsidR="007A2E96">
        <w:rPr>
          <w:lang w:val="en-US"/>
        </w:rPr>
        <w:t xml:space="preserve"> (Kanawati and Hassan, </w:t>
      </w:r>
      <w:r w:rsidR="007A2E96" w:rsidRPr="007A2E96">
        <w:rPr>
          <w:i/>
          <w:iCs/>
          <w:lang w:val="en-US"/>
        </w:rPr>
        <w:t>Ankhmahor</w:t>
      </w:r>
      <w:r w:rsidR="007A2E96">
        <w:rPr>
          <w:lang w:val="en-US"/>
        </w:rPr>
        <w:t>, pl. 49)</w:t>
      </w:r>
      <w:r w:rsidR="00E466E3">
        <w:rPr>
          <w:lang w:val="en-US"/>
        </w:rPr>
        <w:t>. A b</w:t>
      </w:r>
      <w:r w:rsidR="008C4BEE" w:rsidRPr="008C4BEE">
        <w:rPr>
          <w:lang w:val="en-US"/>
        </w:rPr>
        <w:t xml:space="preserve">utcher </w:t>
      </w:r>
      <w:r w:rsidR="00E466E3">
        <w:rPr>
          <w:lang w:val="en-US"/>
        </w:rPr>
        <w:t xml:space="preserve">is </w:t>
      </w:r>
      <w:r w:rsidR="008C4BEE" w:rsidRPr="008C4BEE">
        <w:rPr>
          <w:lang w:val="en-US"/>
        </w:rPr>
        <w:t xml:space="preserve">cutting </w:t>
      </w:r>
      <w:r w:rsidR="009D376A">
        <w:rPr>
          <w:lang w:val="en-US"/>
        </w:rPr>
        <w:t xml:space="preserve">off </w:t>
      </w:r>
      <w:r w:rsidR="00E466E3">
        <w:rPr>
          <w:lang w:val="en-US"/>
        </w:rPr>
        <w:t xml:space="preserve">a </w:t>
      </w:r>
      <w:r w:rsidR="008C4BEE" w:rsidRPr="008C4BEE">
        <w:rPr>
          <w:lang w:val="en-US"/>
        </w:rPr>
        <w:t xml:space="preserve">leg </w:t>
      </w:r>
      <w:r w:rsidR="00E466E3">
        <w:rPr>
          <w:lang w:val="en-US"/>
        </w:rPr>
        <w:t xml:space="preserve">of an ox </w:t>
      </w:r>
      <w:r w:rsidR="008C4BEE" w:rsidRPr="008C4BEE">
        <w:rPr>
          <w:lang w:val="en-US"/>
        </w:rPr>
        <w:t xml:space="preserve">with </w:t>
      </w:r>
      <w:r w:rsidR="009D376A">
        <w:rPr>
          <w:lang w:val="en-US"/>
        </w:rPr>
        <w:t xml:space="preserve">a </w:t>
      </w:r>
      <w:r w:rsidR="008C4BEE" w:rsidRPr="008C4BEE">
        <w:rPr>
          <w:lang w:val="en-US"/>
        </w:rPr>
        <w:t xml:space="preserve">knife in </w:t>
      </w:r>
      <w:r w:rsidR="00E466E3">
        <w:rPr>
          <w:lang w:val="en-US"/>
        </w:rPr>
        <w:t>one</w:t>
      </w:r>
      <w:r w:rsidR="008C4BEE" w:rsidRPr="008C4BEE">
        <w:rPr>
          <w:lang w:val="en-US"/>
        </w:rPr>
        <w:t xml:space="preserve"> hand and holding </w:t>
      </w:r>
      <w:r w:rsidR="00E466E3">
        <w:rPr>
          <w:lang w:val="en-US"/>
        </w:rPr>
        <w:t xml:space="preserve">the </w:t>
      </w:r>
      <w:r w:rsidR="008C4BEE" w:rsidRPr="008C4BEE">
        <w:rPr>
          <w:lang w:val="en-US"/>
        </w:rPr>
        <w:t xml:space="preserve">leg with his </w:t>
      </w:r>
      <w:r w:rsidR="00E466E3">
        <w:rPr>
          <w:lang w:val="en-US"/>
        </w:rPr>
        <w:t>other</w:t>
      </w:r>
      <w:r w:rsidR="00854282">
        <w:rPr>
          <w:lang w:val="en-US"/>
        </w:rPr>
        <w:t xml:space="preserve"> (</w:t>
      </w:r>
      <w:r w:rsidR="00A162F3">
        <w:rPr>
          <w:lang w:val="en-US"/>
        </w:rPr>
        <w:t>contrast</w:t>
      </w:r>
      <w:r w:rsidR="00854282">
        <w:rPr>
          <w:lang w:val="en-US"/>
        </w:rPr>
        <w:t xml:space="preserve"> Ex. 5)</w:t>
      </w:r>
      <w:r w:rsidR="00E466E3">
        <w:rPr>
          <w:lang w:val="en-US"/>
        </w:rPr>
        <w:t>. The caption says</w:t>
      </w:r>
      <w:r w:rsidR="008C4BEE" w:rsidRPr="008C4BEE">
        <w:rPr>
          <w:lang w:val="en-US"/>
        </w:rPr>
        <w:t>:</w:t>
      </w:r>
    </w:p>
    <w:p w14:paraId="35E5E509" w14:textId="4B9B6BB1" w:rsidR="008C4BEE" w:rsidRPr="008C4BEE" w:rsidRDefault="008C4BEE" w:rsidP="008C4BEE">
      <w:pPr>
        <w:rPr>
          <w:rFonts w:ascii="Trlit_CG Times" w:hAnsi="Trlit_CG Times"/>
        </w:rPr>
      </w:pPr>
      <w:r w:rsidRPr="008C4BEE">
        <w:rPr>
          <w:rFonts w:ascii="Trlit_CG Times" w:hAnsi="Trlit_CG Times"/>
        </w:rPr>
        <w:t xml:space="preserve">iw </w:t>
      </w:r>
      <w:r w:rsidR="008F6994">
        <w:rPr>
          <w:rFonts w:ascii="Trlit_CG Times" w:hAnsi="Trlit_CG Times"/>
        </w:rPr>
        <w:tab/>
      </w:r>
      <w:r w:rsidRPr="008C4BEE">
        <w:rPr>
          <w:rFonts w:ascii="Trlit_CG Times" w:hAnsi="Trlit_CG Times"/>
        </w:rPr>
        <w:t xml:space="preserve">qsn </w:t>
      </w:r>
      <w:r w:rsidR="008F6994">
        <w:rPr>
          <w:rFonts w:ascii="Trlit_CG Times" w:hAnsi="Trlit_CG Times"/>
        </w:rPr>
        <w:tab/>
      </w:r>
      <w:r w:rsidR="008F6994">
        <w:rPr>
          <w:rFonts w:ascii="Trlit_CG Times" w:hAnsi="Trlit_CG Times"/>
        </w:rPr>
        <w:tab/>
      </w:r>
      <w:r w:rsidRPr="008C4BEE">
        <w:rPr>
          <w:rFonts w:ascii="Trlit_CG Times" w:hAnsi="Trlit_CG Times"/>
        </w:rPr>
        <w:t xml:space="preserve">r </w:t>
      </w:r>
      <w:r w:rsidR="008F6994">
        <w:rPr>
          <w:rFonts w:ascii="Trlit_CG Times" w:hAnsi="Trlit_CG Times"/>
        </w:rPr>
        <w:tab/>
      </w:r>
      <w:r w:rsidRPr="008C4BEE">
        <w:rPr>
          <w:rFonts w:ascii="Trlit_CG Times" w:hAnsi="Trlit_CG Times"/>
        </w:rPr>
        <w:t xml:space="preserve">irt </w:t>
      </w:r>
      <w:r w:rsidR="008F6994">
        <w:rPr>
          <w:rFonts w:ascii="Trlit_CG Times" w:hAnsi="Trlit_CG Times"/>
        </w:rPr>
        <w:tab/>
      </w:r>
      <w:r w:rsidRPr="008C4BEE">
        <w:rPr>
          <w:rFonts w:ascii="Trlit_CG Times" w:hAnsi="Trlit_CG Times"/>
          <w:b/>
          <w:bCs/>
        </w:rPr>
        <w:t>nn</w:t>
      </w:r>
      <w:r w:rsidRPr="008C4BEE">
        <w:rPr>
          <w:rFonts w:ascii="Trlit_CG Times" w:hAnsi="Trlit_CG Times"/>
        </w:rPr>
        <w:t xml:space="preserve"> </w:t>
      </w:r>
      <w:r w:rsidR="008F6994">
        <w:rPr>
          <w:rFonts w:ascii="Trlit_CG Times" w:hAnsi="Trlit_CG Times"/>
        </w:rPr>
        <w:tab/>
      </w:r>
      <w:r w:rsidRPr="008C4BEE">
        <w:rPr>
          <w:rFonts w:ascii="Trlit_CG Times" w:hAnsi="Trlit_CG Times"/>
        </w:rPr>
        <w:t xml:space="preserve">wa.kw </w:t>
      </w:r>
      <w:r w:rsidR="008F6994">
        <w:rPr>
          <w:rFonts w:ascii="Trlit_CG Times" w:hAnsi="Trlit_CG Times"/>
        </w:rPr>
        <w:tab/>
      </w:r>
      <w:r w:rsidR="008F6994">
        <w:rPr>
          <w:rFonts w:ascii="Trlit_CG Times" w:hAnsi="Trlit_CG Times"/>
        </w:rPr>
        <w:tab/>
      </w:r>
      <w:r w:rsidR="00D14A13">
        <w:rPr>
          <w:rFonts w:ascii="Trlit_CG Times" w:hAnsi="Trlit_CG Times"/>
        </w:rPr>
        <w:tab/>
      </w:r>
      <w:r w:rsidRPr="008C4BEE">
        <w:rPr>
          <w:rFonts w:ascii="Trlit_CG Times" w:hAnsi="Trlit_CG Times"/>
        </w:rPr>
        <w:t>wrt</w:t>
      </w:r>
    </w:p>
    <w:p w14:paraId="3F693918" w14:textId="16762295" w:rsidR="008F6994" w:rsidRDefault="008F6994" w:rsidP="00507094">
      <w:pPr>
        <w:rPr>
          <w:lang w:val="en-US"/>
        </w:rPr>
      </w:pPr>
      <w:r w:rsidRPr="008F6994">
        <w:rPr>
          <w:rFonts w:cs="Times New Roman (Body CS)"/>
          <w:smallCaps/>
          <w:lang w:val="en-US"/>
        </w:rPr>
        <w:t>aux</w:t>
      </w:r>
      <w:r>
        <w:rPr>
          <w:lang w:val="en-US"/>
        </w:rPr>
        <w:tab/>
        <w:t>difficult</w:t>
      </w:r>
      <w:r>
        <w:rPr>
          <w:lang w:val="en-US"/>
        </w:rPr>
        <w:tab/>
        <w:t>to</w:t>
      </w:r>
      <w:r>
        <w:rPr>
          <w:lang w:val="en-US"/>
        </w:rPr>
        <w:tab/>
        <w:t>do.</w:t>
      </w:r>
      <w:r w:rsidRPr="008F6994">
        <w:rPr>
          <w:rFonts w:cs="Times New Roman (Body CS)"/>
          <w:smallCaps/>
          <w:lang w:val="en-US"/>
        </w:rPr>
        <w:t>inf</w:t>
      </w:r>
      <w:r>
        <w:rPr>
          <w:lang w:val="en-US"/>
        </w:rPr>
        <w:tab/>
      </w:r>
      <w:r w:rsidRPr="00520CAD">
        <w:rPr>
          <w:rFonts w:cs="Times New Roman (Body CS)"/>
          <w:b/>
          <w:bCs/>
          <w:smallCaps/>
          <w:lang w:val="en-US"/>
        </w:rPr>
        <w:t>dem</w:t>
      </w:r>
      <w:r>
        <w:rPr>
          <w:lang w:val="en-US"/>
        </w:rPr>
        <w:tab/>
        <w:t>be-one.</w:t>
      </w:r>
      <w:r w:rsidRPr="008F6994">
        <w:rPr>
          <w:rFonts w:cs="Times New Roman (Body CS)"/>
          <w:smallCaps/>
          <w:lang w:val="en-US"/>
        </w:rPr>
        <w:t>stat</w:t>
      </w:r>
      <w:r w:rsidR="00D14A13">
        <w:rPr>
          <w:rFonts w:cs="Times New Roman (Body CS)"/>
          <w:smallCaps/>
          <w:lang w:val="en-US"/>
        </w:rPr>
        <w:t>.isg</w:t>
      </w:r>
      <w:r>
        <w:rPr>
          <w:lang w:val="en-US"/>
        </w:rPr>
        <w:tab/>
      </w:r>
      <w:r w:rsidR="003670DD">
        <w:rPr>
          <w:lang w:val="en-US"/>
        </w:rPr>
        <w:tab/>
      </w:r>
      <w:r>
        <w:rPr>
          <w:lang w:val="en-US"/>
        </w:rPr>
        <w:t>very</w:t>
      </w:r>
    </w:p>
    <w:p w14:paraId="77B5A56D" w14:textId="66CCCD95" w:rsidR="008C4BEE" w:rsidRDefault="008C4BEE" w:rsidP="00507094">
      <w:r w:rsidRPr="008C4BEE">
        <w:rPr>
          <w:lang w:val="en-US"/>
        </w:rPr>
        <w:t xml:space="preserve">It’s very difficult to do </w:t>
      </w:r>
      <w:r w:rsidRPr="00520CAD">
        <w:rPr>
          <w:lang w:val="en-US"/>
        </w:rPr>
        <w:t>this</w:t>
      </w:r>
      <w:r w:rsidRPr="008C4BEE">
        <w:rPr>
          <w:lang w:val="en-US"/>
        </w:rPr>
        <w:t xml:space="preserve"> </w:t>
      </w:r>
      <w:r w:rsidR="00D14A13">
        <w:rPr>
          <w:lang w:val="en-US"/>
        </w:rPr>
        <w:t>alone/on my own</w:t>
      </w:r>
    </w:p>
    <w:p w14:paraId="01C18528" w14:textId="74666CB6" w:rsidR="008C4BEE" w:rsidRDefault="008C4BEE" w:rsidP="00507094"/>
    <w:p w14:paraId="18658086" w14:textId="527C0B36" w:rsidR="004D73FD" w:rsidRDefault="004D73FD" w:rsidP="00507094">
      <w:r w:rsidRPr="004D73FD">
        <w:rPr>
          <w:rFonts w:ascii="Trlit_CG Times" w:hAnsi="Trlit_CG Times"/>
        </w:rPr>
        <w:t>irt nn</w:t>
      </w:r>
      <w:r>
        <w:t xml:space="preserve"> refers to his cutting </w:t>
      </w:r>
      <w:r w:rsidR="00A6102D">
        <w:t xml:space="preserve">off </w:t>
      </w:r>
      <w:r>
        <w:t>the leg with his knife</w:t>
      </w:r>
      <w:r w:rsidR="007E711E">
        <w:t>.</w:t>
      </w:r>
    </w:p>
    <w:p w14:paraId="5A52EEC5" w14:textId="77777777" w:rsidR="00FC18BB" w:rsidRDefault="00FC18BB" w:rsidP="00507094"/>
    <w:p w14:paraId="7BB5D847" w14:textId="56220410" w:rsidR="00CD0AD3" w:rsidRPr="002D4F7D" w:rsidRDefault="00C35868" w:rsidP="00507094">
      <w:pPr>
        <w:rPr>
          <w:b/>
          <w:bCs/>
        </w:rPr>
      </w:pPr>
      <w:r w:rsidRPr="00C35868">
        <w:rPr>
          <w:b/>
          <w:bCs/>
        </w:rPr>
        <w:t>2.3. Old Kingdom</w:t>
      </w:r>
      <w:r>
        <w:t xml:space="preserve"> </w:t>
      </w:r>
      <w:r w:rsidR="00CD0AD3" w:rsidRPr="002D4F7D">
        <w:rPr>
          <w:b/>
          <w:bCs/>
        </w:rPr>
        <w:t xml:space="preserve">Demonstrative Pronouns </w:t>
      </w:r>
      <w:r w:rsidR="002D4F7D">
        <w:rPr>
          <w:b/>
          <w:bCs/>
        </w:rPr>
        <w:t>in Construction</w:t>
      </w:r>
    </w:p>
    <w:p w14:paraId="03EA0EF8" w14:textId="16EAEDAF" w:rsidR="009C7980" w:rsidRDefault="00277EB2" w:rsidP="00507094">
      <w:r>
        <w:t>The examples above also show</w:t>
      </w:r>
      <w:r w:rsidR="00BF6265">
        <w:t xml:space="preserve"> </w:t>
      </w:r>
      <w:r>
        <w:t xml:space="preserve">the demonstrative pronouns </w:t>
      </w:r>
      <w:r w:rsidR="00BF6265">
        <w:t xml:space="preserve">on their own without other modifiers </w:t>
      </w:r>
      <w:r>
        <w:t xml:space="preserve">used nominally to occur in standard noun-phrase grammatical positions (such as the direct object of a verb). </w:t>
      </w:r>
      <w:r w:rsidR="004F18D5">
        <w:t xml:space="preserve">In addition, the demonstrative pronouns in Old Egyptian occur in two </w:t>
      </w:r>
      <w:r>
        <w:t xml:space="preserve">main </w:t>
      </w:r>
      <w:r w:rsidR="004F18D5">
        <w:t>constructional combinations</w:t>
      </w:r>
      <w:r w:rsidR="009C7980">
        <w:t>:</w:t>
      </w:r>
    </w:p>
    <w:p w14:paraId="1C18FFBE" w14:textId="77777777" w:rsidR="004F18D5" w:rsidRDefault="004F18D5" w:rsidP="00507094"/>
    <w:p w14:paraId="3206D249" w14:textId="22E72384" w:rsidR="009C7980" w:rsidRDefault="004F18D5" w:rsidP="004F18D5">
      <w:pPr>
        <w:pStyle w:val="ListParagraph"/>
        <w:numPr>
          <w:ilvl w:val="1"/>
          <w:numId w:val="3"/>
        </w:numPr>
      </w:pPr>
      <w:r>
        <w:t>i</w:t>
      </w:r>
      <w:r w:rsidR="009C7980">
        <w:t>n first position in the indirect genitive construction</w:t>
      </w:r>
    </w:p>
    <w:p w14:paraId="4D395EF6" w14:textId="5B470437" w:rsidR="009C7980" w:rsidRDefault="004F18D5" w:rsidP="004F18D5">
      <w:pPr>
        <w:pStyle w:val="ListParagraph"/>
        <w:numPr>
          <w:ilvl w:val="1"/>
          <w:numId w:val="3"/>
        </w:numPr>
      </w:pPr>
      <w:r>
        <w:t>w</w:t>
      </w:r>
      <w:r w:rsidR="009C7980">
        <w:t>ith a directly following relative clause</w:t>
      </w:r>
    </w:p>
    <w:p w14:paraId="5A80BBF0" w14:textId="6D0E49C0" w:rsidR="009C7980" w:rsidRDefault="009C7980" w:rsidP="00507094"/>
    <w:p w14:paraId="58302E7A" w14:textId="5CD3D826" w:rsidR="009C7980" w:rsidRDefault="009C7980" w:rsidP="00507094">
      <w:r>
        <w:t>Both of these constructions are essentially constructionali</w:t>
      </w:r>
      <w:r w:rsidR="00E036AD">
        <w:t>z</w:t>
      </w:r>
      <w:r>
        <w:t xml:space="preserve">ations of the deictic relationships seen in </w:t>
      </w:r>
      <w:r w:rsidR="00313441">
        <w:t xml:space="preserve">the </w:t>
      </w:r>
      <w:r>
        <w:t>examples above</w:t>
      </w:r>
      <w:r w:rsidR="0096508A">
        <w:t xml:space="preserve"> (as well as anaphoric examples not exemplified here)</w:t>
      </w:r>
      <w:r>
        <w:t xml:space="preserve">, where the demonstrated entity or situation is </w:t>
      </w:r>
      <w:r w:rsidR="00BA1F1A">
        <w:t>expressed in combination with the demonstrative pronouns as either the second noun in the indirect</w:t>
      </w:r>
      <w:r w:rsidR="00E35D93">
        <w:t>-</w:t>
      </w:r>
      <w:r w:rsidR="00BA1F1A">
        <w:t xml:space="preserve">genitive construction or through a relative clause. </w:t>
      </w:r>
    </w:p>
    <w:p w14:paraId="49375621" w14:textId="77777777" w:rsidR="00AF57C3" w:rsidRDefault="00AF57C3" w:rsidP="00AF57C3"/>
    <w:p w14:paraId="61B9AFF4" w14:textId="77777777" w:rsidR="00AF57C3" w:rsidRPr="00AF57C3" w:rsidRDefault="00AF57C3" w:rsidP="00AF57C3">
      <w:pPr>
        <w:rPr>
          <w:b/>
          <w:bCs/>
        </w:rPr>
      </w:pPr>
      <w:r w:rsidRPr="00AF57C3">
        <w:rPr>
          <w:b/>
          <w:bCs/>
        </w:rPr>
        <w:t>2.3.1. The indirect-genitive construction</w:t>
      </w:r>
    </w:p>
    <w:p w14:paraId="62B7EB66" w14:textId="3C8BCD67" w:rsidR="00BA1F1A" w:rsidRDefault="001F1683" w:rsidP="00AF57C3">
      <w:r>
        <w:t>My focus here is on the indirect</w:t>
      </w:r>
      <w:r w:rsidR="00D80E8D">
        <w:t>-</w:t>
      </w:r>
      <w:r>
        <w:t>genitive construction, since this is the origin of the com</w:t>
      </w:r>
      <w:r w:rsidR="00DB4E7C">
        <w:t>m</w:t>
      </w:r>
      <w:r>
        <w:t xml:space="preserve">on-plural </w:t>
      </w:r>
      <w:r w:rsidR="00110FBE">
        <w:t xml:space="preserve">demonstrative-modifier </w:t>
      </w:r>
      <w:r>
        <w:t>construction</w:t>
      </w:r>
      <w:r w:rsidR="00110FBE">
        <w:t xml:space="preserve"> of Middle Egyptian and later</w:t>
      </w:r>
      <w:r>
        <w:t xml:space="preserve">. </w:t>
      </w:r>
      <w:r w:rsidR="00DB4E7C">
        <w:t xml:space="preserve">Although </w:t>
      </w:r>
      <w:r w:rsidR="00BA1F1A">
        <w:t>I cannot here go into the required detail for a full treatment of the indirect genitive construction</w:t>
      </w:r>
      <w:r w:rsidR="00DB4E7C">
        <w:t xml:space="preserve">, </w:t>
      </w:r>
      <w:r w:rsidR="00BA1F1A">
        <w:t xml:space="preserve">if we take a typical example such as the following, this can be used to compare and contrast with the </w:t>
      </w:r>
      <w:r w:rsidR="00C336BF">
        <w:t xml:space="preserve">construction of the </w:t>
      </w:r>
      <w:r w:rsidR="00BA1F1A">
        <w:t xml:space="preserve">demonstrative </w:t>
      </w:r>
      <w:r w:rsidR="00A162F3">
        <w:t>pronoun</w:t>
      </w:r>
      <w:r w:rsidR="00BA1F1A">
        <w:t xml:space="preserve"> used </w:t>
      </w:r>
      <w:r w:rsidR="00C336BF">
        <w:t>with the</w:t>
      </w:r>
      <w:r w:rsidR="00BA1F1A">
        <w:t xml:space="preserve"> indirect genitive</w:t>
      </w:r>
      <w:r w:rsidR="00AD770F">
        <w:t>:</w:t>
      </w:r>
      <w:r w:rsidR="00AD770F">
        <w:rPr>
          <w:rStyle w:val="FootnoteReference"/>
        </w:rPr>
        <w:footnoteReference w:id="10"/>
      </w:r>
    </w:p>
    <w:p w14:paraId="6E61B466" w14:textId="355298E1" w:rsidR="00BA1F1A" w:rsidRDefault="00BA1F1A" w:rsidP="00507094"/>
    <w:p w14:paraId="0C680107" w14:textId="3829C146" w:rsidR="000E5855" w:rsidRPr="002523C9" w:rsidRDefault="009D01DC" w:rsidP="000E5855">
      <w:r w:rsidRPr="009D01DC">
        <w:lastRenderedPageBreak/>
        <w:t xml:space="preserve">Ex. </w:t>
      </w:r>
      <w:r w:rsidR="00FC18BB">
        <w:t>9</w:t>
      </w:r>
      <w:r w:rsidRPr="009D01DC">
        <w:t xml:space="preserve"> = Ex. 2. </w:t>
      </w:r>
      <w:r w:rsidR="000E5855" w:rsidRPr="002523C9">
        <w:rPr>
          <w:i/>
          <w:iCs/>
        </w:rPr>
        <w:t>Urk</w:t>
      </w:r>
      <w:r w:rsidR="000E5855" w:rsidRPr="002523C9">
        <w:t>. I, 202,9</w:t>
      </w:r>
      <w:r w:rsidR="000E5855">
        <w:t xml:space="preserve"> (</w:t>
      </w:r>
      <w:r w:rsidR="00FC18BB">
        <w:t xml:space="preserve">Tomb of </w:t>
      </w:r>
      <w:r w:rsidR="000E5855">
        <w:t>Ankhmahor)</w:t>
      </w:r>
      <w:r w:rsidR="000E5855" w:rsidRPr="002523C9">
        <w:t>:</w:t>
      </w:r>
    </w:p>
    <w:p w14:paraId="385E16A5" w14:textId="77777777" w:rsidR="003F2776" w:rsidRPr="002523C9" w:rsidRDefault="003F2776" w:rsidP="003F2776">
      <w:pPr>
        <w:rPr>
          <w:rFonts w:ascii="Trlit_CG Times" w:hAnsi="Trlit_CG Times"/>
        </w:rPr>
      </w:pPr>
      <w:r w:rsidRPr="000533AE">
        <w:rPr>
          <w:rFonts w:ascii="Trlit_CG Times" w:hAnsi="Trlit_CG Times"/>
          <w:b/>
          <w:bCs/>
        </w:rPr>
        <w:t>DADAt</w:t>
      </w:r>
      <w:r w:rsidRPr="002523C9">
        <w:rPr>
          <w:rFonts w:ascii="Trlit_CG Times" w:hAnsi="Trlit_CG Times"/>
        </w:rPr>
        <w:t xml:space="preserve"> </w:t>
      </w:r>
      <w:r w:rsidRPr="002523C9">
        <w:rPr>
          <w:rFonts w:ascii="Trlit_CG Times" w:hAnsi="Trlit_CG Times"/>
        </w:rPr>
        <w:tab/>
      </w:r>
      <w:r w:rsidRPr="002523C9">
        <w:rPr>
          <w:rFonts w:ascii="Trlit_CG Times" w:hAnsi="Trlit_CG Times"/>
        </w:rPr>
        <w:tab/>
      </w:r>
      <w:r w:rsidRPr="000533AE">
        <w:rPr>
          <w:rFonts w:ascii="Trlit_CG Times" w:hAnsi="Trlit_CG Times"/>
        </w:rPr>
        <w:t xml:space="preserve">tf </w:t>
      </w:r>
      <w:r w:rsidRPr="002523C9">
        <w:rPr>
          <w:rFonts w:ascii="Trlit_CG Times" w:hAnsi="Trlit_CG Times"/>
        </w:rPr>
        <w:tab/>
      </w:r>
      <w:r w:rsidRPr="002523C9">
        <w:rPr>
          <w:rFonts w:ascii="Trlit_CG Times" w:hAnsi="Trlit_CG Times"/>
        </w:rPr>
        <w:tab/>
        <w:t xml:space="preserve">Spst </w:t>
      </w:r>
      <w:r w:rsidRPr="002523C9">
        <w:rPr>
          <w:rFonts w:ascii="Trlit_CG Times" w:hAnsi="Trlit_CG Times"/>
        </w:rPr>
        <w:tab/>
      </w:r>
      <w:r w:rsidRPr="002523C9">
        <w:rPr>
          <w:rFonts w:ascii="Trlit_CG Times" w:hAnsi="Trlit_CG Times"/>
        </w:rPr>
        <w:tab/>
        <w:t xml:space="preserve">nt </w:t>
      </w:r>
      <w:r>
        <w:rPr>
          <w:rFonts w:ascii="Trlit_CG Times" w:hAnsi="Trlit_CG Times"/>
        </w:rPr>
        <w:tab/>
      </w:r>
      <w:r>
        <w:rPr>
          <w:rFonts w:ascii="Trlit_CG Times" w:hAnsi="Trlit_CG Times"/>
        </w:rPr>
        <w:tab/>
      </w:r>
      <w:r w:rsidRPr="000533AE">
        <w:rPr>
          <w:rFonts w:ascii="Trlit_CG Times" w:hAnsi="Trlit_CG Times"/>
          <w:b/>
          <w:bCs/>
        </w:rPr>
        <w:t xml:space="preserve">nTr </w:t>
      </w:r>
      <w:r>
        <w:rPr>
          <w:rFonts w:ascii="Trlit_CG Times" w:hAnsi="Trlit_CG Times"/>
        </w:rPr>
        <w:tab/>
      </w:r>
      <w:r>
        <w:rPr>
          <w:rFonts w:ascii="Trlit_CG Times" w:hAnsi="Trlit_CG Times"/>
        </w:rPr>
        <w:tab/>
      </w:r>
      <w:r w:rsidRPr="002523C9">
        <w:rPr>
          <w:rFonts w:ascii="Trlit_CG Times" w:hAnsi="Trlit_CG Times"/>
        </w:rPr>
        <w:t>aA</w:t>
      </w:r>
    </w:p>
    <w:p w14:paraId="0C978D10" w14:textId="77777777" w:rsidR="003F2776" w:rsidRPr="002523C9" w:rsidRDefault="003F2776" w:rsidP="003F2776">
      <w:r w:rsidRPr="000533AE">
        <w:rPr>
          <w:b/>
          <w:bCs/>
        </w:rPr>
        <w:t>court.</w:t>
      </w:r>
      <w:r w:rsidRPr="000533AE">
        <w:rPr>
          <w:b/>
          <w:bCs/>
          <w:smallCaps/>
        </w:rPr>
        <w:t>fsg</w:t>
      </w:r>
      <w:r w:rsidRPr="002523C9">
        <w:tab/>
      </w:r>
      <w:r w:rsidRPr="000533AE">
        <w:t>dem.</w:t>
      </w:r>
      <w:r w:rsidRPr="000533AE">
        <w:rPr>
          <w:smallCaps/>
        </w:rPr>
        <w:t>fsg</w:t>
      </w:r>
      <w:r w:rsidRPr="002523C9">
        <w:tab/>
        <w:t>august</w:t>
      </w:r>
      <w:r>
        <w:t>.</w:t>
      </w:r>
      <w:r w:rsidRPr="003958F8">
        <w:rPr>
          <w:smallCaps/>
        </w:rPr>
        <w:t>fsg</w:t>
      </w:r>
      <w:r w:rsidRPr="002523C9">
        <w:tab/>
        <w:t>of</w:t>
      </w:r>
      <w:r>
        <w:t>.</w:t>
      </w:r>
      <w:r w:rsidRPr="003958F8">
        <w:rPr>
          <w:smallCaps/>
        </w:rPr>
        <w:t>fsg</w:t>
      </w:r>
      <w:r w:rsidRPr="002523C9">
        <w:t xml:space="preserve"> </w:t>
      </w:r>
      <w:r>
        <w:tab/>
      </w:r>
      <w:r>
        <w:tab/>
      </w:r>
      <w:r w:rsidRPr="000533AE">
        <w:rPr>
          <w:b/>
          <w:bCs/>
        </w:rPr>
        <w:t>god.</w:t>
      </w:r>
      <w:r w:rsidRPr="000533AE">
        <w:rPr>
          <w:b/>
          <w:bCs/>
          <w:smallCaps/>
        </w:rPr>
        <w:t>msg</w:t>
      </w:r>
      <w:r w:rsidRPr="002523C9">
        <w:t xml:space="preserve"> </w:t>
      </w:r>
      <w:r>
        <w:tab/>
      </w:r>
      <w:r w:rsidRPr="002523C9">
        <w:t>great</w:t>
      </w:r>
      <w:r>
        <w:t>.</w:t>
      </w:r>
      <w:r w:rsidRPr="003958F8">
        <w:rPr>
          <w:smallCaps/>
        </w:rPr>
        <w:t>msg</w:t>
      </w:r>
    </w:p>
    <w:p w14:paraId="21393B7F" w14:textId="577D5999" w:rsidR="000E5855" w:rsidRDefault="00357BC2" w:rsidP="000E5855">
      <w:r w:rsidRPr="000533AE">
        <w:rPr>
          <w:b/>
          <w:bCs/>
        </w:rPr>
        <w:t>N1</w:t>
      </w:r>
      <w:r w:rsidR="000E5855">
        <w:tab/>
      </w:r>
      <w:r w:rsidR="000E5855">
        <w:tab/>
      </w:r>
      <w:r w:rsidR="000E5855">
        <w:tab/>
      </w:r>
      <w:r w:rsidR="000E5855">
        <w:tab/>
      </w:r>
      <w:r w:rsidR="000E5855">
        <w:tab/>
      </w:r>
      <w:r w:rsidR="000E5855">
        <w:tab/>
      </w:r>
      <w:r w:rsidR="000E5855" w:rsidRPr="000E5855">
        <w:rPr>
          <w:rFonts w:ascii="Trlit_CG Times" w:hAnsi="Trlit_CG Times"/>
        </w:rPr>
        <w:t>nt</w:t>
      </w:r>
      <w:r w:rsidR="000E5855">
        <w:tab/>
      </w:r>
      <w:r>
        <w:tab/>
      </w:r>
      <w:r w:rsidRPr="000533AE">
        <w:rPr>
          <w:b/>
          <w:bCs/>
        </w:rPr>
        <w:t>N2</w:t>
      </w:r>
    </w:p>
    <w:p w14:paraId="53D3F656" w14:textId="059E33E3" w:rsidR="000E5855" w:rsidRPr="002523C9" w:rsidRDefault="000E5855" w:rsidP="000E5855">
      <w:r w:rsidRPr="002523C9">
        <w:t>that august court of the great god</w:t>
      </w:r>
    </w:p>
    <w:p w14:paraId="4545675B" w14:textId="129AE248" w:rsidR="00BA1F1A" w:rsidRDefault="00BA1F1A" w:rsidP="00507094"/>
    <w:p w14:paraId="370198BD" w14:textId="3E1D72D0" w:rsidR="00214448" w:rsidRDefault="00672E55" w:rsidP="00372A10">
      <w:pPr>
        <w:ind w:firstLine="720"/>
      </w:pPr>
      <w:r>
        <w:t>By form</w:t>
      </w:r>
      <w:r w:rsidR="00214448">
        <w:t>, t</w:t>
      </w:r>
      <w:r w:rsidR="00BA1F1A">
        <w:t>he indirect</w:t>
      </w:r>
      <w:r w:rsidR="007F3943">
        <w:t>-genitive</w:t>
      </w:r>
      <w:r w:rsidR="00BA1F1A">
        <w:t xml:space="preserve"> construction relates together two nominal expressions (</w:t>
      </w:r>
      <w:r w:rsidR="00357BC2">
        <w:t>N1</w:t>
      </w:r>
      <w:r w:rsidR="00BA1F1A">
        <w:t xml:space="preserve"> and </w:t>
      </w:r>
      <w:r w:rsidR="00357BC2">
        <w:t>N2</w:t>
      </w:r>
      <w:r w:rsidR="00BA1F1A">
        <w:t xml:space="preserve">). </w:t>
      </w:r>
      <w:r w:rsidR="005A0B40">
        <w:t>The</w:t>
      </w:r>
      <w:r w:rsidR="00D536B1">
        <w:t xml:space="preserve"> indirect</w:t>
      </w:r>
      <w:r w:rsidR="002B053C">
        <w:t>-</w:t>
      </w:r>
      <w:r w:rsidR="00D536B1">
        <w:t>genitive linker links the two nouns together and allows N2</w:t>
      </w:r>
      <w:r w:rsidR="00D24268">
        <w:t>, in effect,</w:t>
      </w:r>
      <w:r w:rsidR="00D536B1">
        <w:t xml:space="preserve"> to function as a modifier of N1.</w:t>
      </w:r>
      <w:r w:rsidR="0003488C">
        <w:rPr>
          <w:rStyle w:val="FootnoteReference"/>
        </w:rPr>
        <w:footnoteReference w:id="11"/>
      </w:r>
      <w:r w:rsidR="00D536B1">
        <w:t xml:space="preserve"> The indirect genitive linker agrees with </w:t>
      </w:r>
      <w:r w:rsidR="008B1AC4">
        <w:t xml:space="preserve">and is a dependent of </w:t>
      </w:r>
      <w:r w:rsidR="00D536B1">
        <w:t xml:space="preserve">N1 and takes N2 as its </w:t>
      </w:r>
      <w:r w:rsidR="008B1AC4">
        <w:t xml:space="preserve">own </w:t>
      </w:r>
      <w:r w:rsidR="00D536B1">
        <w:t>dependent.</w:t>
      </w:r>
      <w:r w:rsidR="00D24268">
        <w:rPr>
          <w:rStyle w:val="FootnoteReference"/>
        </w:rPr>
        <w:footnoteReference w:id="12"/>
      </w:r>
      <w:r w:rsidR="00D536B1">
        <w:t xml:space="preserve"> </w:t>
      </w:r>
      <w:r w:rsidR="00BA1F1A">
        <w:t>In examples such as the one above</w:t>
      </w:r>
      <w:r w:rsidR="00995B7B">
        <w:t xml:space="preserve">, </w:t>
      </w:r>
      <w:r w:rsidR="00BA1F1A">
        <w:t xml:space="preserve">each nominal expression has its own nominal core (here nouns) </w:t>
      </w:r>
      <w:r w:rsidR="000A0BEA">
        <w:t xml:space="preserve">each </w:t>
      </w:r>
      <w:r w:rsidR="00BA1F1A">
        <w:t xml:space="preserve">with its own number-gender marking and </w:t>
      </w:r>
      <w:r w:rsidR="008B1AC4">
        <w:t xml:space="preserve">each </w:t>
      </w:r>
      <w:r w:rsidR="00BA1F1A">
        <w:t>can take nominal modifiers of its own such as demonstrative modifiers and adjectives as here</w:t>
      </w:r>
      <w:r w:rsidR="000E5855">
        <w:t xml:space="preserve"> (</w:t>
      </w:r>
      <w:r w:rsidR="00357BC2">
        <w:t>N1</w:t>
      </w:r>
      <w:r w:rsidR="000E5855">
        <w:t xml:space="preserve"> </w:t>
      </w:r>
      <w:r w:rsidR="000E5855" w:rsidRPr="00357BC2">
        <w:rPr>
          <w:rFonts w:ascii="Trlit_CG Times" w:hAnsi="Trlit_CG Times"/>
        </w:rPr>
        <w:t>DADAt</w:t>
      </w:r>
      <w:r w:rsidR="000E5855">
        <w:t xml:space="preserve"> has </w:t>
      </w:r>
      <w:r w:rsidR="00A162F3">
        <w:t>its</w:t>
      </w:r>
      <w:r w:rsidR="000E5855">
        <w:t xml:space="preserve"> own demonstrative modifier and adjective, both of which agree with it in number and gender, here feminine singular; </w:t>
      </w:r>
      <w:r w:rsidR="00357BC2">
        <w:t>N2</w:t>
      </w:r>
      <w:r w:rsidR="000E5855">
        <w:t xml:space="preserve"> </w:t>
      </w:r>
      <w:r w:rsidR="000E5855" w:rsidRPr="00357BC2">
        <w:rPr>
          <w:rFonts w:ascii="Trlit_CG Times" w:hAnsi="Trlit_CG Times"/>
        </w:rPr>
        <w:t>nTr</w:t>
      </w:r>
      <w:r w:rsidR="000E5855">
        <w:t xml:space="preserve"> has </w:t>
      </w:r>
      <w:r w:rsidR="00A162F3">
        <w:t>its</w:t>
      </w:r>
      <w:r w:rsidR="000E5855">
        <w:t xml:space="preserve"> own adjective, which agrees with it in number and gender, here masculine singular)</w:t>
      </w:r>
      <w:r w:rsidR="00BA1F1A">
        <w:t xml:space="preserve">. </w:t>
      </w:r>
    </w:p>
    <w:p w14:paraId="075A2FC2" w14:textId="409A8457" w:rsidR="006D4E8C" w:rsidRDefault="00672E55" w:rsidP="004774A5">
      <w:pPr>
        <w:ind w:firstLine="720"/>
      </w:pPr>
      <w:r>
        <w:t>By meaning</w:t>
      </w:r>
      <w:r w:rsidR="00214448">
        <w:t xml:space="preserve">, </w:t>
      </w:r>
      <w:r w:rsidR="00882797">
        <w:t xml:space="preserve">in examples such as Ex. 2 = Ex. 9, </w:t>
      </w:r>
      <w:r w:rsidR="00214448">
        <w:t>e</w:t>
      </w:r>
      <w:r w:rsidR="00BA1F1A">
        <w:t>ach no</w:t>
      </w:r>
      <w:r w:rsidR="000C7B73">
        <w:t>minal expression also</w:t>
      </w:r>
      <w:r w:rsidR="00BA1F1A">
        <w:t xml:space="preserve"> refer</w:t>
      </w:r>
      <w:r w:rsidR="00995B7B">
        <w:t>s</w:t>
      </w:r>
      <w:r w:rsidR="00BA1F1A">
        <w:t xml:space="preserve"> to </w:t>
      </w:r>
      <w:r w:rsidR="00995B7B">
        <w:t>a distinct</w:t>
      </w:r>
      <w:r w:rsidR="00BA1F1A">
        <w:t xml:space="preserve"> </w:t>
      </w:r>
      <w:r w:rsidR="00995B7B">
        <w:t>entity</w:t>
      </w:r>
      <w:r w:rsidR="00BA1F1A">
        <w:t xml:space="preserve">. Referentially, </w:t>
      </w:r>
      <w:r w:rsidR="00357BC2">
        <w:t>N1</w:t>
      </w:r>
      <w:r w:rsidR="00BA1F1A">
        <w:t xml:space="preserve"> </w:t>
      </w:r>
      <w:r w:rsidR="00357BC2">
        <w:t>supplies</w:t>
      </w:r>
      <w:r w:rsidR="00BA1F1A">
        <w:t xml:space="preserve"> the primary referent (R)</w:t>
      </w:r>
      <w:r w:rsidR="00357BC2">
        <w:t xml:space="preserve"> (the phrase </w:t>
      </w:r>
      <w:r w:rsidR="00372A10">
        <w:t>refers to</w:t>
      </w:r>
      <w:r w:rsidR="00357BC2">
        <w:t xml:space="preserve"> a </w:t>
      </w:r>
      <w:r w:rsidR="00A162F3">
        <w:t>particular</w:t>
      </w:r>
      <w:r w:rsidR="00357BC2">
        <w:t xml:space="preserve"> type of court/council and not a particul</w:t>
      </w:r>
      <w:r w:rsidR="00F657A4">
        <w:t>a</w:t>
      </w:r>
      <w:r w:rsidR="00357BC2">
        <w:t>r type of god)</w:t>
      </w:r>
      <w:r w:rsidR="00BA1F1A">
        <w:t xml:space="preserve">, whilst </w:t>
      </w:r>
      <w:r w:rsidR="00F657A4">
        <w:t>N2 provides</w:t>
      </w:r>
      <w:r w:rsidR="00BA1F1A">
        <w:t xml:space="preserve"> the secondary reference point (r) delimiting more s</w:t>
      </w:r>
      <w:r w:rsidR="00357BC2">
        <w:t>pe</w:t>
      </w:r>
      <w:r w:rsidR="00BA1F1A">
        <w:t xml:space="preserve">cifically the </w:t>
      </w:r>
      <w:r w:rsidR="00D05B1E">
        <w:t>reference</w:t>
      </w:r>
      <w:r w:rsidR="00BA1F1A">
        <w:t xml:space="preserve"> of </w:t>
      </w:r>
      <w:r w:rsidR="00357BC2">
        <w:t>N1</w:t>
      </w:r>
      <w:r w:rsidR="00BA1F1A">
        <w:t xml:space="preserve"> (it’s not jus</w:t>
      </w:r>
      <w:r w:rsidR="00BB6DCB">
        <w:t>t</w:t>
      </w:r>
      <w:r w:rsidR="00BA1F1A">
        <w:t xml:space="preserve"> any court</w:t>
      </w:r>
      <w:r w:rsidR="00357BC2">
        <w:t>/council</w:t>
      </w:r>
      <w:r w:rsidR="00BA1F1A">
        <w:t>, but more specifically the court of the gre</w:t>
      </w:r>
      <w:r w:rsidR="00357BC2">
        <w:t>a</w:t>
      </w:r>
      <w:r w:rsidR="00BA1F1A">
        <w:t>t god)</w:t>
      </w:r>
      <w:r w:rsidR="00BB6DCB">
        <w:t xml:space="preserve">. </w:t>
      </w:r>
      <w:r w:rsidR="006D4E8C">
        <w:t>In the const</w:t>
      </w:r>
      <w:r w:rsidR="00E37FD5">
        <w:t>r</w:t>
      </w:r>
      <w:r w:rsidR="006D4E8C">
        <w:t>uction exhibited above, the two nouns and their referential fields are distinct, without any necessary grammatical or referential indexing between the two nouns (</w:t>
      </w:r>
      <w:r w:rsidR="006D4E8C" w:rsidRPr="00411303">
        <w:rPr>
          <w:rFonts w:ascii="Trlit_CG Times" w:hAnsi="Trlit_CG Times"/>
        </w:rPr>
        <w:t>DADAt</w:t>
      </w:r>
      <w:r w:rsidR="006D4E8C">
        <w:t xml:space="preserve"> is feminine and </w:t>
      </w:r>
      <w:r w:rsidR="006D4E8C" w:rsidRPr="00411303">
        <w:rPr>
          <w:rFonts w:ascii="Trlit_CG Times" w:hAnsi="Trlit_CG Times"/>
        </w:rPr>
        <w:t>nTr</w:t>
      </w:r>
      <w:r w:rsidR="006D4E8C">
        <w:t xml:space="preserve"> is masculine in this example and both entities are distinct). Each noun controls agreement of its modifiers within its referential field and each noun is unrestricted in number and gender (each can be masculine or feminine and singular, dual or plural</w:t>
      </w:r>
      <w:r w:rsidR="007D022B">
        <w:t>)</w:t>
      </w:r>
      <w:r w:rsidR="006D4E8C">
        <w:t>.</w:t>
      </w:r>
    </w:p>
    <w:p w14:paraId="5AE79DED" w14:textId="6F965814" w:rsidR="00BA1F1A" w:rsidRDefault="00BB6DCB" w:rsidP="00F657A4">
      <w:pPr>
        <w:ind w:firstLine="720"/>
      </w:pPr>
      <w:r>
        <w:t>It might help to present this in a more visual fashion</w:t>
      </w:r>
      <w:r w:rsidR="005B4F3C">
        <w:t xml:space="preserve"> (__ indicates referential domain; … indicates </w:t>
      </w:r>
      <w:r w:rsidR="00372A10">
        <w:t xml:space="preserve">scope of </w:t>
      </w:r>
      <w:r w:rsidR="005B4F3C">
        <w:t xml:space="preserve">agreement </w:t>
      </w:r>
      <w:r w:rsidR="00372A10">
        <w:t>with</w:t>
      </w:r>
      <w:r w:rsidR="005B4F3C">
        <w:t xml:space="preserve"> N)</w:t>
      </w:r>
      <w:r>
        <w:t>:</w:t>
      </w:r>
    </w:p>
    <w:p w14:paraId="211BE72A" w14:textId="77777777" w:rsidR="007F648B" w:rsidRDefault="007F648B" w:rsidP="007F648B"/>
    <w:p w14:paraId="1B2C6F55" w14:textId="45655D79" w:rsidR="00E42461" w:rsidRPr="002523C9" w:rsidRDefault="00E42461" w:rsidP="002137AF">
      <w:pPr>
        <w:rPr>
          <w:rFonts w:ascii="Trlit_CG Times" w:hAnsi="Trlit_CG Times"/>
        </w:rPr>
      </w:pPr>
      <w:r w:rsidRPr="002523C9">
        <w:rPr>
          <w:rFonts w:ascii="Trlit_CG Times" w:hAnsi="Trlit_CG Times"/>
        </w:rPr>
        <w:t xml:space="preserve">DADAt </w:t>
      </w:r>
      <w:r w:rsidRPr="002523C9">
        <w:rPr>
          <w:rFonts w:ascii="Trlit_CG Times" w:hAnsi="Trlit_CG Times"/>
        </w:rPr>
        <w:tab/>
      </w:r>
      <w:r w:rsidRPr="002523C9">
        <w:rPr>
          <w:rFonts w:ascii="Trlit_CG Times" w:hAnsi="Trlit_CG Times"/>
        </w:rPr>
        <w:tab/>
      </w:r>
      <w:r w:rsidRPr="002523C9">
        <w:rPr>
          <w:rFonts w:ascii="Trlit_CG Times" w:hAnsi="Trlit_CG Times"/>
          <w:b/>
          <w:bCs/>
        </w:rPr>
        <w:t xml:space="preserve">tf </w:t>
      </w:r>
      <w:r w:rsidRPr="002523C9">
        <w:rPr>
          <w:rFonts w:ascii="Trlit_CG Times" w:hAnsi="Trlit_CG Times"/>
        </w:rPr>
        <w:tab/>
      </w:r>
      <w:r w:rsidRPr="002523C9">
        <w:rPr>
          <w:rFonts w:ascii="Trlit_CG Times" w:hAnsi="Trlit_CG Times"/>
        </w:rPr>
        <w:tab/>
        <w:t xml:space="preserve">Spst </w:t>
      </w:r>
      <w:r w:rsidRPr="002523C9">
        <w:rPr>
          <w:rFonts w:ascii="Trlit_CG Times" w:hAnsi="Trlit_CG Times"/>
        </w:rPr>
        <w:tab/>
      </w:r>
      <w:r w:rsidRPr="002523C9">
        <w:rPr>
          <w:rFonts w:ascii="Trlit_CG Times" w:hAnsi="Trlit_CG Times"/>
        </w:rPr>
        <w:tab/>
        <w:t xml:space="preserve">nt </w:t>
      </w:r>
      <w:r>
        <w:rPr>
          <w:rFonts w:ascii="Trlit_CG Times" w:hAnsi="Trlit_CG Times"/>
        </w:rPr>
        <w:tab/>
      </w:r>
      <w:r w:rsidR="008074BD">
        <w:rPr>
          <w:rFonts w:ascii="Trlit_CG Times" w:hAnsi="Trlit_CG Times"/>
        </w:rPr>
        <w:tab/>
      </w:r>
      <w:r w:rsidRPr="002523C9">
        <w:rPr>
          <w:rFonts w:ascii="Trlit_CG Times" w:hAnsi="Trlit_CG Times"/>
        </w:rPr>
        <w:t xml:space="preserve">nTr </w:t>
      </w:r>
      <w:r>
        <w:rPr>
          <w:rFonts w:ascii="Trlit_CG Times" w:hAnsi="Trlit_CG Times"/>
        </w:rPr>
        <w:tab/>
      </w:r>
      <w:r>
        <w:rPr>
          <w:rFonts w:ascii="Trlit_CG Times" w:hAnsi="Trlit_CG Times"/>
        </w:rPr>
        <w:tab/>
      </w:r>
      <w:r w:rsidRPr="002523C9">
        <w:rPr>
          <w:rFonts w:ascii="Trlit_CG Times" w:hAnsi="Trlit_CG Times"/>
        </w:rPr>
        <w:t>aA</w:t>
      </w:r>
    </w:p>
    <w:p w14:paraId="6B46F49A" w14:textId="1F2C8ACF" w:rsidR="00926094" w:rsidRDefault="00926094" w:rsidP="002137AF">
      <w:r>
        <w:t>R</w:t>
      </w:r>
      <w:r w:rsidR="00933EF3">
        <w:t>____________________________________</w:t>
      </w:r>
      <w:r w:rsidR="004355BE">
        <w:t>__________</w:t>
      </w:r>
      <w:r w:rsidR="00933EF3">
        <w:tab/>
      </w:r>
      <w:r w:rsidR="004355BE">
        <w:tab/>
      </w:r>
      <w:r w:rsidR="00933EF3">
        <w:t>r____________</w:t>
      </w:r>
      <w:r w:rsidR="003122ED">
        <w:t>_</w:t>
      </w:r>
      <w:r w:rsidR="004355BE">
        <w:t>___</w:t>
      </w:r>
    </w:p>
    <w:p w14:paraId="18EDEB0B" w14:textId="5C6EF797" w:rsidR="00E42461" w:rsidRDefault="00933EF3" w:rsidP="002137AF">
      <w:r>
        <w:t>N1</w:t>
      </w:r>
      <w:r w:rsidR="008E5C7D">
        <w:t>[fsg]</w:t>
      </w:r>
      <w:r w:rsidR="00650817">
        <w:t xml:space="preserve"> ……</w:t>
      </w:r>
      <w:r w:rsidR="00650817">
        <w:tab/>
      </w:r>
      <w:r>
        <w:t>Dem</w:t>
      </w:r>
      <w:r w:rsidR="00650817">
        <w:t xml:space="preserve"> ………</w:t>
      </w:r>
      <w:r w:rsidR="00650817">
        <w:tab/>
      </w:r>
      <w:r>
        <w:t>Adj</w:t>
      </w:r>
      <w:r w:rsidR="00650817">
        <w:t xml:space="preserve"> …………</w:t>
      </w:r>
      <w:r w:rsidR="00650817">
        <w:tab/>
      </w:r>
      <w:r>
        <w:t>IG linker</w:t>
      </w:r>
      <w:r w:rsidR="00E42461">
        <w:tab/>
      </w:r>
      <w:r>
        <w:t>N2</w:t>
      </w:r>
      <w:r w:rsidR="008E5C7D">
        <w:t>[msg]</w:t>
      </w:r>
      <w:r w:rsidR="00650817">
        <w:t xml:space="preserve"> ……</w:t>
      </w:r>
      <w:r w:rsidR="00650817">
        <w:tab/>
      </w:r>
      <w:r>
        <w:t>Adj</w:t>
      </w:r>
    </w:p>
    <w:p w14:paraId="4EB982BD" w14:textId="77777777" w:rsidR="00D05B1E" w:rsidRDefault="00D05B1E" w:rsidP="00507094"/>
    <w:p w14:paraId="703D9BEF" w14:textId="1B4AFB6D" w:rsidR="00372A10" w:rsidRDefault="00D05B1E" w:rsidP="00507094">
      <w:r>
        <w:t xml:space="preserve">Meaning and form are </w:t>
      </w:r>
      <w:r>
        <w:t>in harmony or accord</w:t>
      </w:r>
      <w:r>
        <w:t>.</w:t>
      </w:r>
      <w:r>
        <w:t xml:space="preserve"> </w:t>
      </w:r>
      <w:r w:rsidR="00E33E1E">
        <w:t>Taking N1 as the head and N2 as being in a modifier expression</w:t>
      </w:r>
      <w:r w:rsidR="00FA79F0">
        <w:t xml:space="preserve"> with the indirect-genitive linker</w:t>
      </w:r>
      <w:r w:rsidR="00E33E1E">
        <w:t xml:space="preserve">, </w:t>
      </w:r>
      <w:r>
        <w:t>there is</w:t>
      </w:r>
      <w:r w:rsidR="002E283F">
        <w:t xml:space="preserve"> the following head-modifier relationship:</w:t>
      </w:r>
    </w:p>
    <w:p w14:paraId="362DBBE7" w14:textId="138E53F4" w:rsidR="000E432A" w:rsidRDefault="000E432A" w:rsidP="00507094"/>
    <w:p w14:paraId="5637729C" w14:textId="271486ED" w:rsidR="000E432A" w:rsidRDefault="000E432A" w:rsidP="00507094">
      <w:r>
        <w:t xml:space="preserve">N1  </w:t>
      </w:r>
      <w:r w:rsidR="006842D3">
        <w:tab/>
      </w:r>
      <w:r w:rsidR="00F124E5">
        <w:tab/>
      </w:r>
      <w:r>
        <w:t>indir-gen</w:t>
      </w:r>
      <w:r w:rsidR="006842D3">
        <w:t xml:space="preserve"> </w:t>
      </w:r>
      <w:r>
        <w:t>N2</w:t>
      </w:r>
    </w:p>
    <w:p w14:paraId="12592B44" w14:textId="708D1AAA" w:rsidR="006842D3" w:rsidRDefault="006842D3" w:rsidP="00507094">
      <w:r>
        <w:t>Head</w:t>
      </w:r>
      <w:r>
        <w:tab/>
      </w:r>
      <w:r w:rsidR="00F124E5">
        <w:tab/>
      </w:r>
      <w:r>
        <w:t>Modifier</w:t>
      </w:r>
    </w:p>
    <w:p w14:paraId="377E0CED" w14:textId="1D9E4419" w:rsidR="00372A10" w:rsidRDefault="00372A10" w:rsidP="00507094"/>
    <w:p w14:paraId="377DDECF" w14:textId="7E1AEBA4" w:rsidR="00AF57C3" w:rsidRPr="00AF57C3" w:rsidRDefault="00AF57C3" w:rsidP="00507094">
      <w:pPr>
        <w:rPr>
          <w:b/>
          <w:bCs/>
        </w:rPr>
      </w:pPr>
      <w:r w:rsidRPr="00AF57C3">
        <w:rPr>
          <w:b/>
          <w:bCs/>
        </w:rPr>
        <w:t>2.3.2 The</w:t>
      </w:r>
      <w:r w:rsidR="007F2B24">
        <w:rPr>
          <w:b/>
          <w:bCs/>
        </w:rPr>
        <w:t xml:space="preserve"> Old Egyptian</w:t>
      </w:r>
      <w:r w:rsidRPr="00AF57C3">
        <w:rPr>
          <w:b/>
          <w:bCs/>
        </w:rPr>
        <w:t xml:space="preserve"> </w:t>
      </w:r>
      <w:r w:rsidRPr="00AF57C3">
        <w:rPr>
          <w:rFonts w:ascii="Trlit_CG Times" w:hAnsi="Trlit_CG Times"/>
          <w:b/>
          <w:bCs/>
        </w:rPr>
        <w:t>n</w:t>
      </w:r>
      <w:r w:rsidRPr="00AF57C3">
        <w:rPr>
          <w:b/>
          <w:bCs/>
        </w:rPr>
        <w:t xml:space="preserve">-demonstrative </w:t>
      </w:r>
      <w:r w:rsidRPr="00AF57C3">
        <w:rPr>
          <w:rFonts w:ascii="Trlit_CG Times" w:hAnsi="Trlit_CG Times"/>
          <w:b/>
          <w:bCs/>
        </w:rPr>
        <w:t>n(y)</w:t>
      </w:r>
      <w:r w:rsidRPr="00AF57C3">
        <w:rPr>
          <w:b/>
          <w:bCs/>
        </w:rPr>
        <w:t xml:space="preserve"> construction</w:t>
      </w:r>
    </w:p>
    <w:p w14:paraId="4E21E6E1" w14:textId="1D791B54" w:rsidR="00BB6DCB" w:rsidRDefault="006D4E8C" w:rsidP="00507094">
      <w:r>
        <w:t>Throughout</w:t>
      </w:r>
      <w:r w:rsidR="00BB6DCB">
        <w:t xml:space="preserve"> Old </w:t>
      </w:r>
      <w:r>
        <w:t>Egyptian</w:t>
      </w:r>
      <w:r w:rsidR="003B0877">
        <w:t xml:space="preserve"> (including the Pyramid Texts)</w:t>
      </w:r>
      <w:r>
        <w:t>,</w:t>
      </w:r>
      <w:r w:rsidR="00BB6DCB">
        <w:t xml:space="preserve"> </w:t>
      </w:r>
      <w:r w:rsidR="009D03A1">
        <w:t xml:space="preserve">occasional </w:t>
      </w:r>
      <w:r w:rsidR="00BB6DCB">
        <w:t xml:space="preserve">examples occur </w:t>
      </w:r>
      <w:r w:rsidR="00561A4A">
        <w:t xml:space="preserve">(albeit relatively rarely in the surviving sources) </w:t>
      </w:r>
      <w:r w:rsidR="00BB6DCB">
        <w:t xml:space="preserve">in which the </w:t>
      </w:r>
      <w:r w:rsidR="00E565C1">
        <w:t xml:space="preserve">invariant </w:t>
      </w:r>
      <w:r w:rsidR="00BB6DCB">
        <w:t xml:space="preserve">demonstrative pronoun is found </w:t>
      </w:r>
      <w:r w:rsidR="00BB6DCB">
        <w:lastRenderedPageBreak/>
        <w:t xml:space="preserve">in the </w:t>
      </w:r>
      <w:r>
        <w:t>N1</w:t>
      </w:r>
      <w:r w:rsidR="00E565C1">
        <w:t>-</w:t>
      </w:r>
      <w:r w:rsidR="00BB6DCB">
        <w:t xml:space="preserve">position within an indirect genitive construction (but not </w:t>
      </w:r>
      <w:r>
        <w:t xml:space="preserve">in </w:t>
      </w:r>
      <w:r w:rsidR="00BB6DCB">
        <w:t xml:space="preserve">the </w:t>
      </w:r>
      <w:r>
        <w:t>N2</w:t>
      </w:r>
      <w:r w:rsidR="00F87EFD">
        <w:t>-</w:t>
      </w:r>
      <w:r w:rsidR="00BB6DCB">
        <w:t>position)</w:t>
      </w:r>
      <w:r w:rsidR="005319F6">
        <w:t>.</w:t>
      </w:r>
      <w:r w:rsidR="00380B84">
        <w:rPr>
          <w:rStyle w:val="FootnoteReference"/>
        </w:rPr>
        <w:footnoteReference w:id="13"/>
      </w:r>
      <w:r w:rsidR="005319F6">
        <w:t xml:space="preserve"> In this construction, </w:t>
      </w:r>
      <w:r w:rsidR="00E565C1">
        <w:t>the N2-position is occupied by a noun which can appear in either masculine or feminine gender and singular, dual</w:t>
      </w:r>
      <w:r w:rsidR="003F63A9">
        <w:t>(?)</w:t>
      </w:r>
      <w:r w:rsidR="00E565C1">
        <w:t xml:space="preserve"> or plural number</w:t>
      </w:r>
      <w:r w:rsidR="004404FB">
        <w:t>, bringing to expression the referential range surveyed above</w:t>
      </w:r>
      <w:r w:rsidR="005E518F">
        <w:t xml:space="preserve"> in 2.2</w:t>
      </w:r>
      <w:r w:rsidR="003F63A9">
        <w:t xml:space="preserve"> and exemplified here in singular and plural</w:t>
      </w:r>
      <w:r w:rsidR="00EC16A1">
        <w:t>:</w:t>
      </w:r>
    </w:p>
    <w:p w14:paraId="577EFA2C" w14:textId="3D504C37" w:rsidR="00EC16A1" w:rsidRDefault="00EC16A1" w:rsidP="00507094"/>
    <w:p w14:paraId="6CE11CFB" w14:textId="62C36E6E" w:rsidR="00E565C1" w:rsidRDefault="00E565C1" w:rsidP="00E565C1">
      <w:r w:rsidRPr="00EC0D3A">
        <w:rPr>
          <w:b/>
          <w:bCs/>
        </w:rPr>
        <w:t>singular</w:t>
      </w:r>
      <w:r>
        <w:t xml:space="preserve"> (here masculine</w:t>
      </w:r>
      <w:r w:rsidR="002C0068">
        <w:t xml:space="preserve">); </w:t>
      </w:r>
      <w:r w:rsidR="002C0068" w:rsidRPr="002C0068">
        <w:rPr>
          <w:rFonts w:ascii="Trlit_CG Times" w:hAnsi="Trlit_CG Times"/>
        </w:rPr>
        <w:t>zS</w:t>
      </w:r>
      <w:r w:rsidR="002C0068">
        <w:t xml:space="preserve"> is written with a single determinative:</w:t>
      </w:r>
    </w:p>
    <w:p w14:paraId="0ED393C5" w14:textId="6D6FA996" w:rsidR="00E565C1" w:rsidRDefault="009E67E4" w:rsidP="00E565C1">
      <w:r w:rsidRPr="009E67E4">
        <w:t>Ex. 10.</w:t>
      </w:r>
      <w:r>
        <w:rPr>
          <w:i/>
          <w:iCs/>
        </w:rPr>
        <w:t xml:space="preserve"> </w:t>
      </w:r>
      <w:r w:rsidR="00E565C1" w:rsidRPr="00EC0D3A">
        <w:rPr>
          <w:i/>
          <w:iCs/>
        </w:rPr>
        <w:t>Urk</w:t>
      </w:r>
      <w:r w:rsidR="00E565C1">
        <w:t>. I</w:t>
      </w:r>
      <w:r w:rsidR="00AB61BE">
        <w:t>,</w:t>
      </w:r>
      <w:r w:rsidR="00E565C1">
        <w:t xml:space="preserve"> 119, 17 </w:t>
      </w:r>
      <w:r w:rsidR="00F9393F" w:rsidRPr="00F9393F">
        <w:rPr>
          <w:color w:val="000000" w:themeColor="text1"/>
        </w:rPr>
        <w:t xml:space="preserve">(see </w:t>
      </w:r>
      <w:r w:rsidR="00E565C1" w:rsidRPr="00F9393F">
        <w:rPr>
          <w:color w:val="000000" w:themeColor="text1"/>
        </w:rPr>
        <w:t>Borchardt</w:t>
      </w:r>
      <w:r w:rsidR="00F9393F" w:rsidRPr="00F9393F">
        <w:rPr>
          <w:color w:val="000000" w:themeColor="text1"/>
        </w:rPr>
        <w:t xml:space="preserve">, </w:t>
      </w:r>
      <w:r w:rsidR="00F9393F" w:rsidRPr="00467463">
        <w:rPr>
          <w:i/>
          <w:iCs/>
          <w:color w:val="000000" w:themeColor="text1"/>
        </w:rPr>
        <w:t>Denkmäler des Alten Reiches</w:t>
      </w:r>
      <w:r w:rsidR="00F9393F" w:rsidRPr="00F9393F">
        <w:rPr>
          <w:color w:val="000000" w:themeColor="text1"/>
        </w:rPr>
        <w:t xml:space="preserve"> II,</w:t>
      </w:r>
      <w:r w:rsidR="00E565C1" w:rsidRPr="00F9393F">
        <w:rPr>
          <w:color w:val="000000" w:themeColor="text1"/>
        </w:rPr>
        <w:t xml:space="preserve"> 85</w:t>
      </w:r>
      <w:r w:rsidR="00DC14C5">
        <w:rPr>
          <w:color w:val="000000" w:themeColor="text1"/>
        </w:rPr>
        <w:t xml:space="preserve"> &amp; </w:t>
      </w:r>
      <w:r w:rsidR="00E565C1" w:rsidRPr="00F9393F">
        <w:rPr>
          <w:color w:val="000000" w:themeColor="text1"/>
        </w:rPr>
        <w:t>pl. 82</w:t>
      </w:r>
      <w:r w:rsidR="00F9393F" w:rsidRPr="00F9393F">
        <w:rPr>
          <w:color w:val="000000" w:themeColor="text1"/>
        </w:rPr>
        <w:t xml:space="preserve"> for the full inscription)</w:t>
      </w:r>
      <w:r w:rsidR="00E565C1" w:rsidRPr="00F9393F">
        <w:rPr>
          <w:color w:val="000000" w:themeColor="text1"/>
        </w:rPr>
        <w:t>.</w:t>
      </w:r>
      <w:r w:rsidRPr="00F9393F">
        <w:rPr>
          <w:color w:val="000000" w:themeColor="text1"/>
        </w:rPr>
        <w:t xml:space="preserve"> </w:t>
      </w:r>
      <w:r>
        <w:t xml:space="preserve">In a vertical column after </w:t>
      </w:r>
      <w:r w:rsidR="008561A4">
        <w:t>an</w:t>
      </w:r>
      <w:r>
        <w:t xml:space="preserve"> offering formula</w:t>
      </w:r>
      <w:r w:rsidR="008561A4">
        <w:t>:</w:t>
      </w:r>
      <w:r w:rsidR="007875B5">
        <w:t xml:space="preserve"> </w:t>
      </w:r>
      <w:r w:rsidR="002C0068">
        <w:t>“</w:t>
      </w:r>
      <w:r w:rsidR="00E565C1">
        <w:t>It was her husband PN</w:t>
      </w:r>
      <w:r w:rsidR="0099783A">
        <w:t xml:space="preserve"> who made</w:t>
      </w:r>
      <w:r w:rsidR="002C0068">
        <w:t>”</w:t>
      </w:r>
      <w:r w:rsidR="00E565C1">
        <w:t>:</w:t>
      </w:r>
    </w:p>
    <w:p w14:paraId="65D8B77E" w14:textId="061FF7DE" w:rsidR="00E565C1" w:rsidRPr="005C493B" w:rsidRDefault="00E565C1" w:rsidP="00E565C1">
      <w:pPr>
        <w:rPr>
          <w:rFonts w:ascii="Trlit_CG Times" w:hAnsi="Trlit_CG Times"/>
        </w:rPr>
      </w:pPr>
      <w:r w:rsidRPr="00633F49">
        <w:rPr>
          <w:rFonts w:ascii="Trlit_CG Times" w:hAnsi="Trlit_CG Times"/>
          <w:b/>
          <w:bCs/>
        </w:rPr>
        <w:t xml:space="preserve">nn </w:t>
      </w:r>
      <w:r w:rsidRPr="00633F49">
        <w:rPr>
          <w:rFonts w:ascii="Trlit_CG Times" w:hAnsi="Trlit_CG Times"/>
          <w:b/>
          <w:bCs/>
        </w:rPr>
        <w:tab/>
        <w:t>n(y)</w:t>
      </w:r>
      <w:r w:rsidRPr="005C493B">
        <w:rPr>
          <w:rFonts w:ascii="Trlit_CG Times" w:hAnsi="Trlit_CG Times"/>
        </w:rPr>
        <w:t xml:space="preserve"> </w:t>
      </w:r>
      <w:r>
        <w:rPr>
          <w:rFonts w:ascii="Trlit_CG Times" w:hAnsi="Trlit_CG Times"/>
        </w:rPr>
        <w:tab/>
      </w:r>
      <w:r w:rsidRPr="005C493B">
        <w:rPr>
          <w:rFonts w:ascii="Trlit_CG Times" w:hAnsi="Trlit_CG Times"/>
        </w:rPr>
        <w:t>zS</w:t>
      </w:r>
    </w:p>
    <w:p w14:paraId="46044F30" w14:textId="1374ACD5" w:rsidR="00E565C1" w:rsidRDefault="00E565C1" w:rsidP="00E565C1">
      <w:r w:rsidRPr="00633F49">
        <w:rPr>
          <w:rFonts w:cs="Times New Roman (Body CS)"/>
          <w:b/>
          <w:bCs/>
          <w:smallCaps/>
        </w:rPr>
        <w:t>dem</w:t>
      </w:r>
      <w:r w:rsidRPr="00633F49">
        <w:rPr>
          <w:b/>
          <w:bCs/>
        </w:rPr>
        <w:tab/>
        <w:t>of</w:t>
      </w:r>
      <w:r>
        <w:tab/>
        <w:t>writing.</w:t>
      </w:r>
      <w:r w:rsidRPr="00467463">
        <w:rPr>
          <w:rFonts w:cs="Times New Roman (Body CS)"/>
          <w:smallCaps/>
        </w:rPr>
        <w:t>msg</w:t>
      </w:r>
    </w:p>
    <w:p w14:paraId="2E5ECC4A" w14:textId="7E172F28" w:rsidR="00E565C1" w:rsidRDefault="00E565C1" w:rsidP="00E565C1">
      <w:r>
        <w:t>this inscription</w:t>
      </w:r>
    </w:p>
    <w:p w14:paraId="2DC6BF1C" w14:textId="77777777" w:rsidR="00E565C1" w:rsidRDefault="00E565C1" w:rsidP="00E565C1"/>
    <w:p w14:paraId="3C9E4EF1" w14:textId="5B8F19D8" w:rsidR="00E565C1" w:rsidRPr="00EC0D3A" w:rsidRDefault="00E565C1" w:rsidP="00E565C1">
      <w:r>
        <w:rPr>
          <w:b/>
          <w:bCs/>
        </w:rPr>
        <w:t>p</w:t>
      </w:r>
      <w:r w:rsidRPr="00EC0D3A">
        <w:rPr>
          <w:b/>
          <w:bCs/>
        </w:rPr>
        <w:t>lural</w:t>
      </w:r>
      <w:r>
        <w:t xml:space="preserve"> (here </w:t>
      </w:r>
      <w:r w:rsidR="0099783A">
        <w:t>ma</w:t>
      </w:r>
      <w:r w:rsidR="00EB798D">
        <w:t>s</w:t>
      </w:r>
      <w:r w:rsidR="0099783A">
        <w:t>culine</w:t>
      </w:r>
      <w:r>
        <w:t>)</w:t>
      </w:r>
      <w:r w:rsidR="002C0068">
        <w:t xml:space="preserve">; </w:t>
      </w:r>
      <w:r w:rsidR="00BD3CBC">
        <w:rPr>
          <w:rFonts w:ascii="Trlit_CG Times" w:hAnsi="Trlit_CG Times"/>
        </w:rPr>
        <w:t>hrw(w)</w:t>
      </w:r>
      <w:r w:rsidR="002C0068">
        <w:t xml:space="preserve"> is written with three-fold repetition of the determinative:</w:t>
      </w:r>
    </w:p>
    <w:p w14:paraId="20474F1E" w14:textId="30CE4B06" w:rsidR="00E565C1" w:rsidRPr="0061117E" w:rsidRDefault="00A40CB9" w:rsidP="00E565C1">
      <w:r>
        <w:t>Ex. 1</w:t>
      </w:r>
      <w:r w:rsidR="00F848CA">
        <w:t>1</w:t>
      </w:r>
      <w:r>
        <w:t xml:space="preserve">. </w:t>
      </w:r>
      <w:r w:rsidR="00E565C1">
        <w:t xml:space="preserve">Tomb of </w:t>
      </w:r>
      <w:r w:rsidR="0099783A">
        <w:t>Wepemnefret</w:t>
      </w:r>
      <w:r w:rsidR="00E565C1">
        <w:t xml:space="preserve"> </w:t>
      </w:r>
      <w:r w:rsidR="00826C11">
        <w:t>(</w:t>
      </w:r>
      <w:r w:rsidR="00823E2A">
        <w:t>E</w:t>
      </w:r>
      <w:r w:rsidR="0099783A">
        <w:t xml:space="preserve">astern </w:t>
      </w:r>
      <w:r w:rsidR="00823E2A">
        <w:t>W</w:t>
      </w:r>
      <w:r w:rsidR="0099783A">
        <w:t xml:space="preserve">all, </w:t>
      </w:r>
      <w:r w:rsidR="00823E2A">
        <w:t>S</w:t>
      </w:r>
      <w:r w:rsidR="00015386">
        <w:t>econd</w:t>
      </w:r>
      <w:r w:rsidR="0099783A">
        <w:t xml:space="preserve"> </w:t>
      </w:r>
      <w:r w:rsidR="00823E2A">
        <w:t>R</w:t>
      </w:r>
      <w:r w:rsidR="0099783A">
        <w:t>egister</w:t>
      </w:r>
      <w:r w:rsidR="009F185B">
        <w:t xml:space="preserve">; </w:t>
      </w:r>
      <w:r w:rsidR="0099783A">
        <w:t xml:space="preserve">Hassan </w:t>
      </w:r>
      <w:r w:rsidR="009F185B">
        <w:t xml:space="preserve">, </w:t>
      </w:r>
      <w:r w:rsidR="00BD3CBC">
        <w:rPr>
          <w:i/>
          <w:iCs/>
        </w:rPr>
        <w:t xml:space="preserve">Excavations at Giza </w:t>
      </w:r>
      <w:r w:rsidR="00015386">
        <w:rPr>
          <w:i/>
          <w:iCs/>
        </w:rPr>
        <w:t>1930–1931</w:t>
      </w:r>
      <w:r w:rsidR="009F185B">
        <w:t xml:space="preserve">, </w:t>
      </w:r>
      <w:r w:rsidR="0099783A">
        <w:t>fig. 219 and p. 194</w:t>
      </w:r>
      <w:r w:rsidR="00826C11">
        <w:t>)</w:t>
      </w:r>
      <w:r w:rsidR="00205B68">
        <w:t>. A sculptor comments on the time it has taken to work on a statue, including:</w:t>
      </w:r>
    </w:p>
    <w:p w14:paraId="6AB2E406" w14:textId="2DF56350" w:rsidR="00E565C1" w:rsidRDefault="00E565C1" w:rsidP="00E565C1">
      <w:r w:rsidRPr="0061117E">
        <w:rPr>
          <w:rFonts w:ascii="Trlit_CG Times" w:hAnsi="Trlit_CG Times"/>
          <w:b/>
          <w:bCs/>
        </w:rPr>
        <w:t xml:space="preserve">nn </w:t>
      </w:r>
      <w:r>
        <w:rPr>
          <w:rFonts w:ascii="Trlit_CG Times" w:hAnsi="Trlit_CG Times"/>
          <w:b/>
          <w:bCs/>
        </w:rPr>
        <w:tab/>
      </w:r>
      <w:r w:rsidRPr="0061117E">
        <w:rPr>
          <w:rFonts w:ascii="Trlit_CG Times" w:hAnsi="Trlit_CG Times"/>
          <w:b/>
          <w:bCs/>
        </w:rPr>
        <w:t xml:space="preserve">n(y) </w:t>
      </w:r>
      <w:r>
        <w:rPr>
          <w:rFonts w:ascii="Trlit_CG Times" w:hAnsi="Trlit_CG Times"/>
          <w:b/>
          <w:bCs/>
        </w:rPr>
        <w:tab/>
      </w:r>
      <w:r w:rsidR="00205B68">
        <w:rPr>
          <w:rFonts w:ascii="Trlit_CG Times" w:hAnsi="Trlit_CG Times"/>
        </w:rPr>
        <w:t>hrw(w)</w:t>
      </w:r>
      <w:r w:rsidRPr="0061117E">
        <w:tab/>
      </w:r>
    </w:p>
    <w:p w14:paraId="6BE2A7DF" w14:textId="20DCE6DB" w:rsidR="00E565C1" w:rsidRDefault="00E565C1" w:rsidP="00E565C1">
      <w:r w:rsidRPr="00633F49">
        <w:rPr>
          <w:rFonts w:cs="Times New Roman (Body CS)"/>
          <w:b/>
          <w:bCs/>
          <w:smallCaps/>
        </w:rPr>
        <w:t>dem</w:t>
      </w:r>
      <w:r w:rsidRPr="00633F49">
        <w:rPr>
          <w:b/>
          <w:bCs/>
        </w:rPr>
        <w:tab/>
        <w:t>of</w:t>
      </w:r>
      <w:r>
        <w:tab/>
      </w:r>
      <w:r w:rsidR="00205B68">
        <w:t>days</w:t>
      </w:r>
      <w:r>
        <w:t>.</w:t>
      </w:r>
      <w:r w:rsidR="00205B68">
        <w:rPr>
          <w:rFonts w:cs="Times New Roman (Body CS)"/>
          <w:smallCaps/>
        </w:rPr>
        <w:t>m</w:t>
      </w:r>
      <w:r w:rsidRPr="00D90E50">
        <w:rPr>
          <w:rFonts w:cs="Times New Roman (Body CS)"/>
          <w:smallCaps/>
        </w:rPr>
        <w:t>pl</w:t>
      </w:r>
    </w:p>
    <w:p w14:paraId="714F1337" w14:textId="0AC65CFA" w:rsidR="00E565C1" w:rsidRPr="0061117E" w:rsidRDefault="00E565C1" w:rsidP="00E565C1">
      <w:r w:rsidRPr="00633F49">
        <w:t>th</w:t>
      </w:r>
      <w:r w:rsidR="004C58DF">
        <w:t xml:space="preserve">ese </w:t>
      </w:r>
      <w:r w:rsidR="00205B68">
        <w:t>days</w:t>
      </w:r>
    </w:p>
    <w:p w14:paraId="4764FD41" w14:textId="1D3CDB1A" w:rsidR="00BA1F1A" w:rsidRDefault="00BA1F1A" w:rsidP="00507094"/>
    <w:p w14:paraId="6DDE8C2C" w14:textId="2C867768" w:rsidR="00434E64" w:rsidRDefault="00434E64" w:rsidP="00980F9E">
      <w:pPr>
        <w:ind w:firstLine="720"/>
      </w:pPr>
      <w:r>
        <w:t>It would take a full</w:t>
      </w:r>
      <w:r w:rsidR="008D191B">
        <w:t>er</w:t>
      </w:r>
      <w:r>
        <w:t xml:space="preserve"> study to investigate </w:t>
      </w:r>
      <w:r w:rsidR="00980F9E">
        <w:t>this construction in detail</w:t>
      </w:r>
      <w:r>
        <w:t>, but</w:t>
      </w:r>
      <w:r w:rsidR="0081205B">
        <w:t>,</w:t>
      </w:r>
      <w:r>
        <w:t xml:space="preserve"> </w:t>
      </w:r>
      <w:r w:rsidR="00980F9E">
        <w:t xml:space="preserve">in terms of </w:t>
      </w:r>
      <w:r w:rsidR="001935D1">
        <w:t xml:space="preserve">meaning, the </w:t>
      </w:r>
      <w:r w:rsidR="001935D1" w:rsidRPr="00434E64">
        <w:rPr>
          <w:rFonts w:ascii="Trlit_CG Times" w:hAnsi="Trlit_CG Times"/>
        </w:rPr>
        <w:t>n-</w:t>
      </w:r>
      <w:r w:rsidR="001935D1">
        <w:t xml:space="preserve">demonstrative </w:t>
      </w:r>
      <w:r w:rsidR="001935D1" w:rsidRPr="00434E64">
        <w:rPr>
          <w:rFonts w:ascii="Trlit_CG Times" w:hAnsi="Trlit_CG Times"/>
        </w:rPr>
        <w:t>n(y)</w:t>
      </w:r>
      <w:r w:rsidR="001935D1">
        <w:t xml:space="preserve"> construction perhaps brings with it a sense of particularity, exemplar, member, instance, collection, group or set, perhaps with an original literal sense of something like “this (instance) of”. </w:t>
      </w:r>
      <w:r w:rsidR="001935D1">
        <w:t xml:space="preserve">In terms of </w:t>
      </w:r>
      <w:r w:rsidR="00980F9E">
        <w:t>form, it is notable that this provides a non-enclitic demonstrative</w:t>
      </w:r>
      <w:r w:rsidR="0046257B">
        <w:t>-</w:t>
      </w:r>
      <w:r w:rsidR="00980F9E">
        <w:t>modifier construction as an alternative to the enclitic post-nominal demonstrative modifiers noted above. In any case, by at least the 6</w:t>
      </w:r>
      <w:r w:rsidR="00980F9E" w:rsidRPr="00980F9E">
        <w:rPr>
          <w:vertAlign w:val="superscript"/>
        </w:rPr>
        <w:t>th</w:t>
      </w:r>
      <w:r w:rsidR="00980F9E">
        <w:t xml:space="preserve"> dynasty, the </w:t>
      </w:r>
      <w:r w:rsidR="00980F9E" w:rsidRPr="00D90E50">
        <w:rPr>
          <w:rFonts w:ascii="Trlit_CG Times" w:hAnsi="Trlit_CG Times"/>
        </w:rPr>
        <w:t>n</w:t>
      </w:r>
      <w:r w:rsidR="00980F9E">
        <w:t xml:space="preserve">-demonstrative </w:t>
      </w:r>
      <w:r w:rsidR="00980F9E" w:rsidRPr="00D90E50">
        <w:rPr>
          <w:rFonts w:ascii="Trlit_CG Times" w:hAnsi="Trlit_CG Times"/>
        </w:rPr>
        <w:t>n(y)</w:t>
      </w:r>
      <w:r w:rsidR="00980F9E">
        <w:t xml:space="preserve"> construction </w:t>
      </w:r>
      <w:r w:rsidR="00504D99">
        <w:t xml:space="preserve">would seem to </w:t>
      </w:r>
      <w:r w:rsidR="00C95968">
        <w:t xml:space="preserve">be able to </w:t>
      </w:r>
      <w:r w:rsidR="00980F9E">
        <w:t xml:space="preserve">deliver what is essentially </w:t>
      </w:r>
      <w:r w:rsidR="0081205B">
        <w:t>a</w:t>
      </w:r>
      <w:r w:rsidR="00980F9E">
        <w:t xml:space="preserve"> demonstrative</w:t>
      </w:r>
      <w:r w:rsidR="0081205B">
        <w:t>-</w:t>
      </w:r>
      <w:r w:rsidR="00D90E50">
        <w:t xml:space="preserve">modifier </w:t>
      </w:r>
      <w:r w:rsidR="00980F9E">
        <w:t xml:space="preserve">equivalent to an undemonstrated noun as </w:t>
      </w:r>
      <w:r w:rsidR="00B80114">
        <w:t xml:space="preserve">in </w:t>
      </w:r>
      <w:r w:rsidR="00980F9E">
        <w:t xml:space="preserve">the following </w:t>
      </w:r>
      <w:r>
        <w:t xml:space="preserve">pair of examples </w:t>
      </w:r>
      <w:r w:rsidR="00980F9E">
        <w:t>f</w:t>
      </w:r>
      <w:r>
        <w:t xml:space="preserve">ound in </w:t>
      </w:r>
      <w:r w:rsidR="00980F9E">
        <w:t xml:space="preserve">different tombs within </w:t>
      </w:r>
      <w:r>
        <w:t>the Mereruka complex</w:t>
      </w:r>
      <w:r w:rsidR="0081205B">
        <w:t xml:space="preserve"> (cited without glosses for ease of comparison)</w:t>
      </w:r>
      <w:r w:rsidR="003A6764">
        <w:t>,</w:t>
      </w:r>
      <w:r w:rsidR="00B80114">
        <w:t xml:space="preserve"> displaying </w:t>
      </w:r>
      <w:r w:rsidR="00CB6634">
        <w:t>variant expression with the</w:t>
      </w:r>
      <w:r w:rsidR="00B80114">
        <w:t xml:space="preserve"> collective </w:t>
      </w:r>
      <w:r w:rsidR="00B80114" w:rsidRPr="00B80114">
        <w:rPr>
          <w:rFonts w:ascii="Trlit_CG Times" w:hAnsi="Trlit_CG Times"/>
        </w:rPr>
        <w:t>stpt</w:t>
      </w:r>
      <w:r w:rsidR="00B80114">
        <w:t xml:space="preserve"> ‘the choice(st)’</w:t>
      </w:r>
      <w:r w:rsidR="00CB6634">
        <w:t xml:space="preserve"> (here of cuts of meat</w:t>
      </w:r>
      <w:r w:rsidR="00554606">
        <w:t>, with threefold repetition of the foreleg determinative</w:t>
      </w:r>
      <w:r w:rsidR="00CB6634">
        <w:t>)</w:t>
      </w:r>
      <w:r>
        <w:t>:</w:t>
      </w:r>
    </w:p>
    <w:p w14:paraId="0DB46D4C" w14:textId="77777777" w:rsidR="00434E64" w:rsidRDefault="00434E64" w:rsidP="00434E64"/>
    <w:p w14:paraId="5DD1B315" w14:textId="56E66680" w:rsidR="00434E64" w:rsidRPr="0061117E" w:rsidRDefault="00A40CB9" w:rsidP="00434E64">
      <w:r>
        <w:t>Ex. 1</w:t>
      </w:r>
      <w:r w:rsidR="00F848CA">
        <w:t>2</w:t>
      </w:r>
      <w:r>
        <w:t xml:space="preserve">. </w:t>
      </w:r>
      <w:r w:rsidR="00434E64">
        <w:t xml:space="preserve">Tomb of Mereruka </w:t>
      </w:r>
      <w:r w:rsidR="00434E64" w:rsidRPr="0061117E">
        <w:t>(</w:t>
      </w:r>
      <w:r w:rsidR="00434E64">
        <w:t xml:space="preserve">Mereruka complex, </w:t>
      </w:r>
      <w:r w:rsidR="00434E64" w:rsidRPr="0061117E">
        <w:t xml:space="preserve">A11 </w:t>
      </w:r>
      <w:r w:rsidR="00AE7666">
        <w:t>E</w:t>
      </w:r>
      <w:r w:rsidR="00434E64" w:rsidRPr="0061117E">
        <w:t xml:space="preserve">ast </w:t>
      </w:r>
      <w:r w:rsidR="00AE7666">
        <w:t>W</w:t>
      </w:r>
      <w:r w:rsidR="00434E64" w:rsidRPr="0061117E">
        <w:t>all</w:t>
      </w:r>
      <w:r w:rsidR="0058366B">
        <w:t xml:space="preserve">; </w:t>
      </w:r>
      <w:r w:rsidR="008A10E1" w:rsidRPr="0058366B">
        <w:rPr>
          <w:i/>
          <w:iCs/>
        </w:rPr>
        <w:t xml:space="preserve">The Mastaba of </w:t>
      </w:r>
      <w:r w:rsidR="008A10E1" w:rsidRPr="008A10E1">
        <w:rPr>
          <w:i/>
          <w:iCs/>
        </w:rPr>
        <w:t>Mereruka</w:t>
      </w:r>
      <w:r w:rsidR="008A10E1">
        <w:t xml:space="preserve"> II, pl. 109</w:t>
      </w:r>
      <w:r w:rsidR="00434E64" w:rsidRPr="0061117E">
        <w:t>)</w:t>
      </w:r>
    </w:p>
    <w:p w14:paraId="50D0087E" w14:textId="5AB7089B" w:rsidR="00434E64" w:rsidRPr="0061117E" w:rsidRDefault="00434E64" w:rsidP="00434E64">
      <w:r w:rsidRPr="0061117E">
        <w:rPr>
          <w:rFonts w:ascii="Trlit_CG Times" w:hAnsi="Trlit_CG Times"/>
        </w:rPr>
        <w:t>wn Tn rHw</w:t>
      </w:r>
      <w:r w:rsidRPr="0061117E">
        <w:tab/>
      </w:r>
      <w:r w:rsidRPr="0061117E">
        <w:tab/>
      </w:r>
      <w:r w:rsidRPr="0061117E">
        <w:tab/>
      </w:r>
      <w:r w:rsidRPr="0061117E">
        <w:tab/>
      </w:r>
      <w:r w:rsidRPr="0061117E">
        <w:tab/>
        <w:t>Hurry, guys</w:t>
      </w:r>
      <w:r w:rsidR="00604CC8">
        <w:t>!</w:t>
      </w:r>
    </w:p>
    <w:p w14:paraId="57E297C6" w14:textId="290A3E35" w:rsidR="00434E64" w:rsidRPr="0061117E" w:rsidRDefault="00434E64" w:rsidP="00434E64">
      <w:r w:rsidRPr="0061117E">
        <w:rPr>
          <w:rFonts w:ascii="Trlit_CG Times" w:hAnsi="Trlit_CG Times"/>
        </w:rPr>
        <w:t>iw Xry-Hbt Hr irt xt</w:t>
      </w:r>
      <w:r w:rsidRPr="0061117E">
        <w:tab/>
      </w:r>
      <w:r w:rsidRPr="0061117E">
        <w:tab/>
      </w:r>
      <w:r w:rsidRPr="0061117E">
        <w:tab/>
      </w:r>
      <w:r w:rsidRPr="0061117E">
        <w:tab/>
        <w:t>The lector is beginning to conduct the ritual</w:t>
      </w:r>
      <w:r w:rsidR="00604CC8">
        <w:t>.</w:t>
      </w:r>
    </w:p>
    <w:p w14:paraId="2AE56424" w14:textId="22F007CE" w:rsidR="00434E64" w:rsidRPr="0061117E" w:rsidRDefault="00434E64" w:rsidP="00434E64">
      <w:r w:rsidRPr="0061117E">
        <w:rPr>
          <w:rFonts w:ascii="Trlit_CG Times" w:hAnsi="Trlit_CG Times"/>
        </w:rPr>
        <w:t xml:space="preserve">sxp </w:t>
      </w:r>
      <w:r w:rsidRPr="0061117E">
        <w:rPr>
          <w:rFonts w:ascii="Trlit_CG Times" w:hAnsi="Trlit_CG Times"/>
          <w:b/>
          <w:bCs/>
        </w:rPr>
        <w:t>stpt</w:t>
      </w:r>
      <w:r w:rsidRPr="0061117E">
        <w:tab/>
      </w:r>
      <w:r w:rsidRPr="0061117E">
        <w:tab/>
      </w:r>
      <w:r w:rsidRPr="0061117E">
        <w:tab/>
      </w:r>
      <w:r w:rsidRPr="0061117E">
        <w:tab/>
      </w:r>
      <w:r w:rsidRPr="0061117E">
        <w:tab/>
        <w:t xml:space="preserve">Bring </w:t>
      </w:r>
      <w:r w:rsidRPr="00800C90">
        <w:rPr>
          <w:b/>
          <w:bCs/>
        </w:rPr>
        <w:t>the</w:t>
      </w:r>
      <w:r w:rsidRPr="0061117E">
        <w:rPr>
          <w:b/>
          <w:bCs/>
        </w:rPr>
        <w:t xml:space="preserve"> choice cuts</w:t>
      </w:r>
      <w:r w:rsidR="00604CC8">
        <w:rPr>
          <w:b/>
          <w:bCs/>
        </w:rPr>
        <w:t>.</w:t>
      </w:r>
    </w:p>
    <w:p w14:paraId="3D3F916B" w14:textId="77777777" w:rsidR="00434E64" w:rsidRDefault="00434E64" w:rsidP="00434E64"/>
    <w:p w14:paraId="4ABA95A1" w14:textId="06F8F794" w:rsidR="00434E64" w:rsidRPr="0061117E" w:rsidRDefault="00A40CB9" w:rsidP="00434E64">
      <w:r>
        <w:t>Ex. 1</w:t>
      </w:r>
      <w:r w:rsidR="00F848CA">
        <w:t>3</w:t>
      </w:r>
      <w:r w:rsidR="00490A78">
        <w:t>.</w:t>
      </w:r>
      <w:r w:rsidR="00F848CA">
        <w:t xml:space="preserve"> </w:t>
      </w:r>
      <w:r w:rsidR="00434E64">
        <w:t>Tomb of Mer</w:t>
      </w:r>
      <w:r w:rsidR="00EC0BA2">
        <w:t>y</w:t>
      </w:r>
      <w:r w:rsidR="00434E64">
        <w:t xml:space="preserve">teti </w:t>
      </w:r>
      <w:r>
        <w:t>(</w:t>
      </w:r>
      <w:r w:rsidR="00B80114" w:rsidRPr="00B80114">
        <w:t xml:space="preserve">Mereruka complex C3, </w:t>
      </w:r>
      <w:r w:rsidR="00AE7666">
        <w:t>E</w:t>
      </w:r>
      <w:r w:rsidR="00B80114" w:rsidRPr="00B80114">
        <w:t xml:space="preserve">ast </w:t>
      </w:r>
      <w:r w:rsidR="00AE7666">
        <w:t>W</w:t>
      </w:r>
      <w:r w:rsidR="00B80114" w:rsidRPr="00B80114">
        <w:t xml:space="preserve">all, second register from bottom; Kanawati and Abder-Raziq, </w:t>
      </w:r>
      <w:r w:rsidR="00B80114" w:rsidRPr="00B80114">
        <w:rPr>
          <w:i/>
          <w:iCs/>
        </w:rPr>
        <w:t>Tomb of Meryteti</w:t>
      </w:r>
      <w:r w:rsidR="00B80114" w:rsidRPr="00B80114">
        <w:t>, pl. 52</w:t>
      </w:r>
      <w:r>
        <w:t>)</w:t>
      </w:r>
      <w:r w:rsidR="00434E64" w:rsidRPr="0061117E">
        <w:t xml:space="preserve"> </w:t>
      </w:r>
    </w:p>
    <w:p w14:paraId="730B2092" w14:textId="3AD218B2" w:rsidR="00434E64" w:rsidRPr="0061117E" w:rsidRDefault="00434E64" w:rsidP="00434E64">
      <w:r w:rsidRPr="0061117E">
        <w:rPr>
          <w:rFonts w:ascii="Trlit_CG Times" w:hAnsi="Trlit_CG Times"/>
        </w:rPr>
        <w:t>wn Tn rHw</w:t>
      </w:r>
      <w:r w:rsidRPr="0061117E">
        <w:tab/>
      </w:r>
      <w:r w:rsidRPr="0061117E">
        <w:tab/>
      </w:r>
      <w:r w:rsidRPr="0061117E">
        <w:tab/>
      </w:r>
      <w:r w:rsidRPr="0061117E">
        <w:tab/>
      </w:r>
      <w:r w:rsidRPr="0061117E">
        <w:tab/>
        <w:t>Hurry, guys</w:t>
      </w:r>
      <w:r w:rsidR="00604CC8">
        <w:t>!</w:t>
      </w:r>
    </w:p>
    <w:p w14:paraId="0CED6E23" w14:textId="0D2A359A" w:rsidR="00434E64" w:rsidRPr="0061117E" w:rsidRDefault="00434E64" w:rsidP="00434E64">
      <w:r w:rsidRPr="0061117E">
        <w:rPr>
          <w:rFonts w:ascii="Trlit_CG Times" w:hAnsi="Trlit_CG Times"/>
        </w:rPr>
        <w:t>iw Xry-Hbt Hr irt xt</w:t>
      </w:r>
      <w:r w:rsidRPr="0061117E">
        <w:tab/>
      </w:r>
      <w:r w:rsidRPr="0061117E">
        <w:tab/>
      </w:r>
      <w:r w:rsidRPr="0061117E">
        <w:tab/>
      </w:r>
      <w:r w:rsidRPr="0061117E">
        <w:tab/>
        <w:t>The lector is beginning to conduct the ritual</w:t>
      </w:r>
      <w:r w:rsidR="00604CC8">
        <w:t>.</w:t>
      </w:r>
    </w:p>
    <w:p w14:paraId="0BA6FA2D" w14:textId="58D600A7" w:rsidR="00434E64" w:rsidRPr="0061117E" w:rsidRDefault="00434E64" w:rsidP="00434E64">
      <w:r w:rsidRPr="0061117E">
        <w:rPr>
          <w:rFonts w:ascii="Trlit_CG Times" w:hAnsi="Trlit_CG Times"/>
        </w:rPr>
        <w:t xml:space="preserve">sxp </w:t>
      </w:r>
      <w:r w:rsidRPr="0061117E">
        <w:rPr>
          <w:rFonts w:ascii="Trlit_CG Times" w:hAnsi="Trlit_CG Times"/>
          <w:b/>
          <w:bCs/>
        </w:rPr>
        <w:t>nn n(y) stpt</w:t>
      </w:r>
      <w:r w:rsidRPr="0061117E">
        <w:tab/>
      </w:r>
      <w:r w:rsidRPr="0061117E">
        <w:tab/>
      </w:r>
      <w:r w:rsidRPr="0061117E">
        <w:tab/>
      </w:r>
      <w:r w:rsidRPr="0061117E">
        <w:tab/>
        <w:t xml:space="preserve">Bring </w:t>
      </w:r>
      <w:r w:rsidRPr="0061117E">
        <w:rPr>
          <w:b/>
          <w:bCs/>
        </w:rPr>
        <w:t>th</w:t>
      </w:r>
      <w:r w:rsidR="00BE2096">
        <w:rPr>
          <w:b/>
          <w:bCs/>
        </w:rPr>
        <w:t>ese</w:t>
      </w:r>
      <w:r w:rsidRPr="0061117E">
        <w:rPr>
          <w:b/>
          <w:bCs/>
        </w:rPr>
        <w:t xml:space="preserve"> choice cuts</w:t>
      </w:r>
      <w:r w:rsidR="00604CC8">
        <w:rPr>
          <w:b/>
          <w:bCs/>
        </w:rPr>
        <w:t>.</w:t>
      </w:r>
    </w:p>
    <w:p w14:paraId="1FD85270" w14:textId="77777777" w:rsidR="00434E64" w:rsidRDefault="00434E64" w:rsidP="00434E64"/>
    <w:p w14:paraId="48DF4E1B" w14:textId="4EFC6D81" w:rsidR="00434E64" w:rsidRDefault="00434E64" w:rsidP="00434E64">
      <w:r>
        <w:t xml:space="preserve">The only difference between the two inscriptions is the simplex </w:t>
      </w:r>
      <w:r w:rsidRPr="000A55E6">
        <w:rPr>
          <w:rFonts w:ascii="Trlit_CG Times" w:hAnsi="Trlit_CG Times"/>
        </w:rPr>
        <w:t>stpt</w:t>
      </w:r>
      <w:r>
        <w:t xml:space="preserve"> </w:t>
      </w:r>
      <w:r w:rsidR="003524A8">
        <w:t xml:space="preserve">(Old Egyptian has no definite article) </w:t>
      </w:r>
      <w:r>
        <w:t xml:space="preserve">in the main Mereruka tomb </w:t>
      </w:r>
      <w:r w:rsidR="0037381D">
        <w:t xml:space="preserve">(A) </w:t>
      </w:r>
      <w:r>
        <w:t xml:space="preserve">and the complex </w:t>
      </w:r>
      <w:r w:rsidRPr="000A55E6">
        <w:rPr>
          <w:rFonts w:ascii="Trlit_CG Times" w:hAnsi="Trlit_CG Times"/>
        </w:rPr>
        <w:t>nn n(y) stpt</w:t>
      </w:r>
      <w:r>
        <w:t xml:space="preserve"> in the </w:t>
      </w:r>
      <w:r w:rsidR="0037381D">
        <w:t>Mer</w:t>
      </w:r>
      <w:r w:rsidR="00055D9B">
        <w:t>y</w:t>
      </w:r>
      <w:r w:rsidR="0037381D">
        <w:t>teti tomb (</w:t>
      </w:r>
      <w:r>
        <w:t>C</w:t>
      </w:r>
      <w:r w:rsidR="0037381D">
        <w:t>)</w:t>
      </w:r>
      <w:r>
        <w:t>.</w:t>
      </w:r>
    </w:p>
    <w:p w14:paraId="42AE3961" w14:textId="698864CD" w:rsidR="00EC16A1" w:rsidRDefault="00EC16A1" w:rsidP="00005F11">
      <w:pPr>
        <w:ind w:firstLine="720"/>
      </w:pPr>
      <w:r>
        <w:t>As a micro-constructional derivative of the indirect genitive construction, th</w:t>
      </w:r>
      <w:r w:rsidR="0099034A">
        <w:t xml:space="preserve">e </w:t>
      </w:r>
      <w:r w:rsidR="0099034A" w:rsidRPr="0099034A">
        <w:rPr>
          <w:rFonts w:ascii="Trlit_CG Times" w:hAnsi="Trlit_CG Times"/>
        </w:rPr>
        <w:t>n-</w:t>
      </w:r>
      <w:r w:rsidR="0099034A">
        <w:t xml:space="preserve">demonstrative </w:t>
      </w:r>
      <w:r w:rsidR="0099034A" w:rsidRPr="0099034A">
        <w:rPr>
          <w:rFonts w:ascii="Trlit_CG Times" w:hAnsi="Trlit_CG Times"/>
        </w:rPr>
        <w:t>n(y)</w:t>
      </w:r>
      <w:r w:rsidR="0099034A">
        <w:t xml:space="preserve"> </w:t>
      </w:r>
      <w:r>
        <w:t xml:space="preserve">construction shows the demonstrative pronoun in the </w:t>
      </w:r>
      <w:r w:rsidR="003B0877">
        <w:t>N1-</w:t>
      </w:r>
      <w:r>
        <w:t>position</w:t>
      </w:r>
      <w:r w:rsidR="003B0877">
        <w:t xml:space="preserve"> of the standard construction discussed above</w:t>
      </w:r>
      <w:r>
        <w:t>.</w:t>
      </w:r>
      <w:r w:rsidR="00D823C7">
        <w:rPr>
          <w:rStyle w:val="FootnoteReference"/>
        </w:rPr>
        <w:footnoteReference w:id="14"/>
      </w:r>
      <w:r>
        <w:t xml:space="preserve"> In accord with this, the indirect</w:t>
      </w:r>
      <w:r w:rsidR="00F124E5">
        <w:t>-</w:t>
      </w:r>
      <w:r>
        <w:t xml:space="preserve">genitive linker </w:t>
      </w:r>
      <w:r w:rsidRPr="003B0877">
        <w:rPr>
          <w:rFonts w:ascii="Trlit_CG Times" w:hAnsi="Trlit_CG Times"/>
        </w:rPr>
        <w:t>n(y)</w:t>
      </w:r>
      <w:r>
        <w:t xml:space="preserve"> takes its agreement from the demonstrative pronoun. Since the demonstrative pronoun is invariant and does not shows distinctions of number and gender, th</w:t>
      </w:r>
      <w:r w:rsidR="00105715">
        <w:t>e</w:t>
      </w:r>
      <w:r>
        <w:t xml:space="preserve"> agreement marking of the indirect genitive is similarly the default, unmarked form of nominal agreement, which is that show</w:t>
      </w:r>
      <w:r w:rsidR="00B74E12">
        <w:t>n</w:t>
      </w:r>
      <w:r>
        <w:t xml:space="preserve"> in the masculine singular form. So invariant and masculine singular here coincide.</w:t>
      </w:r>
      <w:r w:rsidR="003B0877">
        <w:t xml:space="preserve"> In origin, at least, the noun in the N2-position of the standard indirect-genitive construction occurs as the dependent after the </w:t>
      </w:r>
      <w:r w:rsidR="003B0877" w:rsidRPr="003B0877">
        <w:rPr>
          <w:rFonts w:ascii="Trlit_CG Times" w:hAnsi="Trlit_CG Times"/>
        </w:rPr>
        <w:t>n(y)</w:t>
      </w:r>
      <w:r w:rsidR="003B0877">
        <w:t xml:space="preserve"> linker</w:t>
      </w:r>
      <w:r w:rsidR="00F124E5">
        <w:t>:</w:t>
      </w:r>
    </w:p>
    <w:p w14:paraId="30900B67" w14:textId="2121D16E" w:rsidR="00F124E5" w:rsidRDefault="00F124E5" w:rsidP="00F124E5"/>
    <w:p w14:paraId="296C2115" w14:textId="6A693FB3" w:rsidR="00F124E5" w:rsidRDefault="00F124E5" w:rsidP="00F124E5">
      <w:r w:rsidRPr="00F124E5">
        <w:rPr>
          <w:rFonts w:ascii="Trlit_CG Times" w:hAnsi="Trlit_CG Times"/>
        </w:rPr>
        <w:t>n</w:t>
      </w:r>
      <w:r>
        <w:t>-dem</w:t>
      </w:r>
      <w:r>
        <w:tab/>
      </w:r>
      <w:r>
        <w:tab/>
      </w:r>
      <w:r w:rsidRPr="00F124E5">
        <w:rPr>
          <w:rFonts w:ascii="Trlit_CG Times" w:hAnsi="Trlit_CG Times"/>
        </w:rPr>
        <w:t>n(y)</w:t>
      </w:r>
      <w:r>
        <w:t xml:space="preserve"> N </w:t>
      </w:r>
    </w:p>
    <w:p w14:paraId="7260F3D3" w14:textId="1EBB5283" w:rsidR="00F124E5" w:rsidRDefault="00F124E5" w:rsidP="00F124E5">
      <w:r>
        <w:t>Head</w:t>
      </w:r>
      <w:r>
        <w:tab/>
      </w:r>
      <w:r>
        <w:tab/>
        <w:t>Modifier</w:t>
      </w:r>
    </w:p>
    <w:p w14:paraId="49533608" w14:textId="77777777" w:rsidR="00F124E5" w:rsidRDefault="00F124E5" w:rsidP="00F124E5"/>
    <w:p w14:paraId="2EB77130" w14:textId="1CC35BFE" w:rsidR="0096794F" w:rsidRDefault="00105715" w:rsidP="0096794F">
      <w:pPr>
        <w:ind w:firstLine="720"/>
      </w:pPr>
      <w:r>
        <w:t xml:space="preserve">However, the demonstrative pronoun displays certain restrictions (ultimately linked to its referential properties) in that it </w:t>
      </w:r>
      <w:r w:rsidR="008D0137">
        <w:t>shows a preference to avoid</w:t>
      </w:r>
      <w:r>
        <w:t xml:space="preserve"> </w:t>
      </w:r>
      <w:r w:rsidR="003B0877">
        <w:t xml:space="preserve">additional </w:t>
      </w:r>
      <w:r>
        <w:t>modifiers of its own aside from the indirect-genitive link</w:t>
      </w:r>
      <w:r w:rsidR="003B0877">
        <w:t>, nor</w:t>
      </w:r>
      <w:r w:rsidR="003B0877" w:rsidRPr="003B0877">
        <w:t xml:space="preserve"> </w:t>
      </w:r>
      <w:r w:rsidR="003B0877">
        <w:t>does it occur in the N2-position in the indirect construction</w:t>
      </w:r>
      <w:r>
        <w:t xml:space="preserve">. </w:t>
      </w:r>
      <w:r w:rsidR="00096C8A">
        <w:t>This is connected</w:t>
      </w:r>
      <w:r w:rsidR="00E565C1">
        <w:t>, of course,</w:t>
      </w:r>
      <w:r w:rsidR="00096C8A">
        <w:t xml:space="preserve"> to the fact th</w:t>
      </w:r>
      <w:r w:rsidR="00E565C1">
        <w:t>a</w:t>
      </w:r>
      <w:r w:rsidR="00096C8A">
        <w:t>t the demonstrative pronouns have</w:t>
      </w:r>
      <w:r w:rsidR="002A3DD7">
        <w:t xml:space="preserve"> </w:t>
      </w:r>
      <w:r w:rsidR="00096C8A">
        <w:t>the semantic referential properties of demonstrative</w:t>
      </w:r>
      <w:r w:rsidR="00E565C1">
        <w:t>s</w:t>
      </w:r>
      <w:r w:rsidR="00096C8A">
        <w:t xml:space="preserve"> and, from the semantic point of view of constructional networks, find their </w:t>
      </w:r>
      <w:r w:rsidR="003032DB">
        <w:t xml:space="preserve">semantic </w:t>
      </w:r>
      <w:r w:rsidR="00096C8A">
        <w:t xml:space="preserve">links with </w:t>
      </w:r>
      <w:r w:rsidR="00310B08">
        <w:t>the other demonstrative constructions</w:t>
      </w:r>
      <w:r w:rsidR="006E58C1">
        <w:t>. I</w:t>
      </w:r>
      <w:r w:rsidR="00F22E57">
        <w:t>ndeed the history of this co-opted indirect</w:t>
      </w:r>
      <w:r w:rsidR="00994640">
        <w:t>-</w:t>
      </w:r>
      <w:r w:rsidR="00F22E57">
        <w:t>genitival construction is one of harmoni</w:t>
      </w:r>
      <w:r w:rsidR="00AE5104">
        <w:t>z</w:t>
      </w:r>
      <w:r w:rsidR="00F22E57">
        <w:t>ation with other demonstra</w:t>
      </w:r>
      <w:r w:rsidR="00C44AE4">
        <w:t>ti</w:t>
      </w:r>
      <w:r w:rsidR="00F22E57">
        <w:t>ve-modifier constructions</w:t>
      </w:r>
      <w:r w:rsidR="002A3DD7">
        <w:t xml:space="preserve">. </w:t>
      </w:r>
    </w:p>
    <w:p w14:paraId="41D7A018" w14:textId="66A2655A" w:rsidR="005E57D6" w:rsidRDefault="00005F11" w:rsidP="0096794F">
      <w:pPr>
        <w:ind w:firstLine="720"/>
      </w:pPr>
      <w:r>
        <w:t>Th</w:t>
      </w:r>
      <w:r w:rsidR="00445C57">
        <w:t>e</w:t>
      </w:r>
      <w:r w:rsidR="00BD5684">
        <w:t xml:space="preserve"> noun in the</w:t>
      </w:r>
      <w:r>
        <w:t xml:space="preserve"> original N2-</w:t>
      </w:r>
      <w:r w:rsidR="00BD5684">
        <w:t>position</w:t>
      </w:r>
      <w:r>
        <w:t xml:space="preserve"> is the </w:t>
      </w:r>
      <w:r w:rsidR="00325392">
        <w:t>primary</w:t>
      </w:r>
      <w:r>
        <w:t xml:space="preserve"> referential noun in the </w:t>
      </w:r>
      <w:r w:rsidR="004C188A">
        <w:t xml:space="preserve">construction </w:t>
      </w:r>
      <w:r>
        <w:t>and supplies the R in the construction and not the r</w:t>
      </w:r>
      <w:r w:rsidR="00C44AE4">
        <w:t xml:space="preserve">. This noun can occur in masculine or feminine gender and singular, dual(?) </w:t>
      </w:r>
      <w:r w:rsidR="00404BB9">
        <w:t>or</w:t>
      </w:r>
      <w:r w:rsidR="00C44AE4">
        <w:t xml:space="preserve"> plural number. As noted, this construction essentially brings to linguistic expression the referential relationships displayed by the demonstrative pronoun (surveyed above).</w:t>
      </w:r>
      <w:r w:rsidR="004C188A">
        <w:t xml:space="preserve"> </w:t>
      </w:r>
      <w:r w:rsidR="00C44AE4">
        <w:t xml:space="preserve">The demonstrative </w:t>
      </w:r>
      <w:r w:rsidR="004C188A">
        <w:t>does not have separate, distinct reference</w:t>
      </w:r>
      <w:r w:rsidR="00C44AE4">
        <w:t xml:space="preserve"> (unlike the N1 noun in the source construction)</w:t>
      </w:r>
      <w:r w:rsidR="004C188A">
        <w:t>, but points to th</w:t>
      </w:r>
      <w:r w:rsidR="003D0D0B">
        <w:t>e</w:t>
      </w:r>
      <w:r w:rsidR="004C188A">
        <w:t xml:space="preserve"> R-noun and is coindexed with it</w:t>
      </w:r>
      <w:r w:rsidR="009B6230">
        <w:t xml:space="preserve"> </w:t>
      </w:r>
      <w:r w:rsidR="00B76583">
        <w:t xml:space="preserve">in a referential relationship </w:t>
      </w:r>
      <w:r w:rsidR="009B6230">
        <w:t>(though not in a specific agreement relationship)</w:t>
      </w:r>
      <w:r>
        <w:t>.</w:t>
      </w:r>
      <w:r w:rsidR="00055D9B">
        <w:t xml:space="preserve"> </w:t>
      </w:r>
      <w:r w:rsidR="005E57D6">
        <w:t xml:space="preserve">The referential and grammatical properties of the noun in the original N2-position </w:t>
      </w:r>
      <w:r w:rsidR="00F50807">
        <w:t>are</w:t>
      </w:r>
      <w:r w:rsidR="005E57D6">
        <w:t>, of course, in line grammatically with the separate nominal core provided by N2 in the standard indirect-genitive construction, but now with the semantic distinction that this noun provides the principle referent for the phrase as whole (R rather than r):</w:t>
      </w:r>
      <w:r w:rsidR="00B74E12">
        <w:rPr>
          <w:rStyle w:val="FootnoteReference"/>
        </w:rPr>
        <w:footnoteReference w:id="15"/>
      </w:r>
    </w:p>
    <w:p w14:paraId="5593AB16" w14:textId="77777777" w:rsidR="003816E4" w:rsidRDefault="003816E4" w:rsidP="005E57D6"/>
    <w:p w14:paraId="243ACC36" w14:textId="757B0ECC" w:rsidR="005E57D6" w:rsidRPr="00057946" w:rsidRDefault="005E57D6" w:rsidP="005E57D6">
      <w:r w:rsidRPr="00057946">
        <w:rPr>
          <w:rFonts w:ascii="Trlit_CG Times" w:hAnsi="Trlit_CG Times"/>
        </w:rPr>
        <w:t xml:space="preserve">nn </w:t>
      </w:r>
      <w:r w:rsidRPr="00057946">
        <w:rPr>
          <w:rFonts w:ascii="Trlit_CG Times" w:hAnsi="Trlit_CG Times"/>
        </w:rPr>
        <w:tab/>
      </w:r>
      <w:r w:rsidRPr="00057946">
        <w:rPr>
          <w:rFonts w:ascii="Trlit_CG Times" w:hAnsi="Trlit_CG Times"/>
        </w:rPr>
        <w:tab/>
      </w:r>
      <w:r w:rsidRPr="00057946">
        <w:rPr>
          <w:rFonts w:ascii="Trlit_CG Times" w:hAnsi="Trlit_CG Times"/>
        </w:rPr>
        <w:tab/>
        <w:t xml:space="preserve">n(y) </w:t>
      </w:r>
      <w:r w:rsidRPr="00057946">
        <w:rPr>
          <w:rFonts w:ascii="Trlit_CG Times" w:hAnsi="Trlit_CG Times"/>
        </w:rPr>
        <w:tab/>
      </w:r>
      <w:r w:rsidRPr="00057946">
        <w:rPr>
          <w:rFonts w:ascii="Trlit_CG Times" w:hAnsi="Trlit_CG Times"/>
        </w:rPr>
        <w:tab/>
      </w:r>
      <w:r w:rsidR="00625B71">
        <w:rPr>
          <w:rFonts w:ascii="Trlit_CG Times" w:hAnsi="Trlit_CG Times"/>
        </w:rPr>
        <w:t>zS</w:t>
      </w:r>
    </w:p>
    <w:p w14:paraId="7EB8EC56" w14:textId="5071DE25" w:rsidR="005E57D6" w:rsidRDefault="00091939" w:rsidP="005E57D6">
      <w:r>
        <w:t>Dem</w:t>
      </w:r>
      <w:r w:rsidRPr="00091939">
        <w:rPr>
          <w:vertAlign w:val="subscript"/>
        </w:rPr>
        <w:t>i</w:t>
      </w:r>
      <w:r w:rsidR="00C622A8">
        <w:rPr>
          <w:vertAlign w:val="subscript"/>
        </w:rPr>
        <w:t xml:space="preserve"> </w:t>
      </w:r>
      <w:r w:rsidR="005E57D6">
        <w:t>_________________________</w:t>
      </w:r>
      <w:r w:rsidR="00BA6E5A">
        <w:t>_______</w:t>
      </w:r>
      <w:r w:rsidR="00BA6E5A">
        <w:tab/>
      </w:r>
      <w:r w:rsidR="005E57D6">
        <w:t>R</w:t>
      </w:r>
      <w:r w:rsidRPr="00091939">
        <w:rPr>
          <w:vertAlign w:val="subscript"/>
        </w:rPr>
        <w:t>i</w:t>
      </w:r>
    </w:p>
    <w:p w14:paraId="174F8C57" w14:textId="08FC0AB5" w:rsidR="005E57D6" w:rsidRDefault="005E57D6" w:rsidP="005E57D6">
      <w:r>
        <w:t>Dem ………………</w:t>
      </w:r>
      <w:r w:rsidR="00521007">
        <w:t>……….</w:t>
      </w:r>
      <w:r>
        <w:tab/>
        <w:t>linker</w:t>
      </w:r>
      <w:r>
        <w:tab/>
      </w:r>
      <w:r>
        <w:tab/>
        <w:t>N[</w:t>
      </w:r>
      <w:r w:rsidR="00625B71">
        <w:t>msg</w:t>
      </w:r>
      <w:r>
        <w:t>]</w:t>
      </w:r>
    </w:p>
    <w:p w14:paraId="61C7AB10" w14:textId="287A351C" w:rsidR="005E57D6" w:rsidRDefault="00D47D43" w:rsidP="005E57D6">
      <w:r>
        <w:lastRenderedPageBreak/>
        <w:t>t</w:t>
      </w:r>
      <w:r w:rsidR="005E57D6">
        <w:t>h</w:t>
      </w:r>
      <w:r w:rsidR="00893066">
        <w:t>is inscription</w:t>
      </w:r>
    </w:p>
    <w:p w14:paraId="43FA6D43" w14:textId="7DF506A3" w:rsidR="005E57D6" w:rsidRDefault="005E57D6" w:rsidP="005E57D6"/>
    <w:p w14:paraId="26C7AC42" w14:textId="02460A42" w:rsidR="004C188A" w:rsidRDefault="0096794F" w:rsidP="0096794F">
      <w:pPr>
        <w:ind w:firstLine="720"/>
      </w:pPr>
      <w:r>
        <w:t xml:space="preserve">So, although a micro-constructional derivative of the indirect-genitive construction, forming part of the grammatical network of indirect genitive constructions, the </w:t>
      </w:r>
      <w:r w:rsidRPr="00E565C1">
        <w:rPr>
          <w:rFonts w:ascii="Trlit_CG Times" w:hAnsi="Trlit_CG Times"/>
        </w:rPr>
        <w:t>n</w:t>
      </w:r>
      <w:r>
        <w:t xml:space="preserve">-demonstrative </w:t>
      </w:r>
      <w:r w:rsidRPr="00E565C1">
        <w:rPr>
          <w:rFonts w:ascii="Trlit_CG Times" w:hAnsi="Trlit_CG Times"/>
        </w:rPr>
        <w:t>n(y)</w:t>
      </w:r>
      <w:r>
        <w:t xml:space="preserve"> construction shows significant deviation from the fuller grammatical potential of the more typical indirect-genitive construction examples such as Ex. 2 = Ex. 9 above</w:t>
      </w:r>
      <w:r w:rsidR="001D3DB5">
        <w:t>, not least in the semantic referential properties of the demonstrative</w:t>
      </w:r>
      <w:r>
        <w:t xml:space="preserve">. </w:t>
      </w:r>
      <w:r w:rsidR="004C188A">
        <w:t xml:space="preserve">This leads to </w:t>
      </w:r>
      <w:r w:rsidR="00711BCC">
        <w:t>a</w:t>
      </w:r>
      <w:r w:rsidR="004C188A">
        <w:t xml:space="preserve"> reanalysis or neoanalysis of the head-modifier relations, in which the R-noun is increasingly taken to provide the primary content head of the construction and the </w:t>
      </w:r>
      <w:r w:rsidR="004C188A" w:rsidRPr="001B08DE">
        <w:rPr>
          <w:rFonts w:ascii="Trlit_CG Times" w:hAnsi="Trlit_CG Times"/>
        </w:rPr>
        <w:t>n</w:t>
      </w:r>
      <w:r w:rsidR="004C188A">
        <w:t xml:space="preserve">-demonstrative </w:t>
      </w:r>
      <w:r w:rsidR="004C188A" w:rsidRPr="001B08DE">
        <w:rPr>
          <w:rFonts w:ascii="Trlit_CG Times" w:hAnsi="Trlit_CG Times"/>
        </w:rPr>
        <w:t>n(y)</w:t>
      </w:r>
      <w:r w:rsidR="004C188A">
        <w:t xml:space="preserve"> is taken either as a co-indexed functional head (as in </w:t>
      </w:r>
      <w:r w:rsidR="00D16B11">
        <w:t xml:space="preserve">a </w:t>
      </w:r>
      <w:r w:rsidR="004C188A">
        <w:t xml:space="preserve">generative-grammar style DP analysis) </w:t>
      </w:r>
      <w:r w:rsidR="00EA2CAA">
        <w:t xml:space="preserve">or specifier, </w:t>
      </w:r>
      <w:r w:rsidR="004C188A">
        <w:t>or</w:t>
      </w:r>
      <w:r w:rsidR="00EA2CAA">
        <w:t>, more simply,</w:t>
      </w:r>
      <w:r w:rsidR="004C188A">
        <w:t xml:space="preserve"> as </w:t>
      </w:r>
      <w:r w:rsidR="001B08DE">
        <w:t>a</w:t>
      </w:r>
      <w:r w:rsidR="004C188A">
        <w:t xml:space="preserve"> co-indexed </w:t>
      </w:r>
      <w:r w:rsidR="005E2364">
        <w:t xml:space="preserve">pre-nominal </w:t>
      </w:r>
      <w:r w:rsidR="004C188A">
        <w:t xml:space="preserve">modifier. </w:t>
      </w:r>
      <w:r w:rsidR="00815EB2">
        <w:t xml:space="preserve">Although the </w:t>
      </w:r>
      <w:r w:rsidR="007320E7">
        <w:t>functional-head or specifier analyses</w:t>
      </w:r>
      <w:r w:rsidR="00815EB2">
        <w:t xml:space="preserve"> ha</w:t>
      </w:r>
      <w:r w:rsidR="007320E7">
        <w:t>ve</w:t>
      </w:r>
      <w:r w:rsidR="00815EB2">
        <w:t xml:space="preserve"> much to recommend </w:t>
      </w:r>
      <w:r w:rsidR="007320E7">
        <w:t>them</w:t>
      </w:r>
      <w:r w:rsidR="00815EB2">
        <w:t xml:space="preserve">, this would require more detailed discussion </w:t>
      </w:r>
      <w:r w:rsidR="00695504">
        <w:t xml:space="preserve">than can be accommodated here </w:t>
      </w:r>
      <w:r w:rsidR="00815EB2">
        <w:t>and so</w:t>
      </w:r>
      <w:r w:rsidR="000039B0">
        <w:t>,</w:t>
      </w:r>
      <w:r w:rsidR="00815EB2">
        <w:t xml:space="preserve"> i</w:t>
      </w:r>
      <w:r w:rsidR="004C188A">
        <w:t xml:space="preserve">f the </w:t>
      </w:r>
      <w:r w:rsidR="007320E7">
        <w:t>modifier</w:t>
      </w:r>
      <w:r w:rsidR="00815EB2">
        <w:t xml:space="preserve"> analysis is taken </w:t>
      </w:r>
      <w:r w:rsidR="007320E7">
        <w:t xml:space="preserve">as the primary means of discussion </w:t>
      </w:r>
      <w:r w:rsidR="00815EB2">
        <w:t>for convenience</w:t>
      </w:r>
      <w:r w:rsidR="004C188A">
        <w:t>, then</w:t>
      </w:r>
      <w:r w:rsidR="00815EB2">
        <w:t xml:space="preserve"> we have</w:t>
      </w:r>
      <w:r w:rsidR="00B74ABA">
        <w:t xml:space="preserve"> (“Modifier” can be replaced by “Functional Head” or “Specifier” label</w:t>
      </w:r>
      <w:r w:rsidR="00FA0423">
        <w:t>,</w:t>
      </w:r>
      <w:r w:rsidR="00B74ABA">
        <w:t xml:space="preserve"> if preferred)</w:t>
      </w:r>
      <w:r w:rsidR="004C188A">
        <w:t>:</w:t>
      </w:r>
    </w:p>
    <w:p w14:paraId="74C2F409" w14:textId="7618F2D4" w:rsidR="004C188A" w:rsidRDefault="004C188A" w:rsidP="004C188A"/>
    <w:p w14:paraId="6F1584E1" w14:textId="23B48A1E" w:rsidR="004C188A" w:rsidRDefault="004C188A" w:rsidP="004C188A">
      <w:r w:rsidRPr="00F124E5">
        <w:rPr>
          <w:rFonts w:ascii="Trlit_CG Times" w:hAnsi="Trlit_CG Times"/>
        </w:rPr>
        <w:t>n</w:t>
      </w:r>
      <w:r>
        <w:t xml:space="preserve">-dem </w:t>
      </w:r>
      <w:r w:rsidR="005937BE">
        <w:t xml:space="preserve"> </w:t>
      </w:r>
      <w:r w:rsidRPr="00F124E5">
        <w:rPr>
          <w:rFonts w:ascii="Trlit_CG Times" w:hAnsi="Trlit_CG Times"/>
        </w:rPr>
        <w:t>n(y)</w:t>
      </w:r>
      <w:r>
        <w:t xml:space="preserve"> </w:t>
      </w:r>
      <w:r>
        <w:tab/>
      </w:r>
      <w:r>
        <w:tab/>
        <w:t>N</w:t>
      </w:r>
    </w:p>
    <w:p w14:paraId="27979D68" w14:textId="32BDB260" w:rsidR="004C188A" w:rsidRDefault="004C188A" w:rsidP="004C188A">
      <w:r>
        <w:t>Modifier</w:t>
      </w:r>
      <w:r>
        <w:tab/>
      </w:r>
      <w:r>
        <w:tab/>
        <w:t>Head</w:t>
      </w:r>
    </w:p>
    <w:p w14:paraId="51FFB79A" w14:textId="77777777" w:rsidR="007320E7" w:rsidRDefault="007320E7" w:rsidP="00507094"/>
    <w:p w14:paraId="6F194BF4" w14:textId="4DDCD367" w:rsidR="00FC3147" w:rsidRDefault="00FC3147" w:rsidP="00507094">
      <w:r>
        <w:t xml:space="preserve">An additional factor in this </w:t>
      </w:r>
      <w:r w:rsidR="008C5B19">
        <w:t>which</w:t>
      </w:r>
      <w:r>
        <w:t xml:space="preserve"> should be mentioned is the role of chunking,</w:t>
      </w:r>
      <w:r w:rsidR="00E156E0">
        <w:rPr>
          <w:rStyle w:val="FootnoteReference"/>
        </w:rPr>
        <w:footnoteReference w:id="16"/>
      </w:r>
      <w:r>
        <w:t xml:space="preserve"> the </w:t>
      </w:r>
      <w:r w:rsidR="00117CF3">
        <w:t xml:space="preserve">gathering together of repeated strings of elements into a single </w:t>
      </w:r>
      <w:r w:rsidR="004755A5">
        <w:t>“</w:t>
      </w:r>
      <w:r w:rsidR="00117CF3">
        <w:t>chunk</w:t>
      </w:r>
      <w:r w:rsidR="004755A5">
        <w:t>”</w:t>
      </w:r>
      <w:r w:rsidR="00117CF3">
        <w:t>.</w:t>
      </w:r>
      <w:r w:rsidR="00E156E0">
        <w:t xml:space="preserve"> For example, taking the </w:t>
      </w:r>
      <w:r w:rsidR="00E156E0" w:rsidRPr="008C5B19">
        <w:rPr>
          <w:rFonts w:ascii="Trlit_CG Times" w:hAnsi="Trlit_CG Times"/>
        </w:rPr>
        <w:t>nn</w:t>
      </w:r>
      <w:r w:rsidR="00B96213">
        <w:t>-</w:t>
      </w:r>
      <w:r w:rsidR="00E156E0">
        <w:t>demonstrative</w:t>
      </w:r>
      <w:r w:rsidR="008C5B19">
        <w:t xml:space="preserve"> as a specific example of the </w:t>
      </w:r>
      <w:r w:rsidR="008C5B19" w:rsidRPr="008C5B19">
        <w:rPr>
          <w:rFonts w:ascii="Trlit_CG Times" w:hAnsi="Trlit_CG Times"/>
        </w:rPr>
        <w:t>n</w:t>
      </w:r>
      <w:r w:rsidR="008C5B19">
        <w:t>-demonstratives</w:t>
      </w:r>
      <w:r w:rsidR="00E156E0">
        <w:t xml:space="preserve">, speakers would encounter repeated examples of </w:t>
      </w:r>
      <w:r w:rsidR="00E156E0" w:rsidRPr="00711BCC">
        <w:rPr>
          <w:rFonts w:ascii="Trlit_CG Times" w:hAnsi="Trlit_CG Times"/>
        </w:rPr>
        <w:t>nn n(y)</w:t>
      </w:r>
      <w:r w:rsidR="00E156E0">
        <w:t xml:space="preserve"> as a given string with varied expression of the noun</w:t>
      </w:r>
      <w:r w:rsidR="008F62EF">
        <w:t xml:space="preserve"> (lexically and in terms of number and gender)</w:t>
      </w:r>
      <w:r w:rsidR="00E156E0">
        <w:t xml:space="preserve">, </w:t>
      </w:r>
      <w:r w:rsidR="008C5B19">
        <w:t xml:space="preserve">which can be depicted </w:t>
      </w:r>
      <w:r w:rsidR="00E156E0">
        <w:t xml:space="preserve">in notation </w:t>
      </w:r>
      <w:r w:rsidR="008C5B19">
        <w:t xml:space="preserve">as follows </w:t>
      </w:r>
      <w:r w:rsidR="00E156E0">
        <w:t>(where ordinary-</w:t>
      </w:r>
      <w:r w:rsidR="00EA438D">
        <w:t>transliteration characters</w:t>
      </w:r>
      <w:r w:rsidR="00E156E0">
        <w:t xml:space="preserve"> represents fixed elements of expression and small-caps represent variable expression):</w:t>
      </w:r>
    </w:p>
    <w:p w14:paraId="484A4678" w14:textId="647E521E" w:rsidR="00E156E0" w:rsidRDefault="00E156E0" w:rsidP="00507094"/>
    <w:p w14:paraId="5D2131A6" w14:textId="47FBC9AC" w:rsidR="00E156E0" w:rsidRDefault="00E156E0" w:rsidP="00507094">
      <w:r w:rsidRPr="00E156E0">
        <w:rPr>
          <w:rFonts w:ascii="Trlit_CG Times" w:hAnsi="Trlit_CG Times"/>
        </w:rPr>
        <w:t>nn n(y)</w:t>
      </w:r>
      <w:r>
        <w:t xml:space="preserve"> </w:t>
      </w:r>
      <w:r w:rsidRPr="00E156E0">
        <w:rPr>
          <w:rFonts w:cs="Times New Roman (Body CS)"/>
          <w:smallCaps/>
        </w:rPr>
        <w:t>noun</w:t>
      </w:r>
      <w:r w:rsidR="00956AAE">
        <w:rPr>
          <w:rFonts w:cs="Times New Roman (Body CS)"/>
          <w:smallCaps/>
        </w:rPr>
        <w:t>.ng</w:t>
      </w:r>
    </w:p>
    <w:p w14:paraId="31F1F86D" w14:textId="1CC3FC77" w:rsidR="00FC3147" w:rsidRDefault="00FC3147" w:rsidP="00507094"/>
    <w:p w14:paraId="25B92199" w14:textId="7935DD2E" w:rsidR="00E156E0" w:rsidRDefault="00055D9B" w:rsidP="00507094">
      <w:r>
        <w:t>This increases the likelihood of</w:t>
      </w:r>
      <w:r w:rsidR="00E156E0">
        <w:t xml:space="preserve"> </w:t>
      </w:r>
      <w:r w:rsidR="00E156E0" w:rsidRPr="00E156E0">
        <w:rPr>
          <w:rFonts w:ascii="Trlit_CG Times" w:hAnsi="Trlit_CG Times"/>
        </w:rPr>
        <w:t>nn n(y)</w:t>
      </w:r>
      <w:r w:rsidR="00E156E0">
        <w:t xml:space="preserve"> being treated as a single </w:t>
      </w:r>
      <w:r w:rsidR="00493552">
        <w:t>“</w:t>
      </w:r>
      <w:r w:rsidR="00E156E0">
        <w:t>chunk</w:t>
      </w:r>
      <w:r w:rsidR="00493552">
        <w:t>”</w:t>
      </w:r>
      <w:r w:rsidR="00E156E0">
        <w:t xml:space="preserve"> and thus as a single component in its own right</w:t>
      </w:r>
      <w:r w:rsidR="00DC012E">
        <w:t>, essentially as a periphrastic demonstrative modifier</w:t>
      </w:r>
      <w:r w:rsidR="00E156E0">
        <w:t>.</w:t>
      </w:r>
    </w:p>
    <w:p w14:paraId="14CE764F" w14:textId="444FEEB1" w:rsidR="00055D9B" w:rsidRDefault="00055D9B" w:rsidP="000A6381">
      <w:pPr>
        <w:ind w:firstLine="720"/>
      </w:pPr>
      <w:r>
        <w:t xml:space="preserve">So, a key element of the </w:t>
      </w:r>
      <w:r w:rsidR="00493552">
        <w:t>earlier</w:t>
      </w:r>
      <w:r>
        <w:t xml:space="preserve"> form of this construction is that whilst it is licensed by the nominal nature of the </w:t>
      </w:r>
      <w:r w:rsidRPr="007C703D">
        <w:rPr>
          <w:rFonts w:ascii="Trlit_CG Times" w:hAnsi="Trlit_CG Times"/>
        </w:rPr>
        <w:t>n-</w:t>
      </w:r>
      <w:r>
        <w:t>demonstrative pronoun which fills the N1 role in the indirect genitive construction</w:t>
      </w:r>
      <w:r w:rsidR="0097098C">
        <w:t xml:space="preserve"> (analogy)</w:t>
      </w:r>
      <w:r>
        <w:t xml:space="preserve">, there is a mismatch in that the primary referential noun is the noun that fills the N2 role. With the particular semantics of demonstratives, this is resolved in the first instance by neoanalysis as a demonstrative-modifier construction, albeit of a rather different kind from the </w:t>
      </w:r>
      <w:r w:rsidR="005306FF">
        <w:t>then-</w:t>
      </w:r>
      <w:r>
        <w:t>dominant demonstrative-modifier constructions, with a new word ordering and constructional relationship</w:t>
      </w:r>
      <w:r w:rsidRPr="00055D9B">
        <w:t xml:space="preserve"> </w:t>
      </w:r>
      <w:r>
        <w:t xml:space="preserve">mediated by the indirect-genitive linker </w:t>
      </w:r>
      <w:r w:rsidRPr="001B6049">
        <w:rPr>
          <w:rFonts w:ascii="Trlit_CG Times" w:hAnsi="Trlit_CG Times"/>
        </w:rPr>
        <w:t>n(y)</w:t>
      </w:r>
      <w:r>
        <w:t xml:space="preserve">. </w:t>
      </w:r>
    </w:p>
    <w:p w14:paraId="33FF387A" w14:textId="097A08C9" w:rsidR="00055D9B" w:rsidRDefault="00055D9B" w:rsidP="00507094">
      <w:r>
        <w:tab/>
        <w:t xml:space="preserve">The next </w:t>
      </w:r>
      <w:r w:rsidR="004C148E">
        <w:t xml:space="preserve">major </w:t>
      </w:r>
      <w:r>
        <w:t xml:space="preserve">step is the inclusion of the </w:t>
      </w:r>
      <w:r w:rsidRPr="00055D9B">
        <w:rPr>
          <w:rFonts w:ascii="Trlit_CG Times" w:hAnsi="Trlit_CG Times"/>
        </w:rPr>
        <w:t>n-</w:t>
      </w:r>
      <w:r>
        <w:t xml:space="preserve">demonstrative </w:t>
      </w:r>
      <w:r w:rsidRPr="00055D9B">
        <w:rPr>
          <w:rFonts w:ascii="Trlit_CG Times" w:hAnsi="Trlit_CG Times"/>
        </w:rPr>
        <w:t>n(y)</w:t>
      </w:r>
      <w:r>
        <w:t xml:space="preserve"> construction within the standard paradigm of dominant demonstrative-modifiers.</w:t>
      </w:r>
    </w:p>
    <w:p w14:paraId="1977679B" w14:textId="4C6A74A5" w:rsidR="00055D9B" w:rsidRDefault="00055D9B" w:rsidP="00507094"/>
    <w:p w14:paraId="2B09B9CE" w14:textId="77777777" w:rsidR="004C148E" w:rsidRDefault="004C148E" w:rsidP="00507094"/>
    <w:p w14:paraId="05DF5DF0" w14:textId="3A7F5C77" w:rsidR="00936773" w:rsidRPr="007333A6" w:rsidRDefault="00DC0275" w:rsidP="00507094">
      <w:pPr>
        <w:rPr>
          <w:b/>
          <w:bCs/>
        </w:rPr>
      </w:pPr>
      <w:r>
        <w:rPr>
          <w:b/>
          <w:bCs/>
        </w:rPr>
        <w:lastRenderedPageBreak/>
        <w:t xml:space="preserve">3. </w:t>
      </w:r>
      <w:r w:rsidR="00936773" w:rsidRPr="007333A6">
        <w:rPr>
          <w:b/>
          <w:bCs/>
        </w:rPr>
        <w:t>Early Middle Egyptian</w:t>
      </w:r>
    </w:p>
    <w:p w14:paraId="1D69634D" w14:textId="641E85E0" w:rsidR="00936773" w:rsidRDefault="00DC0275" w:rsidP="00507094">
      <w:r>
        <w:t>By</w:t>
      </w:r>
      <w:r w:rsidR="00936773">
        <w:t xml:space="preserve"> </w:t>
      </w:r>
      <w:r>
        <w:t>e</w:t>
      </w:r>
      <w:r w:rsidR="00936773">
        <w:t>arly Middle Egyptian</w:t>
      </w:r>
      <w:r>
        <w:t>, the</w:t>
      </w:r>
      <w:r w:rsidR="006B2025">
        <w:t xml:space="preserve"> </w:t>
      </w:r>
      <w:r w:rsidR="00AC78CE" w:rsidRPr="003672AB">
        <w:rPr>
          <w:rFonts w:ascii="Trlit_CG Times" w:hAnsi="Trlit_CG Times"/>
        </w:rPr>
        <w:t>n</w:t>
      </w:r>
      <w:r w:rsidR="00AC78CE">
        <w:t xml:space="preserve">-demonstrative </w:t>
      </w:r>
      <w:r w:rsidR="00AC78CE" w:rsidRPr="003672AB">
        <w:rPr>
          <w:rFonts w:ascii="Trlit_CG Times" w:hAnsi="Trlit_CG Times"/>
        </w:rPr>
        <w:t>n(y)</w:t>
      </w:r>
      <w:r w:rsidR="00AC78CE">
        <w:t xml:space="preserve"> construction </w:t>
      </w:r>
      <w:r w:rsidR="00AD6F74">
        <w:t>is primarily used</w:t>
      </w:r>
      <w:r w:rsidR="006B2025">
        <w:t xml:space="preserve"> as the common-plural demonstrative in</w:t>
      </w:r>
      <w:r w:rsidR="00AC78CE">
        <w:t xml:space="preserve"> the paradigm of demonstrative modifiers</w:t>
      </w:r>
      <w:r w:rsidR="003672AB">
        <w:t>,</w:t>
      </w:r>
      <w:r w:rsidR="004D418D" w:rsidRPr="004D418D">
        <w:rPr>
          <w:rStyle w:val="FootnoteReference"/>
        </w:rPr>
        <w:t xml:space="preserve"> </w:t>
      </w:r>
      <w:r w:rsidR="004D418D">
        <w:rPr>
          <w:rStyle w:val="FootnoteReference"/>
        </w:rPr>
        <w:footnoteReference w:id="17"/>
      </w:r>
      <w:r w:rsidR="00C31C4A" w:rsidRPr="00C31C4A">
        <w:rPr>
          <w:rStyle w:val="FootnoteReference"/>
        </w:rPr>
        <w:t xml:space="preserve"> </w:t>
      </w:r>
      <w:r w:rsidR="003672AB">
        <w:t xml:space="preserve">replacing the old distinct masculine and plural forms </w:t>
      </w:r>
      <w:r w:rsidR="00860524">
        <w:t>(</w:t>
      </w:r>
      <w:r w:rsidR="00204CBF">
        <w:t>the</w:t>
      </w:r>
      <w:r w:rsidR="00860524">
        <w:t xml:space="preserve"> dual</w:t>
      </w:r>
      <w:r w:rsidR="00204CBF">
        <w:t xml:space="preserve"> </w:t>
      </w:r>
      <w:r w:rsidR="00860524">
        <w:t xml:space="preserve">in Middle Egyptian is primarily facultative), </w:t>
      </w:r>
      <w:r w:rsidR="003672AB">
        <w:t>except in more conservative textual sources</w:t>
      </w:r>
      <w:r w:rsidR="00D531C7">
        <w:t>, as in the table below</w:t>
      </w:r>
      <w:r w:rsidR="00AC78CE">
        <w:t xml:space="preserve">: </w:t>
      </w:r>
      <w:r w:rsidR="004D418D">
        <w:rPr>
          <w:rStyle w:val="FootnoteReference"/>
        </w:rPr>
        <w:footnoteReference w:id="18"/>
      </w:r>
    </w:p>
    <w:p w14:paraId="5B9F25FE" w14:textId="77777777" w:rsidR="003F34E9" w:rsidRDefault="003F34E9" w:rsidP="003F34E9"/>
    <w:tbl>
      <w:tblPr>
        <w:tblStyle w:val="TableGrid"/>
        <w:tblW w:w="0" w:type="auto"/>
        <w:jc w:val="center"/>
        <w:tblLook w:val="04A0" w:firstRow="1" w:lastRow="0" w:firstColumn="1" w:lastColumn="0" w:noHBand="0" w:noVBand="1"/>
      </w:tblPr>
      <w:tblGrid>
        <w:gridCol w:w="1134"/>
        <w:gridCol w:w="2252"/>
        <w:gridCol w:w="2253"/>
        <w:gridCol w:w="2720"/>
      </w:tblGrid>
      <w:tr w:rsidR="003F34E9" w14:paraId="0F1A742A" w14:textId="77777777" w:rsidTr="00842568">
        <w:trPr>
          <w:jc w:val="center"/>
        </w:trPr>
        <w:tc>
          <w:tcPr>
            <w:tcW w:w="1134" w:type="dxa"/>
          </w:tcPr>
          <w:p w14:paraId="03817617" w14:textId="77777777" w:rsidR="003F34E9" w:rsidRDefault="003F34E9" w:rsidP="00842568">
            <w:pPr>
              <w:jc w:val="center"/>
            </w:pPr>
          </w:p>
        </w:tc>
        <w:tc>
          <w:tcPr>
            <w:tcW w:w="4505" w:type="dxa"/>
            <w:gridSpan w:val="2"/>
          </w:tcPr>
          <w:p w14:paraId="189C0AA7" w14:textId="77777777" w:rsidR="003F34E9" w:rsidRDefault="003F34E9" w:rsidP="00842568">
            <w:pPr>
              <w:jc w:val="center"/>
            </w:pPr>
            <w:r>
              <w:t>demonstrative modifier</w:t>
            </w:r>
          </w:p>
        </w:tc>
        <w:tc>
          <w:tcPr>
            <w:tcW w:w="2720" w:type="dxa"/>
          </w:tcPr>
          <w:p w14:paraId="35516848" w14:textId="77777777" w:rsidR="003F34E9" w:rsidRDefault="003F34E9" w:rsidP="00842568">
            <w:pPr>
              <w:jc w:val="center"/>
            </w:pPr>
            <w:r>
              <w:t>demonstrative pronoun</w:t>
            </w:r>
          </w:p>
        </w:tc>
      </w:tr>
      <w:tr w:rsidR="003F34E9" w14:paraId="39FDB0E2" w14:textId="77777777" w:rsidTr="00842568">
        <w:trPr>
          <w:jc w:val="center"/>
        </w:trPr>
        <w:tc>
          <w:tcPr>
            <w:tcW w:w="1134" w:type="dxa"/>
          </w:tcPr>
          <w:p w14:paraId="04E73937" w14:textId="77777777" w:rsidR="003F34E9" w:rsidRDefault="003F34E9" w:rsidP="00842568">
            <w:pPr>
              <w:jc w:val="center"/>
            </w:pPr>
          </w:p>
        </w:tc>
        <w:tc>
          <w:tcPr>
            <w:tcW w:w="2252" w:type="dxa"/>
          </w:tcPr>
          <w:p w14:paraId="358AB12C" w14:textId="77777777" w:rsidR="003F34E9" w:rsidRDefault="003F34E9" w:rsidP="00842568">
            <w:pPr>
              <w:jc w:val="center"/>
            </w:pPr>
            <w:r>
              <w:t>sg</w:t>
            </w:r>
          </w:p>
        </w:tc>
        <w:tc>
          <w:tcPr>
            <w:tcW w:w="2253" w:type="dxa"/>
          </w:tcPr>
          <w:p w14:paraId="24BBB5AF" w14:textId="7A856BC5" w:rsidR="003F34E9" w:rsidRDefault="003F34E9" w:rsidP="00842568">
            <w:pPr>
              <w:jc w:val="center"/>
            </w:pPr>
            <w:r>
              <w:t>pl</w:t>
            </w:r>
          </w:p>
        </w:tc>
        <w:tc>
          <w:tcPr>
            <w:tcW w:w="2720" w:type="dxa"/>
          </w:tcPr>
          <w:p w14:paraId="5035C61A" w14:textId="77777777" w:rsidR="003F34E9" w:rsidRDefault="003F34E9" w:rsidP="00842568">
            <w:pPr>
              <w:jc w:val="center"/>
            </w:pPr>
            <w:r>
              <w:t>common/invariant</w:t>
            </w:r>
          </w:p>
        </w:tc>
      </w:tr>
      <w:tr w:rsidR="003F34E9" w14:paraId="3C418919" w14:textId="77777777" w:rsidTr="003F34E9">
        <w:trPr>
          <w:jc w:val="center"/>
        </w:trPr>
        <w:tc>
          <w:tcPr>
            <w:tcW w:w="1134" w:type="dxa"/>
          </w:tcPr>
          <w:p w14:paraId="547794FC" w14:textId="77777777" w:rsidR="003F34E9" w:rsidRDefault="003F34E9" w:rsidP="00842568">
            <w:pPr>
              <w:jc w:val="center"/>
            </w:pPr>
            <w:r>
              <w:t>m</w:t>
            </w:r>
          </w:p>
        </w:tc>
        <w:tc>
          <w:tcPr>
            <w:tcW w:w="2252" w:type="dxa"/>
          </w:tcPr>
          <w:p w14:paraId="0A9B5AF2" w14:textId="77777777" w:rsidR="003F34E9" w:rsidRPr="00121E3B" w:rsidRDefault="003F34E9" w:rsidP="00842568">
            <w:pPr>
              <w:jc w:val="center"/>
              <w:rPr>
                <w:rFonts w:ascii="Trlit_CG Times" w:hAnsi="Trlit_CG Times"/>
              </w:rPr>
            </w:pPr>
            <w:r w:rsidRPr="00121E3B">
              <w:rPr>
                <w:rFonts w:ascii="Trlit_CG Times" w:hAnsi="Trlit_CG Times"/>
              </w:rPr>
              <w:t>p-</w:t>
            </w:r>
          </w:p>
        </w:tc>
        <w:tc>
          <w:tcPr>
            <w:tcW w:w="2253" w:type="dxa"/>
            <w:vMerge w:val="restart"/>
            <w:vAlign w:val="center"/>
          </w:tcPr>
          <w:p w14:paraId="04FCAFC3" w14:textId="60C26EDB" w:rsidR="003F34E9" w:rsidRPr="00121E3B" w:rsidRDefault="003F34E9" w:rsidP="00842568">
            <w:pPr>
              <w:jc w:val="center"/>
              <w:rPr>
                <w:rFonts w:ascii="Trlit_CG Times" w:hAnsi="Trlit_CG Times"/>
              </w:rPr>
            </w:pPr>
            <w:r>
              <w:rPr>
                <w:rFonts w:ascii="Trlit_CG Times" w:hAnsi="Trlit_CG Times"/>
              </w:rPr>
              <w:t>n</w:t>
            </w:r>
            <w:r w:rsidRPr="00121E3B">
              <w:rPr>
                <w:rFonts w:ascii="Trlit_CG Times" w:hAnsi="Trlit_CG Times"/>
              </w:rPr>
              <w:t>-</w:t>
            </w:r>
            <w:r>
              <w:rPr>
                <w:rFonts w:ascii="Trlit_CG Times" w:hAnsi="Trlit_CG Times"/>
              </w:rPr>
              <w:t xml:space="preserve"> n(y)</w:t>
            </w:r>
          </w:p>
        </w:tc>
        <w:tc>
          <w:tcPr>
            <w:tcW w:w="2720" w:type="dxa"/>
            <w:vMerge w:val="restart"/>
            <w:vAlign w:val="center"/>
          </w:tcPr>
          <w:p w14:paraId="6CEF8801" w14:textId="77777777" w:rsidR="003F34E9" w:rsidRPr="00121E3B" w:rsidRDefault="003F34E9" w:rsidP="00842568">
            <w:pPr>
              <w:jc w:val="center"/>
              <w:rPr>
                <w:rFonts w:ascii="Trlit_CG Times" w:hAnsi="Trlit_CG Times"/>
              </w:rPr>
            </w:pPr>
            <w:r w:rsidRPr="00121E3B">
              <w:rPr>
                <w:rFonts w:ascii="Trlit_CG Times" w:hAnsi="Trlit_CG Times"/>
              </w:rPr>
              <w:t>n-</w:t>
            </w:r>
          </w:p>
        </w:tc>
      </w:tr>
      <w:tr w:rsidR="003F34E9" w14:paraId="6A6607CF" w14:textId="77777777" w:rsidTr="00842568">
        <w:trPr>
          <w:jc w:val="center"/>
        </w:trPr>
        <w:tc>
          <w:tcPr>
            <w:tcW w:w="1134" w:type="dxa"/>
          </w:tcPr>
          <w:p w14:paraId="39354BF0" w14:textId="77777777" w:rsidR="003F34E9" w:rsidRDefault="003F34E9" w:rsidP="00842568">
            <w:pPr>
              <w:jc w:val="center"/>
            </w:pPr>
            <w:r>
              <w:t>f</w:t>
            </w:r>
          </w:p>
        </w:tc>
        <w:tc>
          <w:tcPr>
            <w:tcW w:w="2252" w:type="dxa"/>
          </w:tcPr>
          <w:p w14:paraId="4CAF1772" w14:textId="77777777" w:rsidR="003F34E9" w:rsidRPr="00121E3B" w:rsidRDefault="003F34E9" w:rsidP="00842568">
            <w:pPr>
              <w:jc w:val="center"/>
              <w:rPr>
                <w:rFonts w:ascii="Trlit_CG Times" w:hAnsi="Trlit_CG Times"/>
              </w:rPr>
            </w:pPr>
            <w:r w:rsidRPr="00121E3B">
              <w:rPr>
                <w:rFonts w:ascii="Trlit_CG Times" w:hAnsi="Trlit_CG Times"/>
              </w:rPr>
              <w:t>t-</w:t>
            </w:r>
          </w:p>
        </w:tc>
        <w:tc>
          <w:tcPr>
            <w:tcW w:w="2253" w:type="dxa"/>
            <w:vMerge/>
          </w:tcPr>
          <w:p w14:paraId="74234169" w14:textId="1E23A1A0" w:rsidR="003F34E9" w:rsidRPr="00121E3B" w:rsidRDefault="003F34E9" w:rsidP="00842568">
            <w:pPr>
              <w:jc w:val="center"/>
              <w:rPr>
                <w:rFonts w:ascii="Trlit_CG Times" w:hAnsi="Trlit_CG Times"/>
              </w:rPr>
            </w:pPr>
          </w:p>
        </w:tc>
        <w:tc>
          <w:tcPr>
            <w:tcW w:w="2720" w:type="dxa"/>
            <w:vMerge/>
          </w:tcPr>
          <w:p w14:paraId="0791408D" w14:textId="77777777" w:rsidR="003F34E9" w:rsidRDefault="003F34E9" w:rsidP="00842568"/>
        </w:tc>
      </w:tr>
    </w:tbl>
    <w:p w14:paraId="67467EF1" w14:textId="77777777" w:rsidR="003F34E9" w:rsidRDefault="003F34E9" w:rsidP="003F34E9"/>
    <w:p w14:paraId="53BBAD45" w14:textId="6EC5CCB8" w:rsidR="00B4025D" w:rsidRDefault="004F5263" w:rsidP="00B4025D">
      <w:r>
        <w:t xml:space="preserve">This </w:t>
      </w:r>
      <w:r w:rsidR="0040100C">
        <w:t>can be exemplified</w:t>
      </w:r>
      <w:r w:rsidR="00CC2DF2">
        <w:t xml:space="preserve"> by </w:t>
      </w:r>
      <w:r w:rsidR="00051472">
        <w:t>a</w:t>
      </w:r>
      <w:r w:rsidR="00CC2DF2">
        <w:t xml:space="preserve"> </w:t>
      </w:r>
      <w:r w:rsidR="003A0797">
        <w:t>well-known</w:t>
      </w:r>
      <w:r w:rsidR="00CC2DF2">
        <w:t xml:space="preserve"> example from the </w:t>
      </w:r>
      <w:r w:rsidR="00CC2DF2" w:rsidRPr="004F5263">
        <w:rPr>
          <w:i/>
          <w:iCs/>
        </w:rPr>
        <w:t>Tale of the Eloquent Peasant</w:t>
      </w:r>
      <w:r w:rsidR="00B4025D">
        <w:t xml:space="preserve">: </w:t>
      </w:r>
    </w:p>
    <w:p w14:paraId="74D2282A" w14:textId="576D1F35" w:rsidR="00CC2DF2" w:rsidRDefault="00CC2DF2" w:rsidP="00507094"/>
    <w:p w14:paraId="45A02C11" w14:textId="5AAA9DBC" w:rsidR="009E22F1" w:rsidRPr="009E22F1" w:rsidRDefault="004C7BA9" w:rsidP="009E22F1">
      <w:r>
        <w:t>Ex. 1</w:t>
      </w:r>
      <w:r w:rsidR="00FD700E">
        <w:t>4</w:t>
      </w:r>
      <w:r>
        <w:t xml:space="preserve">. </w:t>
      </w:r>
      <w:r w:rsidR="009E22F1" w:rsidRPr="009E22F1">
        <w:t>Peas. B1, 81</w:t>
      </w:r>
      <w:r>
        <w:t>–</w:t>
      </w:r>
      <w:r w:rsidR="009E22F1" w:rsidRPr="009E22F1">
        <w:t>82:</w:t>
      </w:r>
    </w:p>
    <w:p w14:paraId="2CC75B93" w14:textId="4124BCF8" w:rsidR="009E22F1" w:rsidRDefault="009E22F1" w:rsidP="009E22F1">
      <w:pPr>
        <w:rPr>
          <w:rFonts w:ascii="Trlit_CG Times" w:hAnsi="Trlit_CG Times"/>
        </w:rPr>
      </w:pPr>
      <w:r w:rsidRPr="009E22F1">
        <w:rPr>
          <w:rFonts w:ascii="Trlit_CG Times" w:hAnsi="Trlit_CG Times"/>
        </w:rPr>
        <w:t xml:space="preserve">n </w:t>
      </w:r>
      <w:r w:rsidRPr="009E22F1">
        <w:rPr>
          <w:rFonts w:ascii="Trlit_CG Times" w:hAnsi="Trlit_CG Times"/>
        </w:rPr>
        <w:tab/>
        <w:t xml:space="preserve">wSb=f </w:t>
      </w:r>
      <w:r w:rsidR="00875A8C">
        <w:rPr>
          <w:rFonts w:ascii="Trlit_CG Times" w:hAnsi="Trlit_CG Times"/>
        </w:rPr>
        <w:tab/>
      </w:r>
      <w:r w:rsidR="00875A8C">
        <w:rPr>
          <w:rFonts w:ascii="Trlit_CG Times" w:hAnsi="Trlit_CG Times"/>
        </w:rPr>
        <w:tab/>
      </w:r>
      <w:r w:rsidRPr="009E22F1">
        <w:rPr>
          <w:rFonts w:ascii="Trlit_CG Times" w:hAnsi="Trlit_CG Times"/>
        </w:rPr>
        <w:t xml:space="preserve">n </w:t>
      </w:r>
      <w:r w:rsidRPr="009E22F1">
        <w:rPr>
          <w:rFonts w:ascii="Trlit_CG Times" w:hAnsi="Trlit_CG Times"/>
        </w:rPr>
        <w:tab/>
      </w:r>
      <w:r w:rsidRPr="009E22F1">
        <w:rPr>
          <w:rFonts w:ascii="Trlit_CG Times" w:hAnsi="Trlit_CG Times"/>
          <w:b/>
          <w:bCs/>
        </w:rPr>
        <w:t xml:space="preserve">nn </w:t>
      </w:r>
      <w:r w:rsidRPr="009E22F1">
        <w:rPr>
          <w:rFonts w:ascii="Trlit_CG Times" w:hAnsi="Trlit_CG Times"/>
          <w:b/>
          <w:bCs/>
        </w:rPr>
        <w:tab/>
      </w:r>
      <w:r w:rsidR="00875A8C">
        <w:rPr>
          <w:rFonts w:ascii="Trlit_CG Times" w:hAnsi="Trlit_CG Times"/>
          <w:b/>
          <w:bCs/>
        </w:rPr>
        <w:tab/>
      </w:r>
      <w:r w:rsidRPr="009E22F1">
        <w:rPr>
          <w:rFonts w:ascii="Trlit_CG Times" w:hAnsi="Trlit_CG Times"/>
          <w:b/>
          <w:bCs/>
        </w:rPr>
        <w:t xml:space="preserve">n(y) </w:t>
      </w:r>
      <w:r w:rsidRPr="009E22F1">
        <w:rPr>
          <w:rFonts w:ascii="Trlit_CG Times" w:hAnsi="Trlit_CG Times"/>
          <w:b/>
          <w:bCs/>
        </w:rPr>
        <w:tab/>
      </w:r>
      <w:r w:rsidRPr="009E59F6">
        <w:rPr>
          <w:rFonts w:ascii="Trlit_CG Times" w:hAnsi="Trlit_CG Times"/>
        </w:rPr>
        <w:t>srw</w:t>
      </w:r>
    </w:p>
    <w:p w14:paraId="269FE668" w14:textId="78ED42B3" w:rsidR="00875A8C" w:rsidRPr="00875A8C" w:rsidRDefault="00875A8C" w:rsidP="009E22F1">
      <w:pPr>
        <w:rPr>
          <w:rFonts w:ascii="Times New Roman" w:hAnsi="Times New Roman"/>
        </w:rPr>
      </w:pPr>
      <w:r w:rsidRPr="002D6B78">
        <w:rPr>
          <w:rFonts w:ascii="Times New Roman" w:hAnsi="Times New Roman"/>
          <w:smallCaps/>
        </w:rPr>
        <w:t>neg</w:t>
      </w:r>
      <w:r>
        <w:rPr>
          <w:rFonts w:ascii="Times New Roman" w:hAnsi="Times New Roman"/>
        </w:rPr>
        <w:tab/>
        <w:t>answer=he</w:t>
      </w:r>
      <w:r>
        <w:rPr>
          <w:rFonts w:ascii="Times New Roman" w:hAnsi="Times New Roman"/>
        </w:rPr>
        <w:tab/>
        <w:t>to</w:t>
      </w:r>
      <w:r>
        <w:rPr>
          <w:rFonts w:ascii="Times New Roman" w:hAnsi="Times New Roman"/>
        </w:rPr>
        <w:tab/>
      </w:r>
      <w:r w:rsidRPr="009E59F6">
        <w:rPr>
          <w:rFonts w:ascii="Times New Roman" w:hAnsi="Times New Roman"/>
          <w:b/>
          <w:bCs/>
          <w:smallCaps/>
        </w:rPr>
        <w:t>dem.cpl</w:t>
      </w:r>
      <w:r w:rsidRPr="009E59F6">
        <w:rPr>
          <w:rFonts w:ascii="Times New Roman" w:hAnsi="Times New Roman"/>
          <w:b/>
          <w:bCs/>
        </w:rPr>
        <w:tab/>
        <w:t>of</w:t>
      </w:r>
      <w:r>
        <w:rPr>
          <w:rFonts w:ascii="Times New Roman" w:hAnsi="Times New Roman"/>
        </w:rPr>
        <w:tab/>
        <w:t>official.</w:t>
      </w:r>
      <w:r w:rsidRPr="002D6B78">
        <w:rPr>
          <w:rFonts w:ascii="Times New Roman" w:hAnsi="Times New Roman"/>
          <w:smallCaps/>
        </w:rPr>
        <w:t>mpl</w:t>
      </w:r>
    </w:p>
    <w:p w14:paraId="0F3153B5" w14:textId="39725E52" w:rsidR="009E22F1" w:rsidRDefault="009E22F1" w:rsidP="009E22F1">
      <w:pPr>
        <w:ind w:firstLine="720"/>
      </w:pPr>
      <w:r w:rsidRPr="009E22F1">
        <w:rPr>
          <w:rFonts w:ascii="Trlit_CG Times" w:hAnsi="Trlit_CG Times"/>
        </w:rPr>
        <w:t xml:space="preserve">wSb=f </w:t>
      </w:r>
      <w:r w:rsidR="00875A8C">
        <w:rPr>
          <w:rFonts w:ascii="Trlit_CG Times" w:hAnsi="Trlit_CG Times"/>
        </w:rPr>
        <w:tab/>
      </w:r>
      <w:r w:rsidR="00875A8C">
        <w:rPr>
          <w:rFonts w:ascii="Trlit_CG Times" w:hAnsi="Trlit_CG Times"/>
        </w:rPr>
        <w:tab/>
      </w:r>
      <w:r w:rsidRPr="009E22F1">
        <w:rPr>
          <w:rFonts w:ascii="Trlit_CG Times" w:hAnsi="Trlit_CG Times"/>
        </w:rPr>
        <w:t xml:space="preserve">n </w:t>
      </w:r>
      <w:r w:rsidRPr="009E22F1">
        <w:rPr>
          <w:rFonts w:ascii="Trlit_CG Times" w:hAnsi="Trlit_CG Times"/>
        </w:rPr>
        <w:tab/>
      </w:r>
      <w:r w:rsidRPr="009E22F1">
        <w:rPr>
          <w:rFonts w:ascii="Trlit_CG Times" w:hAnsi="Trlit_CG Times"/>
        </w:rPr>
        <w:tab/>
      </w:r>
      <w:r w:rsidRPr="009E22F1">
        <w:rPr>
          <w:rFonts w:ascii="Trlit_CG Times" w:hAnsi="Trlit_CG Times"/>
        </w:rPr>
        <w:tab/>
      </w:r>
      <w:r w:rsidR="00875A8C">
        <w:rPr>
          <w:rFonts w:ascii="Trlit_CG Times" w:hAnsi="Trlit_CG Times"/>
        </w:rPr>
        <w:tab/>
      </w:r>
      <w:r w:rsidRPr="009E59F6">
        <w:rPr>
          <w:rFonts w:ascii="Trlit_CG Times" w:hAnsi="Trlit_CG Times"/>
        </w:rPr>
        <w:t xml:space="preserve">sxty </w:t>
      </w:r>
      <w:r w:rsidRPr="009E22F1">
        <w:rPr>
          <w:rFonts w:ascii="Trlit_CG Times" w:hAnsi="Trlit_CG Times"/>
          <w:b/>
          <w:bCs/>
        </w:rPr>
        <w:tab/>
      </w:r>
      <w:r w:rsidRPr="009E22F1">
        <w:rPr>
          <w:rFonts w:ascii="Trlit_CG Times" w:hAnsi="Trlit_CG Times"/>
          <w:b/>
          <w:bCs/>
        </w:rPr>
        <w:tab/>
        <w:t>pn</w:t>
      </w:r>
    </w:p>
    <w:p w14:paraId="3646DAD1" w14:textId="3D4E1132" w:rsidR="00875A8C" w:rsidRDefault="00875A8C" w:rsidP="00875A8C">
      <w:r>
        <w:tab/>
        <w:t>answer=he</w:t>
      </w:r>
      <w:r>
        <w:tab/>
        <w:t>to</w:t>
      </w:r>
      <w:r>
        <w:tab/>
      </w:r>
      <w:r>
        <w:tab/>
      </w:r>
      <w:r>
        <w:tab/>
      </w:r>
      <w:r>
        <w:tab/>
        <w:t>peasant.</w:t>
      </w:r>
      <w:r w:rsidRPr="002D6B78">
        <w:rPr>
          <w:smallCaps/>
        </w:rPr>
        <w:t>msg</w:t>
      </w:r>
      <w:r>
        <w:tab/>
      </w:r>
      <w:r w:rsidRPr="0040100C">
        <w:rPr>
          <w:b/>
          <w:bCs/>
          <w:smallCaps/>
        </w:rPr>
        <w:t>dem</w:t>
      </w:r>
      <w:r w:rsidRPr="009E59F6">
        <w:rPr>
          <w:b/>
          <w:bCs/>
        </w:rPr>
        <w:t>.</w:t>
      </w:r>
      <w:r w:rsidRPr="009E59F6">
        <w:rPr>
          <w:b/>
          <w:bCs/>
          <w:smallCaps/>
        </w:rPr>
        <w:t>msg</w:t>
      </w:r>
    </w:p>
    <w:p w14:paraId="5B11E36B" w14:textId="16AECC39" w:rsidR="009E22F1" w:rsidRPr="009E22F1" w:rsidRDefault="009E22F1" w:rsidP="00875A8C">
      <w:r w:rsidRPr="009E22F1">
        <w:t xml:space="preserve">he didn’t answer </w:t>
      </w:r>
      <w:r w:rsidRPr="009E22F1">
        <w:rPr>
          <w:b/>
          <w:bCs/>
        </w:rPr>
        <w:t xml:space="preserve">these </w:t>
      </w:r>
      <w:r w:rsidRPr="009E59F6">
        <w:t>officials,</w:t>
      </w:r>
      <w:r w:rsidR="00AC2B98">
        <w:t xml:space="preserve"> </w:t>
      </w:r>
      <w:r w:rsidRPr="009E22F1">
        <w:t xml:space="preserve">nor did he answer </w:t>
      </w:r>
      <w:r w:rsidRPr="009E22F1">
        <w:rPr>
          <w:b/>
          <w:bCs/>
        </w:rPr>
        <w:t xml:space="preserve">this </w:t>
      </w:r>
      <w:r w:rsidRPr="009E59F6">
        <w:t>peasant.</w:t>
      </w:r>
    </w:p>
    <w:p w14:paraId="10531D3B" w14:textId="1BAF0C5F" w:rsidR="009E22F1" w:rsidRDefault="009E22F1" w:rsidP="00507094"/>
    <w:p w14:paraId="5EED4427" w14:textId="57414728" w:rsidR="00B4025D" w:rsidRDefault="00B4025D" w:rsidP="00B4025D">
      <w:r>
        <w:t xml:space="preserve">The masculine singular noun </w:t>
      </w:r>
      <w:r w:rsidRPr="00B4025D">
        <w:rPr>
          <w:rFonts w:ascii="Trlit_CG Times" w:hAnsi="Trlit_CG Times"/>
        </w:rPr>
        <w:t>sxty</w:t>
      </w:r>
      <w:r>
        <w:t xml:space="preserve"> takes its post-nominal demonstrative modifier </w:t>
      </w:r>
      <w:r w:rsidRPr="00B4025D">
        <w:rPr>
          <w:rFonts w:ascii="Trlit_CG Times" w:hAnsi="Trlit_CG Times"/>
        </w:rPr>
        <w:t>pn</w:t>
      </w:r>
      <w:r>
        <w:t xml:space="preserve">, which agrees with it in showing masculine singular prefixal </w:t>
      </w:r>
      <w:r w:rsidRPr="00B4025D">
        <w:rPr>
          <w:rFonts w:ascii="Trlit_CG Times" w:hAnsi="Trlit_CG Times"/>
        </w:rPr>
        <w:t>p-</w:t>
      </w:r>
      <w:r>
        <w:t xml:space="preserve">. The plural noun </w:t>
      </w:r>
      <w:r w:rsidRPr="00B4025D">
        <w:rPr>
          <w:rFonts w:ascii="Trlit_CG Times" w:hAnsi="Trlit_CG Times"/>
        </w:rPr>
        <w:t>srw</w:t>
      </w:r>
      <w:r>
        <w:t xml:space="preserve"> </w:t>
      </w:r>
      <w:r w:rsidR="002E4AD4">
        <w:t xml:space="preserve">(written with explicit </w:t>
      </w:r>
      <w:r w:rsidR="00363D90">
        <w:t xml:space="preserve">masculine </w:t>
      </w:r>
      <w:r w:rsidR="002E4AD4">
        <w:t xml:space="preserve">plural </w:t>
      </w:r>
      <w:r w:rsidR="002E4AD4" w:rsidRPr="00363D90">
        <w:rPr>
          <w:rFonts w:ascii="Trlit_CG Times" w:hAnsi="Trlit_CG Times"/>
        </w:rPr>
        <w:t>-w</w:t>
      </w:r>
      <w:r w:rsidR="002E4AD4">
        <w:t xml:space="preserve"> ending and with plural-strokes determinative in the B1 manuscript</w:t>
      </w:r>
      <w:r w:rsidR="00363D90">
        <w:t>)</w:t>
      </w:r>
      <w:r w:rsidR="002E4AD4">
        <w:t xml:space="preserve"> </w:t>
      </w:r>
      <w:r>
        <w:t xml:space="preserve">occurs after the </w:t>
      </w:r>
      <w:r w:rsidRPr="00B4025D">
        <w:rPr>
          <w:rFonts w:ascii="Trlit_CG Times" w:hAnsi="Trlit_CG Times"/>
        </w:rPr>
        <w:t>n</w:t>
      </w:r>
      <w:r>
        <w:t xml:space="preserve">-demonstrative in the </w:t>
      </w:r>
      <w:r w:rsidRPr="00B4025D">
        <w:rPr>
          <w:rFonts w:ascii="Trlit_CG Times" w:hAnsi="Trlit_CG Times"/>
        </w:rPr>
        <w:t>n-</w:t>
      </w:r>
      <w:r>
        <w:t xml:space="preserve">demonstrative </w:t>
      </w:r>
      <w:r w:rsidRPr="00B4025D">
        <w:rPr>
          <w:rFonts w:ascii="Trlit_CG Times" w:hAnsi="Trlit_CG Times"/>
        </w:rPr>
        <w:t>n(y)</w:t>
      </w:r>
      <w:r>
        <w:t xml:space="preserve"> noun construction. </w:t>
      </w:r>
    </w:p>
    <w:p w14:paraId="77E9E3A1" w14:textId="35564687" w:rsidR="009E22F1" w:rsidRDefault="00D8515F" w:rsidP="00B4025D">
      <w:pPr>
        <w:ind w:firstLine="720"/>
      </w:pPr>
      <w:r>
        <w:t>In th</w:t>
      </w:r>
      <w:r w:rsidR="00F81757">
        <w:t>is common-</w:t>
      </w:r>
      <w:r>
        <w:t>plural</w:t>
      </w:r>
      <w:r w:rsidR="00F81757">
        <w:t xml:space="preserve"> demonstrative-modifier construction</w:t>
      </w:r>
      <w:r>
        <w:t xml:space="preserve">, the </w:t>
      </w:r>
      <w:r w:rsidRPr="00F81757">
        <w:rPr>
          <w:rFonts w:ascii="Trlit_CG Times" w:hAnsi="Trlit_CG Times"/>
        </w:rPr>
        <w:t>n</w:t>
      </w:r>
      <w:r>
        <w:t>-demonstrative is, of course, invariant</w:t>
      </w:r>
      <w:r w:rsidR="002633F3">
        <w:t xml:space="preserve"> for gender</w:t>
      </w:r>
      <w:r>
        <w:t xml:space="preserve">, </w:t>
      </w:r>
      <w:r w:rsidR="00560A2C">
        <w:t>whereas</w:t>
      </w:r>
      <w:r>
        <w:t xml:space="preserve"> the accompanying noun can be either masculine plural (as above in </w:t>
      </w:r>
      <w:r w:rsidRPr="00F81757">
        <w:rPr>
          <w:rFonts w:ascii="Trlit_CG Times" w:hAnsi="Trlit_CG Times"/>
        </w:rPr>
        <w:t>nn n(y) srw</w:t>
      </w:r>
      <w:r>
        <w:t>) or feminine plural:</w:t>
      </w:r>
    </w:p>
    <w:p w14:paraId="2891EF20" w14:textId="1C3AB896" w:rsidR="00D8515F" w:rsidRDefault="00D8515F" w:rsidP="00507094"/>
    <w:p w14:paraId="75CE58C4" w14:textId="5AD50B34" w:rsidR="00D8515F" w:rsidRDefault="004C7BA9" w:rsidP="00507094">
      <w:r>
        <w:t>Ex. 1</w:t>
      </w:r>
      <w:r w:rsidR="00FD700E">
        <w:t>5</w:t>
      </w:r>
      <w:r>
        <w:t xml:space="preserve">. </w:t>
      </w:r>
      <w:r w:rsidR="00D8515F">
        <w:t xml:space="preserve">Siut 306: </w:t>
      </w:r>
    </w:p>
    <w:p w14:paraId="23D1BC7B" w14:textId="67DB1D10" w:rsidR="00D8515F" w:rsidRPr="00CA40B1" w:rsidRDefault="00D8515F" w:rsidP="00D8515F">
      <w:pPr>
        <w:rPr>
          <w:rFonts w:ascii="Trlit_CG Times" w:hAnsi="Trlit_CG Times"/>
        </w:rPr>
      </w:pPr>
      <w:r w:rsidRPr="00CA40B1">
        <w:rPr>
          <w:rFonts w:ascii="Trlit_CG Times" w:hAnsi="Trlit_CG Times"/>
        </w:rPr>
        <w:t xml:space="preserve">nn </w:t>
      </w:r>
      <w:r w:rsidR="00EE1772" w:rsidRPr="00CA40B1">
        <w:rPr>
          <w:rFonts w:ascii="Trlit_CG Times" w:hAnsi="Trlit_CG Times"/>
        </w:rPr>
        <w:tab/>
      </w:r>
      <w:r w:rsidR="002633F3" w:rsidRPr="00CA40B1">
        <w:rPr>
          <w:rFonts w:ascii="Trlit_CG Times" w:hAnsi="Trlit_CG Times"/>
        </w:rPr>
        <w:tab/>
      </w:r>
      <w:r w:rsidRPr="00CA40B1">
        <w:rPr>
          <w:rFonts w:ascii="Trlit_CG Times" w:hAnsi="Trlit_CG Times"/>
        </w:rPr>
        <w:t xml:space="preserve">n(y) </w:t>
      </w:r>
      <w:r w:rsidR="00EE1772" w:rsidRPr="00CA40B1">
        <w:rPr>
          <w:rFonts w:ascii="Trlit_CG Times" w:hAnsi="Trlit_CG Times"/>
        </w:rPr>
        <w:tab/>
      </w:r>
      <w:r w:rsidRPr="00CA40B1">
        <w:rPr>
          <w:rFonts w:ascii="Trlit_CG Times" w:hAnsi="Trlit_CG Times"/>
        </w:rPr>
        <w:t>gmHwt</w:t>
      </w:r>
    </w:p>
    <w:p w14:paraId="639FEE28" w14:textId="595E4388" w:rsidR="00EE1772" w:rsidRPr="00EE1772" w:rsidRDefault="00EE1772" w:rsidP="00D8515F">
      <w:r w:rsidRPr="00EE1772">
        <w:rPr>
          <w:rFonts w:cs="Times New Roman (Body CS)"/>
          <w:smallCaps/>
        </w:rPr>
        <w:t>dem</w:t>
      </w:r>
      <w:r w:rsidR="002633F3">
        <w:rPr>
          <w:rFonts w:cs="Times New Roman (Body CS)"/>
          <w:smallCaps/>
        </w:rPr>
        <w:t>.cpl</w:t>
      </w:r>
      <w:r w:rsidR="002633F3">
        <w:rPr>
          <w:rFonts w:cs="Times New Roman (Body CS)"/>
          <w:smallCaps/>
        </w:rPr>
        <w:tab/>
      </w:r>
      <w:r w:rsidR="00246470">
        <w:rPr>
          <w:rFonts w:cs="Times New Roman (Body CS)"/>
          <w:smallCaps/>
        </w:rPr>
        <w:tab/>
      </w:r>
      <w:r w:rsidRPr="00EE1772">
        <w:t>of</w:t>
      </w:r>
      <w:r w:rsidRPr="00EE1772">
        <w:tab/>
        <w:t>wicks.</w:t>
      </w:r>
      <w:r w:rsidRPr="00EE1772">
        <w:rPr>
          <w:rFonts w:cs="Times New Roman (Body CS)"/>
          <w:smallCaps/>
        </w:rPr>
        <w:t>fpl</w:t>
      </w:r>
    </w:p>
    <w:p w14:paraId="5B0F7E69" w14:textId="5BF6D65D" w:rsidR="00D8515F" w:rsidRPr="00CA40B1" w:rsidRDefault="00D8515F" w:rsidP="00D8515F">
      <w:r w:rsidRPr="00CA40B1">
        <w:t xml:space="preserve">these wicks </w:t>
      </w:r>
    </w:p>
    <w:p w14:paraId="0F42C8C4" w14:textId="17029C7B" w:rsidR="00B4025D" w:rsidRDefault="00B4025D" w:rsidP="00507094"/>
    <w:p w14:paraId="5A39C94A" w14:textId="68D073ED" w:rsidR="00CA40B1" w:rsidRDefault="00772EC6" w:rsidP="00507094">
      <w:r>
        <w:t>Just to reinforce this</w:t>
      </w:r>
      <w:r w:rsidR="001E0DC0">
        <w:t xml:space="preserve"> point</w:t>
      </w:r>
      <w:r w:rsidR="00675BE8">
        <w:t>, w</w:t>
      </w:r>
      <w:r w:rsidR="00CA40B1">
        <w:t xml:space="preserve">icks occur in a number of </w:t>
      </w:r>
      <w:r w:rsidR="00B60448">
        <w:t xml:space="preserve">the </w:t>
      </w:r>
      <w:r w:rsidR="00CA40B1">
        <w:t>Djefahapy contracts and</w:t>
      </w:r>
      <w:r w:rsidR="005C2DFF">
        <w:t>,</w:t>
      </w:r>
      <w:r w:rsidR="00CA40B1">
        <w:t xml:space="preserve"> with demonstratives</w:t>
      </w:r>
      <w:r w:rsidR="005C2DFF">
        <w:t>,</w:t>
      </w:r>
      <w:r w:rsidR="00CA40B1">
        <w:t xml:space="preserve"> show </w:t>
      </w:r>
      <w:r w:rsidR="007078E5">
        <w:t xml:space="preserve">the </w:t>
      </w:r>
      <w:r w:rsidR="00D16884">
        <w:t xml:space="preserve">following </w:t>
      </w:r>
      <w:r w:rsidR="00CA40B1">
        <w:t>feminine singular</w:t>
      </w:r>
      <w:r w:rsidR="007078E5">
        <w:t xml:space="preserve"> form</w:t>
      </w:r>
      <w:r w:rsidR="00CA40B1">
        <w:t>:</w:t>
      </w:r>
    </w:p>
    <w:p w14:paraId="58EBF03B" w14:textId="77777777" w:rsidR="00CA40B1" w:rsidRDefault="00CA40B1" w:rsidP="00507094"/>
    <w:p w14:paraId="39244199" w14:textId="50D27533" w:rsidR="00CA40B1" w:rsidRDefault="00CA40B1" w:rsidP="00507094">
      <w:r>
        <w:t>Ex. 1</w:t>
      </w:r>
      <w:r w:rsidR="00FD700E">
        <w:t>6</w:t>
      </w:r>
      <w:r>
        <w:t>. Siut 299</w:t>
      </w:r>
    </w:p>
    <w:p w14:paraId="2646DA61" w14:textId="78067D81" w:rsidR="00CA40B1" w:rsidRPr="00CA40B1" w:rsidRDefault="00CA40B1" w:rsidP="00507094">
      <w:pPr>
        <w:rPr>
          <w:rFonts w:ascii="Trlit_CG Times" w:hAnsi="Trlit_CG Times"/>
        </w:rPr>
      </w:pPr>
      <w:r w:rsidRPr="00CA40B1">
        <w:rPr>
          <w:rFonts w:ascii="Trlit_CG Times" w:hAnsi="Trlit_CG Times"/>
        </w:rPr>
        <w:t>gmHt</w:t>
      </w:r>
      <w:r w:rsidRPr="00CA40B1">
        <w:rPr>
          <w:rFonts w:ascii="Trlit_CG Times" w:hAnsi="Trlit_CG Times"/>
        </w:rPr>
        <w:tab/>
      </w:r>
      <w:r>
        <w:rPr>
          <w:rFonts w:ascii="Trlit_CG Times" w:hAnsi="Trlit_CG Times"/>
        </w:rPr>
        <w:tab/>
      </w:r>
      <w:r w:rsidRPr="00CA40B1">
        <w:rPr>
          <w:rFonts w:ascii="Trlit_CG Times" w:hAnsi="Trlit_CG Times"/>
        </w:rPr>
        <w:t>tn</w:t>
      </w:r>
    </w:p>
    <w:p w14:paraId="2203EBF2" w14:textId="7D1D3A90" w:rsidR="00CA40B1" w:rsidRDefault="00CA40B1" w:rsidP="00507094">
      <w:r>
        <w:t>wicks.</w:t>
      </w:r>
      <w:r w:rsidRPr="00895C39">
        <w:rPr>
          <w:smallCaps/>
        </w:rPr>
        <w:t>fsg</w:t>
      </w:r>
      <w:r>
        <w:tab/>
      </w:r>
      <w:r w:rsidRPr="00CA40B1">
        <w:rPr>
          <w:smallCaps/>
        </w:rPr>
        <w:t>dem.fsg</w:t>
      </w:r>
    </w:p>
    <w:p w14:paraId="6347862D" w14:textId="4F14D747" w:rsidR="00CA40B1" w:rsidRDefault="00CA40B1" w:rsidP="00507094">
      <w:r>
        <w:t>this wick</w:t>
      </w:r>
    </w:p>
    <w:p w14:paraId="56046783" w14:textId="77777777" w:rsidR="00CA40B1" w:rsidRDefault="00CA40B1" w:rsidP="00507094"/>
    <w:p w14:paraId="317DB0D8" w14:textId="16CEEF93" w:rsidR="00CA40B1" w:rsidRDefault="00CA40B1" w:rsidP="00507094">
      <w:r>
        <w:t>and</w:t>
      </w:r>
      <w:r w:rsidR="007213CA">
        <w:t xml:space="preserve"> </w:t>
      </w:r>
      <w:r>
        <w:t xml:space="preserve">with the newer </w:t>
      </w:r>
      <w:r w:rsidRPr="007213CA">
        <w:rPr>
          <w:rFonts w:ascii="Trlit_CG Times" w:hAnsi="Trlit_CG Times"/>
        </w:rPr>
        <w:t>tA</w:t>
      </w:r>
      <w:r>
        <w:t xml:space="preserve"> demonstrative in pre-</w:t>
      </w:r>
      <w:r w:rsidR="00D76A76">
        <w:t>nominal</w:t>
      </w:r>
      <w:r>
        <w:t xml:space="preserve"> position:</w:t>
      </w:r>
    </w:p>
    <w:p w14:paraId="0FA967B9" w14:textId="70FCDBE0" w:rsidR="00CA40B1" w:rsidRDefault="00CA40B1" w:rsidP="00507094"/>
    <w:p w14:paraId="2F8C1F01" w14:textId="1F8E8BEA" w:rsidR="00CA40B1" w:rsidRDefault="00CA40B1" w:rsidP="00507094">
      <w:r>
        <w:t>Ex. 1</w:t>
      </w:r>
      <w:r w:rsidR="00FD700E">
        <w:t>7</w:t>
      </w:r>
      <w:r>
        <w:t>. Siut 313</w:t>
      </w:r>
    </w:p>
    <w:p w14:paraId="06932000" w14:textId="43277C8D" w:rsidR="00CA40B1" w:rsidRPr="00CA40B1" w:rsidRDefault="00CA40B1" w:rsidP="00507094">
      <w:pPr>
        <w:rPr>
          <w:rFonts w:ascii="Trlit_CG Times" w:hAnsi="Trlit_CG Times"/>
        </w:rPr>
      </w:pPr>
      <w:r w:rsidRPr="00CA40B1">
        <w:rPr>
          <w:rFonts w:ascii="Trlit_CG Times" w:hAnsi="Trlit_CG Times"/>
        </w:rPr>
        <w:t>tA</w:t>
      </w:r>
      <w:r w:rsidRPr="00CA40B1">
        <w:rPr>
          <w:rFonts w:ascii="Trlit_CG Times" w:hAnsi="Trlit_CG Times"/>
        </w:rPr>
        <w:tab/>
      </w:r>
      <w:r>
        <w:rPr>
          <w:rFonts w:ascii="Trlit_CG Times" w:hAnsi="Trlit_CG Times"/>
        </w:rPr>
        <w:tab/>
      </w:r>
      <w:r w:rsidRPr="00CA40B1">
        <w:rPr>
          <w:rFonts w:ascii="Trlit_CG Times" w:hAnsi="Trlit_CG Times"/>
        </w:rPr>
        <w:t>gmHt</w:t>
      </w:r>
    </w:p>
    <w:p w14:paraId="77DA8A56" w14:textId="0A7AB2C4" w:rsidR="00CA40B1" w:rsidRDefault="00CA40B1" w:rsidP="00CA40B1">
      <w:r w:rsidRPr="00CA40B1">
        <w:rPr>
          <w:smallCaps/>
        </w:rPr>
        <w:t>dem.fsg</w:t>
      </w:r>
      <w:r>
        <w:t xml:space="preserve"> </w:t>
      </w:r>
      <w:r>
        <w:tab/>
        <w:t>wicks.</w:t>
      </w:r>
      <w:r w:rsidRPr="00CA40B1">
        <w:rPr>
          <w:smallCaps/>
        </w:rPr>
        <w:t>fsg</w:t>
      </w:r>
    </w:p>
    <w:p w14:paraId="15FA09F1" w14:textId="77777777" w:rsidR="00CA40B1" w:rsidRDefault="00CA40B1" w:rsidP="00CA40B1">
      <w:r>
        <w:t>this wick</w:t>
      </w:r>
    </w:p>
    <w:p w14:paraId="2E2ACA9A" w14:textId="77777777" w:rsidR="00CA40B1" w:rsidRDefault="00CA40B1" w:rsidP="00507094"/>
    <w:p w14:paraId="7185DD9A" w14:textId="1631B12B" w:rsidR="00CA40B1" w:rsidRDefault="00CA40B1" w:rsidP="00507094">
      <w:r>
        <w:t>The plural equivalent of Ex. 1</w:t>
      </w:r>
      <w:r w:rsidR="001E3CBE">
        <w:t>6</w:t>
      </w:r>
      <w:r>
        <w:t xml:space="preserve"> is the </w:t>
      </w:r>
      <w:r w:rsidRPr="00CA40B1">
        <w:rPr>
          <w:rFonts w:ascii="Trlit_CG Times" w:hAnsi="Trlit_CG Times"/>
        </w:rPr>
        <w:t>nn n(y) gmHwt</w:t>
      </w:r>
      <w:r>
        <w:t xml:space="preserve"> example in Ex. 1</w:t>
      </w:r>
      <w:r w:rsidR="00FD700E">
        <w:t>5</w:t>
      </w:r>
      <w:r>
        <w:t xml:space="preserve"> and the plural equivalent of Ex. 1</w:t>
      </w:r>
      <w:r w:rsidR="00FD700E">
        <w:t>7</w:t>
      </w:r>
      <w:r>
        <w:t xml:space="preserve"> is the </w:t>
      </w:r>
      <w:r w:rsidRPr="00CA40B1">
        <w:rPr>
          <w:rFonts w:ascii="Trlit_CG Times" w:hAnsi="Trlit_CG Times"/>
        </w:rPr>
        <w:t>nA n(y)</w:t>
      </w:r>
      <w:r>
        <w:t xml:space="preserve"> construction</w:t>
      </w:r>
      <w:r w:rsidR="002A78EF">
        <w:t xml:space="preserve">: </w:t>
      </w:r>
    </w:p>
    <w:p w14:paraId="27B84597" w14:textId="63527EA8" w:rsidR="00CA40B1" w:rsidRDefault="00CA40B1" w:rsidP="00507094"/>
    <w:p w14:paraId="6ED1D3D6" w14:textId="4CEA88E6" w:rsidR="00CA40B1" w:rsidRDefault="00CA40B1" w:rsidP="00507094">
      <w:r>
        <w:t>Ex. 1</w:t>
      </w:r>
      <w:r w:rsidR="00FD700E">
        <w:t>8</w:t>
      </w:r>
      <w:r>
        <w:t>. Siut 297</w:t>
      </w:r>
      <w:r w:rsidR="002A78EF">
        <w:t xml:space="preserve"> and 301</w:t>
      </w:r>
      <w:r>
        <w:t>:</w:t>
      </w:r>
    </w:p>
    <w:p w14:paraId="1541BB45" w14:textId="6CE0DE3E" w:rsidR="00CA40B1" w:rsidRPr="00CA40B1" w:rsidRDefault="00CA40B1" w:rsidP="00CA40B1">
      <w:pPr>
        <w:rPr>
          <w:rFonts w:ascii="Trlit_CG Times" w:hAnsi="Trlit_CG Times"/>
        </w:rPr>
      </w:pPr>
      <w:r w:rsidRPr="00CA40B1">
        <w:rPr>
          <w:rFonts w:ascii="Trlit_CG Times" w:hAnsi="Trlit_CG Times"/>
        </w:rPr>
        <w:t>n</w:t>
      </w:r>
      <w:r>
        <w:rPr>
          <w:rFonts w:ascii="Trlit_CG Times" w:hAnsi="Trlit_CG Times"/>
        </w:rPr>
        <w:t>A</w:t>
      </w:r>
      <w:r w:rsidRPr="00CA40B1">
        <w:rPr>
          <w:rFonts w:ascii="Trlit_CG Times" w:hAnsi="Trlit_CG Times"/>
        </w:rPr>
        <w:t xml:space="preserve"> </w:t>
      </w:r>
      <w:r w:rsidRPr="00CA40B1">
        <w:rPr>
          <w:rFonts w:ascii="Trlit_CG Times" w:hAnsi="Trlit_CG Times"/>
        </w:rPr>
        <w:tab/>
      </w:r>
      <w:r w:rsidRPr="00CA40B1">
        <w:rPr>
          <w:rFonts w:ascii="Trlit_CG Times" w:hAnsi="Trlit_CG Times"/>
        </w:rPr>
        <w:tab/>
        <w:t xml:space="preserve">n(y) </w:t>
      </w:r>
      <w:r w:rsidRPr="00CA40B1">
        <w:rPr>
          <w:rFonts w:ascii="Trlit_CG Times" w:hAnsi="Trlit_CG Times"/>
        </w:rPr>
        <w:tab/>
        <w:t>gmHwt</w:t>
      </w:r>
    </w:p>
    <w:p w14:paraId="15B9F7AC" w14:textId="4E71FB38" w:rsidR="00CA40B1" w:rsidRPr="00EE1772" w:rsidRDefault="00CA40B1" w:rsidP="00CA40B1">
      <w:r w:rsidRPr="00EE1772">
        <w:rPr>
          <w:rFonts w:cs="Times New Roman (Body CS)"/>
          <w:smallCaps/>
        </w:rPr>
        <w:t>dem</w:t>
      </w:r>
      <w:r>
        <w:rPr>
          <w:rFonts w:cs="Times New Roman (Body CS)"/>
          <w:smallCaps/>
        </w:rPr>
        <w:t>.cpl</w:t>
      </w:r>
      <w:r>
        <w:rPr>
          <w:rFonts w:cs="Times New Roman (Body CS)"/>
          <w:smallCaps/>
        </w:rPr>
        <w:tab/>
      </w:r>
      <w:r w:rsidR="003B43AF">
        <w:rPr>
          <w:rFonts w:cs="Times New Roman (Body CS)"/>
          <w:smallCaps/>
        </w:rPr>
        <w:tab/>
      </w:r>
      <w:r w:rsidRPr="00EE1772">
        <w:t>of</w:t>
      </w:r>
      <w:r w:rsidRPr="00EE1772">
        <w:tab/>
        <w:t>wicks.</w:t>
      </w:r>
      <w:r w:rsidRPr="00EE1772">
        <w:rPr>
          <w:rFonts w:cs="Times New Roman (Body CS)"/>
          <w:smallCaps/>
        </w:rPr>
        <w:t>fpl</w:t>
      </w:r>
    </w:p>
    <w:p w14:paraId="1A5F3E67" w14:textId="77777777" w:rsidR="00CA40B1" w:rsidRPr="00CA40B1" w:rsidRDefault="00CA40B1" w:rsidP="00CA40B1">
      <w:r w:rsidRPr="00CA40B1">
        <w:t xml:space="preserve">these wicks </w:t>
      </w:r>
    </w:p>
    <w:p w14:paraId="7821CD2B" w14:textId="0BC199C4" w:rsidR="00CA40B1" w:rsidRDefault="00CA40B1" w:rsidP="00507094"/>
    <w:p w14:paraId="1D349A7E" w14:textId="1109A42F" w:rsidR="002A78EF" w:rsidRDefault="002A78EF" w:rsidP="00507094">
      <w:r>
        <w:t xml:space="preserve">In all </w:t>
      </w:r>
      <w:r w:rsidR="005F3A1E">
        <w:t>three</w:t>
      </w:r>
      <w:r>
        <w:t xml:space="preserve"> </w:t>
      </w:r>
      <w:r w:rsidR="00C938DF">
        <w:t xml:space="preserve">plural </w:t>
      </w:r>
      <w:r>
        <w:t>occurrences</w:t>
      </w:r>
      <w:r w:rsidR="00E82F4C">
        <w:t xml:space="preserve"> in the contracts</w:t>
      </w:r>
      <w:r>
        <w:t xml:space="preserve">, </w:t>
      </w:r>
      <w:r w:rsidRPr="00CA40B1">
        <w:rPr>
          <w:rFonts w:ascii="Trlit_CG Times" w:hAnsi="Trlit_CG Times"/>
        </w:rPr>
        <w:t>gmHwt</w:t>
      </w:r>
      <w:r>
        <w:t xml:space="preserve"> shows the full feminine</w:t>
      </w:r>
      <w:r w:rsidR="007F69EF">
        <w:t>-</w:t>
      </w:r>
      <w:r>
        <w:t xml:space="preserve">plural writing with </w:t>
      </w:r>
      <w:r w:rsidRPr="00CA40B1">
        <w:rPr>
          <w:rFonts w:ascii="Trlit_CG Times" w:hAnsi="Trlit_CG Times"/>
        </w:rPr>
        <w:t>-wt</w:t>
      </w:r>
      <w:r>
        <w:t xml:space="preserve"> ending as well as plural-stroke determinative.</w:t>
      </w:r>
    </w:p>
    <w:p w14:paraId="1939BE4A" w14:textId="77777777" w:rsidR="002A78EF" w:rsidRDefault="002A78EF" w:rsidP="00507094"/>
    <w:p w14:paraId="5D56CFF5" w14:textId="58E4A23C" w:rsidR="00B4025D" w:rsidRDefault="00B4025D" w:rsidP="007058D2">
      <w:pPr>
        <w:ind w:firstLine="720"/>
      </w:pPr>
      <w:r>
        <w:t>In this usage as a common-plural demonstrative-modifier</w:t>
      </w:r>
      <w:r w:rsidR="00AD2DE3">
        <w:t xml:space="preserve"> </w:t>
      </w:r>
      <w:r>
        <w:t>construction, the primary referential noun occurs in the plural form</w:t>
      </w:r>
      <w:r w:rsidR="0047215D">
        <w:t xml:space="preserve"> (either masculine or feminine, as above)</w:t>
      </w:r>
      <w:r>
        <w:t xml:space="preserve">. The old invariant </w:t>
      </w:r>
      <w:r w:rsidRPr="00B4025D">
        <w:rPr>
          <w:rFonts w:ascii="Trlit_CG Times" w:hAnsi="Trlit_CG Times"/>
        </w:rPr>
        <w:t>n-</w:t>
      </w:r>
      <w:r>
        <w:t>demonstrative already existed in a co-indexed referential relationship with the following noun and with the effective restriction of this noun to plural form</w:t>
      </w:r>
      <w:r w:rsidR="00A30339">
        <w:t xml:space="preserve"> (in this dominant variant of the construction)</w:t>
      </w:r>
      <w:r>
        <w:t xml:space="preserve">, this co-indexing relation is reanalysed (neoanalysed) as an agreement relation with the </w:t>
      </w:r>
      <w:r w:rsidRPr="00B4025D">
        <w:rPr>
          <w:rFonts w:ascii="Trlit_CG Times" w:hAnsi="Trlit_CG Times"/>
        </w:rPr>
        <w:t>n-</w:t>
      </w:r>
      <w:r>
        <w:t xml:space="preserve">demonstrative </w:t>
      </w:r>
      <w:r w:rsidR="007C226F">
        <w:t>agreeing as a</w:t>
      </w:r>
      <w:r>
        <w:t xml:space="preserve"> </w:t>
      </w:r>
      <w:r w:rsidR="00A72467">
        <w:t xml:space="preserve">(periphrastic) </w:t>
      </w:r>
      <w:r>
        <w:t>common-plural</w:t>
      </w:r>
      <w:r w:rsidR="007C226F">
        <w:t xml:space="preserve"> demonstrative modifier</w:t>
      </w:r>
      <w:r w:rsidR="00AD2DE3">
        <w:t>, increasing the degree of harmony of meaning and form</w:t>
      </w:r>
      <w:r w:rsidR="007C226F">
        <w:t>:</w:t>
      </w:r>
    </w:p>
    <w:p w14:paraId="271F4454" w14:textId="77777777" w:rsidR="007C226F" w:rsidRDefault="007C226F" w:rsidP="007C226F"/>
    <w:p w14:paraId="758D1092" w14:textId="15083E70" w:rsidR="007C226F" w:rsidRPr="000660E2" w:rsidRDefault="00EE1772" w:rsidP="007C226F">
      <w:r w:rsidRPr="000660E2">
        <w:rPr>
          <w:rFonts w:ascii="Trlit_CG Times" w:hAnsi="Trlit_CG Times"/>
        </w:rPr>
        <w:t>[</w:t>
      </w:r>
      <w:r w:rsidR="007C226F" w:rsidRPr="000660E2">
        <w:rPr>
          <w:rFonts w:ascii="Trlit_CG Times" w:hAnsi="Trlit_CG Times"/>
        </w:rPr>
        <w:t xml:space="preserve">nn </w:t>
      </w:r>
      <w:r w:rsidR="007C226F" w:rsidRPr="000660E2">
        <w:rPr>
          <w:rFonts w:ascii="Trlit_CG Times" w:hAnsi="Trlit_CG Times"/>
        </w:rPr>
        <w:tab/>
      </w:r>
      <w:r w:rsidR="007C226F" w:rsidRPr="000660E2">
        <w:rPr>
          <w:rFonts w:ascii="Trlit_CG Times" w:hAnsi="Trlit_CG Times"/>
        </w:rPr>
        <w:tab/>
        <w:t>n(y)</w:t>
      </w:r>
      <w:r w:rsidRPr="000660E2">
        <w:rPr>
          <w:rFonts w:ascii="Trlit_CG Times" w:hAnsi="Trlit_CG Times"/>
        </w:rPr>
        <w:t>]</w:t>
      </w:r>
      <w:r w:rsidR="007C226F" w:rsidRPr="000660E2">
        <w:rPr>
          <w:rFonts w:ascii="Trlit_CG Times" w:hAnsi="Trlit_CG Times"/>
        </w:rPr>
        <w:t xml:space="preserve"> </w:t>
      </w:r>
      <w:r w:rsidR="007C226F" w:rsidRPr="000660E2">
        <w:rPr>
          <w:rFonts w:ascii="Trlit_CG Times" w:hAnsi="Trlit_CG Times"/>
        </w:rPr>
        <w:tab/>
      </w:r>
      <w:r w:rsidR="007C226F" w:rsidRPr="000660E2">
        <w:rPr>
          <w:rFonts w:ascii="Trlit_CG Times" w:hAnsi="Trlit_CG Times"/>
        </w:rPr>
        <w:tab/>
        <w:t>srw</w:t>
      </w:r>
    </w:p>
    <w:p w14:paraId="3FC1AADF" w14:textId="6D0722C6" w:rsidR="007C226F" w:rsidRDefault="008F552A" w:rsidP="007C226F">
      <w:r>
        <w:t>Dem</w:t>
      </w:r>
      <w:r w:rsidRPr="008F552A">
        <w:rPr>
          <w:vertAlign w:val="subscript"/>
        </w:rPr>
        <w:t>i</w:t>
      </w:r>
      <w:r w:rsidR="007C226F">
        <w:t>___________________</w:t>
      </w:r>
      <w:r w:rsidR="00AB0171">
        <w:t>______</w:t>
      </w:r>
      <w:r>
        <w:tab/>
      </w:r>
      <w:r w:rsidR="007C226F">
        <w:t>R</w:t>
      </w:r>
      <w:r w:rsidRPr="008F552A">
        <w:rPr>
          <w:vertAlign w:val="subscript"/>
        </w:rPr>
        <w:t>i</w:t>
      </w:r>
    </w:p>
    <w:p w14:paraId="03C51458" w14:textId="447E8076" w:rsidR="007C226F" w:rsidRDefault="007C226F" w:rsidP="007C226F">
      <w:r>
        <w:t>Dem[cpl] ………………</w:t>
      </w:r>
      <w:r w:rsidR="008F552A">
        <w:t>…</w:t>
      </w:r>
      <w:r w:rsidR="00AB0171">
        <w:t>…………</w:t>
      </w:r>
      <w:r w:rsidR="008F552A">
        <w:tab/>
      </w:r>
      <w:r>
        <w:t>N[mpl]</w:t>
      </w:r>
      <w:r>
        <w:tab/>
      </w:r>
    </w:p>
    <w:p w14:paraId="3AAA1397" w14:textId="77777777" w:rsidR="007C226F" w:rsidRDefault="007C226F" w:rsidP="007C226F"/>
    <w:p w14:paraId="4524BF77" w14:textId="4B929F52" w:rsidR="0047215D" w:rsidRDefault="0047215D" w:rsidP="00507094">
      <w:r>
        <w:t xml:space="preserve">In terms of head-modifier relations (which, alternatively could be analysed </w:t>
      </w:r>
      <w:r w:rsidR="00B521FA">
        <w:t xml:space="preserve">with the demonstrative expression </w:t>
      </w:r>
      <w:r w:rsidR="005663C2">
        <w:t>as a functional head or specifier, as noted above</w:t>
      </w:r>
      <w:r>
        <w:t>)</w:t>
      </w:r>
      <w:r w:rsidR="004F75EA">
        <w:t>, we have</w:t>
      </w:r>
      <w:r>
        <w:t>:</w:t>
      </w:r>
    </w:p>
    <w:p w14:paraId="2383EF70" w14:textId="77777777" w:rsidR="00E77A7F" w:rsidRDefault="00E77A7F" w:rsidP="00507094"/>
    <w:p w14:paraId="008CA8C2" w14:textId="68E54903" w:rsidR="0047215D" w:rsidRDefault="0047215D" w:rsidP="0047215D">
      <w:r w:rsidRPr="00F124E5">
        <w:rPr>
          <w:rFonts w:ascii="Trlit_CG Times" w:hAnsi="Trlit_CG Times"/>
        </w:rPr>
        <w:t>n</w:t>
      </w:r>
      <w:r>
        <w:t xml:space="preserve">-dem.cpl   </w:t>
      </w:r>
      <w:r w:rsidRPr="00F124E5">
        <w:rPr>
          <w:rFonts w:ascii="Trlit_CG Times" w:hAnsi="Trlit_CG Times"/>
        </w:rPr>
        <w:t>n(y)</w:t>
      </w:r>
      <w:r>
        <w:t xml:space="preserve"> </w:t>
      </w:r>
      <w:r>
        <w:tab/>
      </w:r>
      <w:r>
        <w:tab/>
        <w:t>N.m/fpl</w:t>
      </w:r>
    </w:p>
    <w:p w14:paraId="2F32DAC4" w14:textId="282086CB" w:rsidR="0047215D" w:rsidRDefault="0047215D" w:rsidP="0047215D">
      <w:r>
        <w:t>Modifier</w:t>
      </w:r>
      <w:r>
        <w:tab/>
      </w:r>
      <w:r>
        <w:tab/>
      </w:r>
      <w:r>
        <w:tab/>
        <w:t>Head</w:t>
      </w:r>
    </w:p>
    <w:p w14:paraId="6CBBE8DA" w14:textId="77777777" w:rsidR="0047215D" w:rsidRDefault="0047215D" w:rsidP="00507094"/>
    <w:p w14:paraId="3459483B" w14:textId="02FF5529" w:rsidR="006E65DC" w:rsidRDefault="00FA0E56" w:rsidP="00507094">
      <w:r>
        <w:t>Within this neoanalysis, the indirect</w:t>
      </w:r>
      <w:r w:rsidR="007C226F">
        <w:t>-</w:t>
      </w:r>
      <w:r>
        <w:t xml:space="preserve">genitive linker has an increasingly redundant </w:t>
      </w:r>
      <w:r w:rsidR="005866BB">
        <w:t>and less</w:t>
      </w:r>
      <w:r w:rsidR="008224FA">
        <w:t>-</w:t>
      </w:r>
      <w:r w:rsidR="005866BB">
        <w:t xml:space="preserve">analysable </w:t>
      </w:r>
      <w:r>
        <w:t xml:space="preserve">role </w:t>
      </w:r>
      <w:r w:rsidR="00E75C3E">
        <w:t>within its chunk and the construction</w:t>
      </w:r>
      <w:r w:rsidR="005568D4">
        <w:t>. I</w:t>
      </w:r>
      <w:r w:rsidR="009E5568">
        <w:t>t</w:t>
      </w:r>
      <w:r w:rsidR="006E500C">
        <w:t xml:space="preserve">s presence </w:t>
      </w:r>
      <w:r>
        <w:t xml:space="preserve">is </w:t>
      </w:r>
      <w:r w:rsidR="005568D4">
        <w:t xml:space="preserve">also </w:t>
      </w:r>
      <w:r>
        <w:t>out-of-step with the other demonstrative modifier constructions, which show direct relation between the demonstrative and the noun</w:t>
      </w:r>
      <w:r w:rsidR="009E5568">
        <w:t xml:space="preserve">, particularly as the prenominal </w:t>
      </w:r>
      <w:r w:rsidR="009E5568" w:rsidRPr="009E5568">
        <w:rPr>
          <w:rFonts w:ascii="Trlit_CG Times" w:hAnsi="Trlit_CG Times"/>
        </w:rPr>
        <w:t>pA</w:t>
      </w:r>
      <w:r w:rsidR="009E5568">
        <w:t xml:space="preserve"> and </w:t>
      </w:r>
      <w:r w:rsidR="009E5568" w:rsidRPr="009E5568">
        <w:rPr>
          <w:rFonts w:ascii="Trlit_CG Times" w:hAnsi="Trlit_CG Times"/>
        </w:rPr>
        <w:t>tA</w:t>
      </w:r>
      <w:r w:rsidR="009E5568">
        <w:t xml:space="preserve"> singular forms begin to predominate</w:t>
      </w:r>
      <w:r>
        <w:t xml:space="preserve">. </w:t>
      </w:r>
      <w:r w:rsidR="00A35A72">
        <w:t xml:space="preserve">Eventually, of course, the indirect-genitive linker drops away from the construction entirely, leaving the new common-plural </w:t>
      </w:r>
      <w:r w:rsidR="00A35A72" w:rsidRPr="00A35A72">
        <w:rPr>
          <w:rFonts w:ascii="Trlit_CG Times" w:hAnsi="Trlit_CG Times"/>
        </w:rPr>
        <w:t>n</w:t>
      </w:r>
      <w:r w:rsidR="00A35A72">
        <w:t>-demonstrative modifier in a direct agreement</w:t>
      </w:r>
      <w:r w:rsidR="00631FD4">
        <w:t>-</w:t>
      </w:r>
      <w:r w:rsidR="00A35A72">
        <w:t>relation with the referential noun.</w:t>
      </w:r>
      <w:r w:rsidR="00E75C3E">
        <w:t xml:space="preserve"> However, that occurs </w:t>
      </w:r>
      <w:r w:rsidR="00B22326">
        <w:t xml:space="preserve">over an extensive period of time, primarily </w:t>
      </w:r>
      <w:r w:rsidR="00E75C3E">
        <w:t xml:space="preserve">after the </w:t>
      </w:r>
      <w:r w:rsidR="00E75C3E" w:rsidRPr="00E75C3E">
        <w:rPr>
          <w:rFonts w:ascii="Trlit_CG Times" w:hAnsi="Trlit_CG Times"/>
        </w:rPr>
        <w:t>pA</w:t>
      </w:r>
      <w:r w:rsidR="00E75C3E">
        <w:t xml:space="preserve">, </w:t>
      </w:r>
      <w:r w:rsidR="00E75C3E" w:rsidRPr="00E75C3E">
        <w:rPr>
          <w:rFonts w:ascii="Trlit_CG Times" w:hAnsi="Trlit_CG Times"/>
        </w:rPr>
        <w:t>tA</w:t>
      </w:r>
      <w:r w:rsidR="00E75C3E">
        <w:t xml:space="preserve">, </w:t>
      </w:r>
      <w:r w:rsidR="00E75C3E" w:rsidRPr="00E75C3E">
        <w:rPr>
          <w:rFonts w:ascii="Trlit_CG Times" w:hAnsi="Trlit_CG Times"/>
        </w:rPr>
        <w:t>nA</w:t>
      </w:r>
      <w:r w:rsidR="00E75C3E">
        <w:t xml:space="preserve"> demonstratives have become the predominant forms of demonstratives</w:t>
      </w:r>
      <w:r w:rsidR="00422423">
        <w:t>. T</w:t>
      </w:r>
      <w:r w:rsidR="00E75C3E">
        <w:t xml:space="preserve">hat is </w:t>
      </w:r>
      <w:r w:rsidR="00E75C3E">
        <w:lastRenderedPageBreak/>
        <w:t xml:space="preserve">another story, although </w:t>
      </w:r>
      <w:r w:rsidR="00E75C3E" w:rsidRPr="00E75C3E">
        <w:rPr>
          <w:rFonts w:ascii="Trlit_CG Times" w:hAnsi="Trlit_CG Times"/>
        </w:rPr>
        <w:t>nA</w:t>
      </w:r>
      <w:r w:rsidR="00E75C3E">
        <w:t xml:space="preserve"> behaves like other </w:t>
      </w:r>
      <w:r w:rsidR="00E75C3E" w:rsidRPr="00E75C3E">
        <w:rPr>
          <w:rFonts w:ascii="Trlit_CG Times" w:hAnsi="Trlit_CG Times"/>
        </w:rPr>
        <w:t>n-</w:t>
      </w:r>
      <w:r w:rsidR="00E75C3E">
        <w:t xml:space="preserve">demonstratives in occurring first in the </w:t>
      </w:r>
      <w:r w:rsidR="00E75C3E" w:rsidRPr="00E75C3E">
        <w:rPr>
          <w:rFonts w:ascii="Trlit_CG Times" w:hAnsi="Trlit_CG Times"/>
        </w:rPr>
        <w:t>nA n(y)</w:t>
      </w:r>
      <w:r w:rsidR="00E75C3E">
        <w:t xml:space="preserve"> common-plural demonstrative-modifier construction</w:t>
      </w:r>
      <w:r w:rsidR="00FF2A7D">
        <w:t xml:space="preserve"> (cf. Ex. 1</w:t>
      </w:r>
      <w:r w:rsidR="00FD700E">
        <w:t>8</w:t>
      </w:r>
      <w:r w:rsidR="00FF2A7D">
        <w:t>)</w:t>
      </w:r>
      <w:r w:rsidR="006E65DC">
        <w:t>.</w:t>
      </w:r>
      <w:r w:rsidR="006E65DC" w:rsidRPr="006E65DC">
        <w:rPr>
          <w:rStyle w:val="FootnoteReference"/>
        </w:rPr>
        <w:t xml:space="preserve"> </w:t>
      </w:r>
      <w:r w:rsidR="006E65DC">
        <w:rPr>
          <w:rStyle w:val="FootnoteReference"/>
        </w:rPr>
        <w:footnoteReference w:id="19"/>
      </w:r>
    </w:p>
    <w:p w14:paraId="09044DB9" w14:textId="5FBAC776" w:rsidR="00A35A72" w:rsidRDefault="00A35A72" w:rsidP="00507094"/>
    <w:p w14:paraId="7DA6FE3D" w14:textId="44FC9F1F" w:rsidR="00683EAB" w:rsidRPr="003F34E9" w:rsidRDefault="00683EAB" w:rsidP="00425BE6">
      <w:pPr>
        <w:rPr>
          <w:b/>
          <w:bCs/>
        </w:rPr>
      </w:pPr>
      <w:r w:rsidRPr="003F34E9">
        <w:rPr>
          <w:b/>
          <w:bCs/>
        </w:rPr>
        <w:t>Bibliography</w:t>
      </w:r>
    </w:p>
    <w:p w14:paraId="080718E4" w14:textId="294FAEB3" w:rsidR="00425BE6" w:rsidRDefault="00683EAB" w:rsidP="003E2835">
      <w:pPr>
        <w:spacing w:before="120"/>
      </w:pPr>
      <w:r>
        <w:t xml:space="preserve">Allen, James. </w:t>
      </w:r>
      <w:r w:rsidRPr="003F34E9">
        <w:rPr>
          <w:i/>
          <w:iCs/>
        </w:rPr>
        <w:t>The Ancient Egyptian Language: An Historical Study</w:t>
      </w:r>
      <w:r>
        <w:t xml:space="preserve">. Cambridge: Cambridge University Press, </w:t>
      </w:r>
      <w:r w:rsidR="003F34E9">
        <w:t>2013.</w:t>
      </w:r>
    </w:p>
    <w:p w14:paraId="70EDCAD0" w14:textId="4A57784F" w:rsidR="00162257" w:rsidRDefault="00162257" w:rsidP="003E2835">
      <w:pPr>
        <w:spacing w:before="120"/>
      </w:pPr>
      <w:r>
        <w:t xml:space="preserve">Allen, James. </w:t>
      </w:r>
      <w:r w:rsidRPr="00162257">
        <w:rPr>
          <w:i/>
          <w:iCs/>
        </w:rPr>
        <w:t>Middle Egyptian: An Introduction to the Language and Culture of Hieroglyphs</w:t>
      </w:r>
      <w:r>
        <w:t>. 3</w:t>
      </w:r>
      <w:r w:rsidRPr="00162257">
        <w:rPr>
          <w:vertAlign w:val="superscript"/>
        </w:rPr>
        <w:t>rd</w:t>
      </w:r>
      <w:r>
        <w:t xml:space="preserve"> edition. Cambridge, Cambridge University Press, 2014.</w:t>
      </w:r>
    </w:p>
    <w:p w14:paraId="4370B87A" w14:textId="77777777" w:rsidR="00056DD5" w:rsidRPr="002B1C17" w:rsidRDefault="00056DD5" w:rsidP="00056DD5">
      <w:pPr>
        <w:spacing w:before="120"/>
      </w:pPr>
      <w:r w:rsidRPr="002B1C17">
        <w:t>Bissing, Friedrich Wilhelm von.</w:t>
      </w:r>
      <w:r>
        <w:t xml:space="preserve"> </w:t>
      </w:r>
      <w:r w:rsidRPr="002B1C17">
        <w:rPr>
          <w:i/>
          <w:iCs/>
        </w:rPr>
        <w:t>Die Mastaba des</w:t>
      </w:r>
      <w:r>
        <w:rPr>
          <w:i/>
          <w:iCs/>
        </w:rPr>
        <w:t xml:space="preserve"> </w:t>
      </w:r>
      <w:r w:rsidRPr="002B1C17">
        <w:rPr>
          <w:i/>
          <w:iCs/>
        </w:rPr>
        <w:t>Gem-ni-kai</w:t>
      </w:r>
      <w:r w:rsidRPr="002B1C17">
        <w:t>, 2 vols. Berlin: Alexander Duncker</w:t>
      </w:r>
      <w:r>
        <w:t>, 1905–1911.</w:t>
      </w:r>
    </w:p>
    <w:p w14:paraId="23509118" w14:textId="77777777" w:rsidR="00056DD5" w:rsidRPr="007A5AA3" w:rsidRDefault="00056DD5" w:rsidP="00056DD5">
      <w:pPr>
        <w:spacing w:before="120"/>
      </w:pPr>
      <w:r>
        <w:t xml:space="preserve">Blackman, </w:t>
      </w:r>
      <w:r w:rsidRPr="007A5AA3">
        <w:t>Aylward and Michael Apted</w:t>
      </w:r>
      <w:r>
        <w:t xml:space="preserve">. </w:t>
      </w:r>
      <w:r w:rsidRPr="007A5AA3">
        <w:rPr>
          <w:i/>
          <w:iCs/>
        </w:rPr>
        <w:t xml:space="preserve">The </w:t>
      </w:r>
      <w:r>
        <w:rPr>
          <w:i/>
          <w:iCs/>
        </w:rPr>
        <w:t>R</w:t>
      </w:r>
      <w:r w:rsidRPr="007A5AA3">
        <w:rPr>
          <w:i/>
          <w:iCs/>
        </w:rPr>
        <w:t xml:space="preserve">ock </w:t>
      </w:r>
      <w:r>
        <w:rPr>
          <w:i/>
          <w:iCs/>
        </w:rPr>
        <w:t>T</w:t>
      </w:r>
      <w:r w:rsidRPr="007A5AA3">
        <w:rPr>
          <w:i/>
          <w:iCs/>
        </w:rPr>
        <w:t>ombs of</w:t>
      </w:r>
      <w:r>
        <w:rPr>
          <w:i/>
          <w:iCs/>
        </w:rPr>
        <w:t xml:space="preserve"> </w:t>
      </w:r>
      <w:r w:rsidRPr="007A5AA3">
        <w:rPr>
          <w:i/>
          <w:iCs/>
        </w:rPr>
        <w:t>Meir</w:t>
      </w:r>
      <w:r>
        <w:rPr>
          <w:i/>
          <w:iCs/>
        </w:rPr>
        <w:t>:</w:t>
      </w:r>
      <w:r w:rsidRPr="007A5AA3">
        <w:rPr>
          <w:i/>
          <w:iCs/>
        </w:rPr>
        <w:t xml:space="preserve"> Part V</w:t>
      </w:r>
      <w:r>
        <w:rPr>
          <w:i/>
          <w:iCs/>
        </w:rPr>
        <w:t xml:space="preserve">. </w:t>
      </w:r>
      <w:r w:rsidRPr="007A5AA3">
        <w:t>Archaeological Survey of Egypt 28. London: Egypt Exploration Society</w:t>
      </w:r>
      <w:r>
        <w:t>, 1953</w:t>
      </w:r>
      <w:r w:rsidRPr="007A5AA3">
        <w:t>.</w:t>
      </w:r>
    </w:p>
    <w:p w14:paraId="3BF66BBC" w14:textId="62D74608" w:rsidR="006B789A" w:rsidRDefault="006B789A" w:rsidP="006B789A">
      <w:pPr>
        <w:spacing w:before="120"/>
      </w:pPr>
      <w:r w:rsidRPr="00F9393F">
        <w:t>Borchardt, Ludwig</w:t>
      </w:r>
      <w:r w:rsidR="00AE3DBF">
        <w:t>.</w:t>
      </w:r>
      <w:r>
        <w:t xml:space="preserve"> </w:t>
      </w:r>
      <w:r w:rsidRPr="00F9393F">
        <w:rPr>
          <w:i/>
          <w:iCs/>
        </w:rPr>
        <w:t>Denkmäler des Alten Reiches (außer den Statuen) im Museum von Kairo Nr. 1295</w:t>
      </w:r>
      <w:r>
        <w:rPr>
          <w:i/>
          <w:iCs/>
        </w:rPr>
        <w:t>–</w:t>
      </w:r>
      <w:r w:rsidRPr="00F9393F">
        <w:rPr>
          <w:i/>
          <w:iCs/>
        </w:rPr>
        <w:t>1808. Teil II: Text und Tafeln zu Nr. 1542</w:t>
      </w:r>
      <w:r>
        <w:rPr>
          <w:i/>
          <w:iCs/>
        </w:rPr>
        <w:t>–</w:t>
      </w:r>
      <w:r w:rsidRPr="00F9393F">
        <w:rPr>
          <w:i/>
          <w:iCs/>
        </w:rPr>
        <w:t>1808 (Manuskript abgeschlossen 1899)</w:t>
      </w:r>
      <w:r w:rsidRPr="00F9393F">
        <w:t>.</w:t>
      </w:r>
      <w:r>
        <w:t xml:space="preserve"> </w:t>
      </w:r>
      <w:r w:rsidRPr="00F9393F">
        <w:t>Catalogue</w:t>
      </w:r>
      <w:r>
        <w:t xml:space="preserve"> </w:t>
      </w:r>
      <w:r w:rsidRPr="00F9393F">
        <w:t>général des antiquités égyptiennes du Musée du Caire. Le Caire: Organisme Général des Imprimeries Gouvernementales</w:t>
      </w:r>
      <w:r>
        <w:t>, 1964</w:t>
      </w:r>
      <w:r w:rsidRPr="00F9393F">
        <w:t xml:space="preserve">. </w:t>
      </w:r>
    </w:p>
    <w:p w14:paraId="18AF5AF9" w14:textId="2CEAC2E4" w:rsidR="007A4C83" w:rsidRPr="00AB6FB7" w:rsidRDefault="007A4C83" w:rsidP="003E2835">
      <w:pPr>
        <w:spacing w:before="120"/>
        <w:rPr>
          <w:color w:val="000000" w:themeColor="text1"/>
        </w:rPr>
      </w:pPr>
      <w:r w:rsidRPr="00AB6FB7">
        <w:rPr>
          <w:color w:val="000000" w:themeColor="text1"/>
        </w:rPr>
        <w:t xml:space="preserve">Brose, Marc. </w:t>
      </w:r>
      <w:r w:rsidRPr="00AB6FB7">
        <w:rPr>
          <w:i/>
          <w:iCs/>
          <w:color w:val="000000" w:themeColor="text1"/>
        </w:rPr>
        <w:t>Grammatik der dokumentarischen Texte des Mittleren Reiches</w:t>
      </w:r>
      <w:r w:rsidRPr="00AB6FB7">
        <w:rPr>
          <w:color w:val="000000" w:themeColor="text1"/>
        </w:rPr>
        <w:t>. Lingua Aegyptia Studia Monographica 13. Hamburg: Widmaier Verlag, 2014.</w:t>
      </w:r>
    </w:p>
    <w:p w14:paraId="23DA78F2" w14:textId="01C863DD" w:rsidR="002478A5" w:rsidRDefault="002478A5" w:rsidP="003E2835">
      <w:pPr>
        <w:spacing w:before="120"/>
      </w:pPr>
      <w:r>
        <w:t xml:space="preserve">Bybee, Joan. </w:t>
      </w:r>
      <w:r w:rsidRPr="002478A5">
        <w:rPr>
          <w:i/>
          <w:iCs/>
        </w:rPr>
        <w:t>Language, Usage and Cognition</w:t>
      </w:r>
      <w:r>
        <w:t>. Cambridge: Cambridge University Press, 2010.</w:t>
      </w:r>
    </w:p>
    <w:p w14:paraId="5D3CFBB5" w14:textId="65307E7E" w:rsidR="00223BC5" w:rsidRDefault="00223BC5" w:rsidP="003E2835">
      <w:pPr>
        <w:spacing w:before="120"/>
      </w:pPr>
      <w:r>
        <w:t xml:space="preserve">Diessel, Holger. </w:t>
      </w:r>
      <w:r w:rsidRPr="00C1077C">
        <w:rPr>
          <w:i/>
          <w:iCs/>
        </w:rPr>
        <w:t>Demonstratives: Form, Function and Grammaticalization</w:t>
      </w:r>
      <w:r>
        <w:t>. Typological Studies in Language 42. Amsterdam: John Benjamins.</w:t>
      </w:r>
    </w:p>
    <w:p w14:paraId="33A52BD3" w14:textId="75B5C8BC" w:rsidR="00735BA9" w:rsidRPr="00735BA9" w:rsidRDefault="00735BA9" w:rsidP="00735BA9">
      <w:pPr>
        <w:spacing w:before="120"/>
      </w:pPr>
      <w:r w:rsidRPr="00735BA9">
        <w:t xml:space="preserve">Edel, Elmar. </w:t>
      </w:r>
      <w:r w:rsidRPr="00735BA9">
        <w:rPr>
          <w:i/>
          <w:iCs/>
        </w:rPr>
        <w:t>Altägyptische Grammatik</w:t>
      </w:r>
      <w:r w:rsidRPr="00735BA9">
        <w:t>. Analecta Orientalia 34 &amp; 39. Rom</w:t>
      </w:r>
      <w:r w:rsidR="005568D4">
        <w:t>e</w:t>
      </w:r>
      <w:r w:rsidRPr="00735BA9">
        <w:t>: Pontificium Institutum Biblicum, 1955–1964.</w:t>
      </w:r>
    </w:p>
    <w:p w14:paraId="3028650D" w14:textId="44D1A009" w:rsidR="00E23750" w:rsidRDefault="00E23750" w:rsidP="003E2835">
      <w:pPr>
        <w:spacing w:before="120"/>
      </w:pPr>
      <w:r>
        <w:t xml:space="preserve">Gardiner, Alan. </w:t>
      </w:r>
      <w:r w:rsidRPr="00E23750">
        <w:rPr>
          <w:i/>
          <w:iCs/>
        </w:rPr>
        <w:t>Egyptian Grammar: Being an Introduction to the Study of Hieroglyphs</w:t>
      </w:r>
      <w:r>
        <w:t xml:space="preserve">. </w:t>
      </w:r>
      <w:r w:rsidR="009A1663">
        <w:t>3</w:t>
      </w:r>
      <w:r w:rsidR="009A1663" w:rsidRPr="009A1663">
        <w:rPr>
          <w:vertAlign w:val="superscript"/>
        </w:rPr>
        <w:t>rd</w:t>
      </w:r>
      <w:r w:rsidR="009A1663">
        <w:t xml:space="preserve"> edition, revised. </w:t>
      </w:r>
      <w:r>
        <w:t>Oxford: Griffith Institute Press, 1957.</w:t>
      </w:r>
    </w:p>
    <w:p w14:paraId="429585C7" w14:textId="5F4E2123" w:rsidR="00844975" w:rsidRPr="00735BA9" w:rsidRDefault="00844975" w:rsidP="003E2835">
      <w:pPr>
        <w:spacing w:before="120"/>
        <w:rPr>
          <w:b/>
          <w:bCs/>
        </w:rPr>
      </w:pPr>
      <w:r>
        <w:t>Grapow, Hermann. “Die Duale der Demonstrativpronomina [</w:t>
      </w:r>
      <w:r w:rsidRPr="00844975">
        <w:rPr>
          <w:rFonts w:ascii="Trlit_CG Times" w:hAnsi="Trlit_CG Times"/>
        </w:rPr>
        <w:t>pw</w:t>
      </w:r>
      <w:r>
        <w:t>], [</w:t>
      </w:r>
      <w:r w:rsidRPr="00844975">
        <w:rPr>
          <w:rFonts w:ascii="Trlit_CG Times" w:hAnsi="Trlit_CG Times"/>
        </w:rPr>
        <w:t>pn</w:t>
      </w:r>
      <w:r>
        <w:t>] und [</w:t>
      </w:r>
      <w:r w:rsidRPr="00844975">
        <w:rPr>
          <w:rFonts w:ascii="Trlit_CG Times" w:hAnsi="Trlit_CG Times"/>
        </w:rPr>
        <w:t>pf</w:t>
      </w:r>
      <w:r>
        <w:t>]</w:t>
      </w:r>
      <w:r w:rsidR="00372242">
        <w:t>.</w:t>
      </w:r>
      <w:r>
        <w:t xml:space="preserve">” </w:t>
      </w:r>
      <w:r w:rsidR="00735BA9" w:rsidRPr="00735BA9">
        <w:rPr>
          <w:i/>
          <w:iCs/>
        </w:rPr>
        <w:t>Zeitschrift für Ägyptische Sprache und Altertumskun</w:t>
      </w:r>
      <w:r w:rsidR="00735BA9" w:rsidRPr="007E4AEC">
        <w:rPr>
          <w:i/>
          <w:iCs/>
        </w:rPr>
        <w:t>de</w:t>
      </w:r>
      <w:r>
        <w:t xml:space="preserve"> 45 (1908), 57–60.</w:t>
      </w:r>
    </w:p>
    <w:p w14:paraId="128E7594" w14:textId="77DB35E2" w:rsidR="00B50CFB" w:rsidRDefault="00B50CFB" w:rsidP="003E2835">
      <w:pPr>
        <w:spacing w:before="120"/>
      </w:pPr>
      <w:r>
        <w:t xml:space="preserve">Grossman, Eitan </w:t>
      </w:r>
      <w:r w:rsidR="00B0057B">
        <w:t>and</w:t>
      </w:r>
      <w:r>
        <w:t xml:space="preserve"> Stèphane</w:t>
      </w:r>
      <w:r w:rsidR="00B0057B" w:rsidRPr="00B0057B">
        <w:t xml:space="preserve"> </w:t>
      </w:r>
      <w:r w:rsidR="00B0057B">
        <w:t>Polis</w:t>
      </w:r>
      <w:r>
        <w:t>. “</w:t>
      </w:r>
      <w:r w:rsidR="009F5411">
        <w:t>Swimming against the Typological Tide or Paddling along with Language Change? Dispreferred Structures and Diachronic Biases in Affix Ordering</w:t>
      </w:r>
      <w:r w:rsidR="002C7F6B">
        <w:t>.</w:t>
      </w:r>
      <w:r w:rsidR="009F5411">
        <w:t xml:space="preserve">” </w:t>
      </w:r>
      <w:r w:rsidR="009F5411" w:rsidRPr="009F5411">
        <w:rPr>
          <w:i/>
          <w:iCs/>
        </w:rPr>
        <w:t>Journal of Historical Linguistics</w:t>
      </w:r>
      <w:r w:rsidR="009F5411">
        <w:t xml:space="preserve"> 8, no. 3 (2018): 388–443.</w:t>
      </w:r>
    </w:p>
    <w:p w14:paraId="18E9DBAA" w14:textId="04105289" w:rsidR="008D0137" w:rsidRDefault="008D0137" w:rsidP="00056DD5">
      <w:pPr>
        <w:spacing w:before="120"/>
      </w:pPr>
      <w:r>
        <w:t xml:space="preserve">Hassan, Selim. </w:t>
      </w:r>
      <w:r w:rsidRPr="008D0137">
        <w:rPr>
          <w:i/>
          <w:iCs/>
        </w:rPr>
        <w:t>Excavations at Gîza 1930–1931</w:t>
      </w:r>
      <w:r>
        <w:t xml:space="preserve">. </w:t>
      </w:r>
      <w:r w:rsidR="00665F59">
        <w:t xml:space="preserve">Excavations at Giza [II]. </w:t>
      </w:r>
      <w:r>
        <w:t xml:space="preserve">Cairo: </w:t>
      </w:r>
      <w:r w:rsidR="00665F59">
        <w:t xml:space="preserve">The Faculty of Arts </w:t>
      </w:r>
      <w:r w:rsidR="00206A30">
        <w:t>o</w:t>
      </w:r>
      <w:r w:rsidR="00665F59">
        <w:t xml:space="preserve">f the Egyptian University; </w:t>
      </w:r>
      <w:r>
        <w:t>Government Press, 1936.</w:t>
      </w:r>
    </w:p>
    <w:p w14:paraId="08989F21" w14:textId="20B6FDF4" w:rsidR="00056DD5" w:rsidRDefault="00056DD5" w:rsidP="00056DD5">
      <w:pPr>
        <w:spacing w:before="120"/>
      </w:pPr>
      <w:r w:rsidRPr="007A2E96">
        <w:t>Kanawati, N</w:t>
      </w:r>
      <w:r>
        <w:t>aguib</w:t>
      </w:r>
      <w:r w:rsidRPr="007A2E96">
        <w:t xml:space="preserve"> and A</w:t>
      </w:r>
      <w:r>
        <w:t>li</w:t>
      </w:r>
      <w:r w:rsidRPr="007A2E96">
        <w:t xml:space="preserve"> Hassan.</w:t>
      </w:r>
      <w:r>
        <w:t xml:space="preserve"> </w:t>
      </w:r>
      <w:r w:rsidRPr="007A2E96">
        <w:rPr>
          <w:i/>
          <w:iCs/>
        </w:rPr>
        <w:t xml:space="preserve">The Teti </w:t>
      </w:r>
      <w:r>
        <w:rPr>
          <w:i/>
          <w:iCs/>
        </w:rPr>
        <w:t>C</w:t>
      </w:r>
      <w:r w:rsidRPr="007A2E96">
        <w:rPr>
          <w:i/>
          <w:iCs/>
        </w:rPr>
        <w:t>emetery at Saqqara</w:t>
      </w:r>
      <w:r>
        <w:rPr>
          <w:i/>
          <w:iCs/>
        </w:rPr>
        <w:t xml:space="preserve">, </w:t>
      </w:r>
      <w:r w:rsidRPr="007A2E96">
        <w:rPr>
          <w:i/>
          <w:iCs/>
        </w:rPr>
        <w:t>II</w:t>
      </w:r>
      <w:r>
        <w:rPr>
          <w:i/>
          <w:iCs/>
        </w:rPr>
        <w:t>: T</w:t>
      </w:r>
      <w:r w:rsidRPr="007A2E96">
        <w:rPr>
          <w:i/>
          <w:iCs/>
        </w:rPr>
        <w:t xml:space="preserve">he </w:t>
      </w:r>
      <w:r>
        <w:rPr>
          <w:i/>
          <w:iCs/>
        </w:rPr>
        <w:t>T</w:t>
      </w:r>
      <w:r w:rsidRPr="007A2E96">
        <w:rPr>
          <w:i/>
          <w:iCs/>
        </w:rPr>
        <w:t>omb of</w:t>
      </w:r>
      <w:r>
        <w:rPr>
          <w:i/>
          <w:iCs/>
        </w:rPr>
        <w:t xml:space="preserve"> </w:t>
      </w:r>
      <w:r w:rsidRPr="007A2E96">
        <w:rPr>
          <w:i/>
          <w:iCs/>
        </w:rPr>
        <w:t>Ankhmahor</w:t>
      </w:r>
      <w:r w:rsidRPr="007A2E96">
        <w:t>. Australian Centre for Egyptology</w:t>
      </w:r>
      <w:r>
        <w:t xml:space="preserve"> R</w:t>
      </w:r>
      <w:r w:rsidRPr="007A2E96">
        <w:t>eports 9. Warminster: Aris and Phillips</w:t>
      </w:r>
      <w:r>
        <w:t>, 1997.</w:t>
      </w:r>
    </w:p>
    <w:p w14:paraId="657B0F4A" w14:textId="3D06788D" w:rsidR="006B789A" w:rsidRPr="00E36BE5" w:rsidRDefault="006B789A" w:rsidP="006B789A">
      <w:pPr>
        <w:spacing w:before="120"/>
      </w:pPr>
      <w:r w:rsidRPr="00E36BE5">
        <w:t>Kanawati, N</w:t>
      </w:r>
      <w:r>
        <w:t>aguib</w:t>
      </w:r>
      <w:r w:rsidRPr="00E36BE5">
        <w:t xml:space="preserve"> and M</w:t>
      </w:r>
      <w:r>
        <w:t>ahmoud</w:t>
      </w:r>
      <w:r w:rsidRPr="00E36BE5">
        <w:t xml:space="preserve"> Abder-Raziq.</w:t>
      </w:r>
      <w:r>
        <w:t xml:space="preserve"> </w:t>
      </w:r>
      <w:r w:rsidRPr="00E36BE5">
        <w:rPr>
          <w:i/>
          <w:iCs/>
        </w:rPr>
        <w:t>Mereruka</w:t>
      </w:r>
      <w:r>
        <w:rPr>
          <w:i/>
          <w:iCs/>
        </w:rPr>
        <w:t xml:space="preserve"> </w:t>
      </w:r>
      <w:r w:rsidRPr="00E36BE5">
        <w:rPr>
          <w:i/>
          <w:iCs/>
        </w:rPr>
        <w:t xml:space="preserve">and </w:t>
      </w:r>
      <w:r>
        <w:rPr>
          <w:i/>
          <w:iCs/>
        </w:rPr>
        <w:t>H</w:t>
      </w:r>
      <w:r w:rsidRPr="00E36BE5">
        <w:rPr>
          <w:i/>
          <w:iCs/>
        </w:rPr>
        <w:t xml:space="preserve">is </w:t>
      </w:r>
      <w:r>
        <w:rPr>
          <w:i/>
          <w:iCs/>
        </w:rPr>
        <w:t>F</w:t>
      </w:r>
      <w:r w:rsidRPr="00E36BE5">
        <w:rPr>
          <w:i/>
          <w:iCs/>
        </w:rPr>
        <w:t xml:space="preserve">amily. Part I: </w:t>
      </w:r>
      <w:r>
        <w:rPr>
          <w:i/>
          <w:iCs/>
        </w:rPr>
        <w:t>T</w:t>
      </w:r>
      <w:r w:rsidRPr="00E36BE5">
        <w:rPr>
          <w:i/>
          <w:iCs/>
        </w:rPr>
        <w:t xml:space="preserve">he </w:t>
      </w:r>
      <w:r>
        <w:rPr>
          <w:i/>
          <w:iCs/>
        </w:rPr>
        <w:t>T</w:t>
      </w:r>
      <w:r w:rsidRPr="00E36BE5">
        <w:rPr>
          <w:i/>
          <w:iCs/>
        </w:rPr>
        <w:t>omb of Meryteti</w:t>
      </w:r>
      <w:r w:rsidRPr="00E36BE5">
        <w:t xml:space="preserve">. Australian Centre for Egyptology </w:t>
      </w:r>
      <w:r>
        <w:t>R</w:t>
      </w:r>
      <w:r w:rsidRPr="00E36BE5">
        <w:t>eports 21. Oxford: Aris and Phillips</w:t>
      </w:r>
      <w:r>
        <w:t>, 2004.</w:t>
      </w:r>
    </w:p>
    <w:p w14:paraId="6F063618" w14:textId="2B94FAFB" w:rsidR="009C615E" w:rsidRDefault="009C615E" w:rsidP="003E2835">
      <w:pPr>
        <w:spacing w:before="120"/>
      </w:pPr>
      <w:r>
        <w:lastRenderedPageBreak/>
        <w:t xml:space="preserve">Lefebvre, Gustave. </w:t>
      </w:r>
      <w:r w:rsidRPr="009C615E">
        <w:rPr>
          <w:i/>
          <w:iCs/>
        </w:rPr>
        <w:t>Grammaire de l’Égyptien classique</w:t>
      </w:r>
      <w:r>
        <w:t>. 2</w:t>
      </w:r>
      <w:r w:rsidRPr="009C615E">
        <w:rPr>
          <w:vertAlign w:val="superscript"/>
        </w:rPr>
        <w:t>nd</w:t>
      </w:r>
      <w:r>
        <w:t xml:space="preserve"> edition. Bibliothèque d’Étude 12. Cairo: IFAO, 1955.</w:t>
      </w:r>
    </w:p>
    <w:p w14:paraId="0D6D2775" w14:textId="446C274A" w:rsidR="00B36FD2" w:rsidRDefault="00B36FD2" w:rsidP="003E2835">
      <w:pPr>
        <w:spacing w:before="120"/>
      </w:pPr>
      <w:r>
        <w:t>Malaise, Michel and Jean Winand</w:t>
      </w:r>
      <w:r w:rsidR="005B39C0">
        <w:t>.</w:t>
      </w:r>
      <w:r>
        <w:t xml:space="preserve"> </w:t>
      </w:r>
      <w:r w:rsidRPr="00B36FD2">
        <w:rPr>
          <w:i/>
          <w:iCs/>
        </w:rPr>
        <w:t>Grammaire raisonnée de l’égyptien classique</w:t>
      </w:r>
      <w:r>
        <w:t>. Aegyptiaca Leodiensia 6. Liège: CIPL, 1999.</w:t>
      </w:r>
    </w:p>
    <w:p w14:paraId="7095F111" w14:textId="77777777" w:rsidR="00056DD5" w:rsidRPr="009E3BB7" w:rsidRDefault="00056DD5" w:rsidP="00056DD5">
      <w:pPr>
        <w:spacing w:before="120"/>
      </w:pPr>
      <w:r w:rsidRPr="009E3BB7">
        <w:t>Moussa, Ahmed M. and Hartwig Altenmüller</w:t>
      </w:r>
      <w:r>
        <w:t xml:space="preserve">. </w:t>
      </w:r>
      <w:r w:rsidRPr="009E3BB7">
        <w:rPr>
          <w:i/>
          <w:iCs/>
        </w:rPr>
        <w:t xml:space="preserve">Das Grab des Nianchchnum und Chnumhotep: Old Kingdom tombs at the </w:t>
      </w:r>
      <w:r>
        <w:rPr>
          <w:i/>
          <w:iCs/>
        </w:rPr>
        <w:t>C</w:t>
      </w:r>
      <w:r w:rsidRPr="009E3BB7">
        <w:rPr>
          <w:i/>
          <w:iCs/>
        </w:rPr>
        <w:t xml:space="preserve">auseway of </w:t>
      </w:r>
      <w:r>
        <w:rPr>
          <w:i/>
          <w:iCs/>
        </w:rPr>
        <w:t>K</w:t>
      </w:r>
      <w:r w:rsidRPr="009E3BB7">
        <w:rPr>
          <w:i/>
          <w:iCs/>
        </w:rPr>
        <w:t>ing Unas at Saqqara</w:t>
      </w:r>
      <w:r w:rsidRPr="009E3BB7">
        <w:t>. Archäologische Veröffentlichungen, Deutsches Archäologisches Institut, Abteilung Kairo 21. Mainz: Zabern</w:t>
      </w:r>
      <w:r>
        <w:t>, 1977.</w:t>
      </w:r>
    </w:p>
    <w:p w14:paraId="44E4F672" w14:textId="77777777" w:rsidR="006B789A" w:rsidRDefault="006B789A" w:rsidP="006B789A">
      <w:pPr>
        <w:spacing w:before="120"/>
      </w:pPr>
      <w:r w:rsidRPr="008A10E1">
        <w:t>Sakkarah Expedition, The.</w:t>
      </w:r>
      <w:r>
        <w:t xml:space="preserve"> </w:t>
      </w:r>
      <w:r w:rsidRPr="008A10E1">
        <w:rPr>
          <w:i/>
          <w:iCs/>
        </w:rPr>
        <w:t xml:space="preserve">The </w:t>
      </w:r>
      <w:r>
        <w:rPr>
          <w:i/>
          <w:iCs/>
        </w:rPr>
        <w:t>M</w:t>
      </w:r>
      <w:r w:rsidRPr="008A10E1">
        <w:rPr>
          <w:i/>
          <w:iCs/>
        </w:rPr>
        <w:t>astaba of Mereruka</w:t>
      </w:r>
      <w:r>
        <w:rPr>
          <w:i/>
          <w:iCs/>
        </w:rPr>
        <w:t xml:space="preserve">, </w:t>
      </w:r>
      <w:r w:rsidRPr="001064FB">
        <w:t>2 parts</w:t>
      </w:r>
      <w:r>
        <w:rPr>
          <w:i/>
          <w:iCs/>
        </w:rPr>
        <w:t xml:space="preserve">. </w:t>
      </w:r>
      <w:r w:rsidRPr="008A10E1">
        <w:t>Oriental Institute Publications 31</w:t>
      </w:r>
      <w:r>
        <w:t xml:space="preserve"> &amp;</w:t>
      </w:r>
      <w:r w:rsidRPr="008A10E1">
        <w:t xml:space="preserve"> 39. Chicago: University of Chicago Press</w:t>
      </w:r>
      <w:r>
        <w:t>, 1938</w:t>
      </w:r>
      <w:r w:rsidRPr="008A10E1">
        <w:t>.</w:t>
      </w:r>
    </w:p>
    <w:p w14:paraId="79475BB8" w14:textId="13A81B4E" w:rsidR="002C7F6B" w:rsidRDefault="002C7F6B" w:rsidP="003E2835">
      <w:pPr>
        <w:spacing w:before="120"/>
      </w:pPr>
      <w:r>
        <w:t>Silverman, David</w:t>
      </w:r>
      <w:r w:rsidR="005B39C0">
        <w:t>.</w:t>
      </w:r>
      <w:r>
        <w:t xml:space="preserve"> “Plural Demonstrative Constructions in Ancient Egyptian.” </w:t>
      </w:r>
      <w:r w:rsidRPr="002C7F6B">
        <w:rPr>
          <w:i/>
          <w:iCs/>
        </w:rPr>
        <w:t>Revue d’Égyptologie</w:t>
      </w:r>
      <w:r>
        <w:t xml:space="preserve"> 33 (1981): 59–65.</w:t>
      </w:r>
    </w:p>
    <w:p w14:paraId="05182CA6" w14:textId="785D0F51" w:rsidR="0047215D" w:rsidRDefault="0047215D" w:rsidP="0047215D">
      <w:pPr>
        <w:spacing w:before="120"/>
      </w:pPr>
      <w:r>
        <w:t>Traugott, Elizabeth Closs and Graeme Trousdale</w:t>
      </w:r>
      <w:r w:rsidR="005B39C0">
        <w:t>.</w:t>
      </w:r>
      <w:r>
        <w:t xml:space="preserve"> </w:t>
      </w:r>
      <w:r w:rsidRPr="00B0057B">
        <w:rPr>
          <w:i/>
          <w:iCs/>
        </w:rPr>
        <w:t>Constructionalization and Constructional Changes</w:t>
      </w:r>
      <w:r>
        <w:t>. Oxford Studies in Diachronic &amp; Historical Linguistics 6. Oxford: Oxford University Press, 2013.</w:t>
      </w:r>
    </w:p>
    <w:sectPr w:rsidR="0047215D" w:rsidSect="001531D8">
      <w:footerReference w:type="even" r:id="rId7"/>
      <w:foot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EF573" w14:textId="77777777" w:rsidR="00F6478E" w:rsidRDefault="00F6478E" w:rsidP="0070008C">
      <w:pPr>
        <w:spacing w:line="240" w:lineRule="auto"/>
      </w:pPr>
      <w:r>
        <w:separator/>
      </w:r>
    </w:p>
  </w:endnote>
  <w:endnote w:type="continuationSeparator" w:id="0">
    <w:p w14:paraId="03297D05" w14:textId="77777777" w:rsidR="00F6478E" w:rsidRDefault="00F6478E" w:rsidP="007000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C0480FDE-6BD4-414B-8F9F-9EB708956E6B}"/>
  </w:font>
  <w:font w:name="Times New Roman">
    <w:panose1 w:val="02020603050405020304"/>
    <w:charset w:val="00"/>
    <w:family w:val="roman"/>
    <w:pitch w:val="variable"/>
    <w:sig w:usb0="E0002EFF" w:usb1="C000785B" w:usb2="00000009" w:usb3="00000000" w:csb0="000001FF" w:csb1="00000000"/>
    <w:embedRegular r:id="rId2" w:fontKey="{31610F46-3C00-524F-B1A7-0E118AC82D3D}"/>
    <w:embedBold r:id="rId3" w:fontKey="{70CFD5C6-C5FB-4F45-90F8-CE2AEEE451EC}"/>
    <w:embedItalic r:id="rId4" w:fontKey="{4175B440-DC6C-C94A-9480-3730087DC876}"/>
  </w:font>
  <w:font w:name="Courier New">
    <w:panose1 w:val="02070309020205020404"/>
    <w:charset w:val="00"/>
    <w:family w:val="modern"/>
    <w:pitch w:val="fixed"/>
    <w:sig w:usb0="E0002AFF" w:usb1="C0007843" w:usb2="00000009" w:usb3="00000000" w:csb0="000001FF" w:csb1="00000000"/>
    <w:embedRegular r:id="rId5" w:fontKey="{07A542CA-CFC2-C34C-B0E9-5A96AE380870}"/>
  </w:font>
  <w:font w:name="Wingdings">
    <w:panose1 w:val="05000000000000000000"/>
    <w:charset w:val="4D"/>
    <w:family w:val="decorative"/>
    <w:pitch w:val="variable"/>
    <w:sig w:usb0="00000003" w:usb1="00000000" w:usb2="00000000" w:usb3="00000000" w:csb0="80000001" w:csb1="00000000"/>
    <w:embedRegular r:id="rId6" w:fontKey="{9DA4782C-2496-A34D-9393-4D7D1AC9DE63}"/>
  </w:font>
  <w:font w:name="Calibri">
    <w:panose1 w:val="020F0502020204030204"/>
    <w:charset w:val="00"/>
    <w:family w:val="swiss"/>
    <w:pitch w:val="variable"/>
    <w:sig w:usb0="E0002AFF" w:usb1="C000247B" w:usb2="00000009" w:usb3="00000000" w:csb0="000001FF" w:csb1="00000000"/>
    <w:embedRegular r:id="rId7" w:fontKey="{2F1DBFB0-FB2E-5D48-8488-A4C2AEECFC2C}"/>
    <w:embedItalic r:id="rId8" w:fontKey="{141A76AC-5D71-B243-B65F-ADFEC8F5FCE5}"/>
  </w:font>
  <w:font w:name="Brill">
    <w:altName w:val="Brill"/>
    <w:panose1 w:val="020F0602050406030203"/>
    <w:charset w:val="00"/>
    <w:family w:val="swiss"/>
    <w:pitch w:val="variable"/>
    <w:sig w:usb0="E00002FF" w:usb1="4000E4FB" w:usb2="02000000" w:usb3="00000000" w:csb0="0000019F" w:csb1="00000000"/>
    <w:embedRegular r:id="rId9" w:fontKey="{71014598-6A74-BF40-9581-336C49974ABA}"/>
    <w:embedBold r:id="rId10" w:fontKey="{8EF16D0F-1BC2-C24E-9B76-738694E4C529}"/>
    <w:embedItalic r:id="rId11" w:fontKey="{D033A67E-7B9E-A247-93DF-E5D78D4F32A6}"/>
  </w:font>
  <w:font w:name="Calibri Light">
    <w:panose1 w:val="020F0302020204030204"/>
    <w:charset w:val="00"/>
    <w:family w:val="swiss"/>
    <w:pitch w:val="variable"/>
    <w:sig w:usb0="E0002AFF" w:usb1="C000247B" w:usb2="00000009" w:usb3="00000000" w:csb0="000001FF" w:csb1="00000000"/>
    <w:embedRegular r:id="rId12" w:fontKey="{33B5AAF8-9EE2-884F-8B3A-892AFB5230C1}"/>
  </w:font>
  <w:font w:name="Trlit_CG Times">
    <w:altName w:val="﷽﷽﷽﷽﷽﷽﷽﷽ Times"/>
    <w:panose1 w:val="00000400000000000000"/>
    <w:charset w:val="00"/>
    <w:family w:val="auto"/>
    <w:pitch w:val="variable"/>
    <w:sig w:usb0="00000003" w:usb1="00000000" w:usb2="00000000" w:usb3="00000000" w:csb0="00000001" w:csb1="00000000"/>
    <w:embedRegular r:id="rId13" w:fontKey="{A7F25E86-4036-6343-BDDA-AAC57F732911}"/>
    <w:embedBold r:id="rId14" w:fontKey="{91297F87-5E11-BB45-A540-7CB91CEC39CA}"/>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9785620"/>
      <w:docPartObj>
        <w:docPartGallery w:val="Page Numbers (Bottom of Page)"/>
        <w:docPartUnique/>
      </w:docPartObj>
    </w:sdtPr>
    <w:sdtEndPr>
      <w:rPr>
        <w:rStyle w:val="PageNumber"/>
      </w:rPr>
    </w:sdtEndPr>
    <w:sdtContent>
      <w:p w14:paraId="2AD67201" w14:textId="5BED45E0" w:rsidR="0070008C" w:rsidRDefault="0070008C" w:rsidP="00411DF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425C29" w14:textId="77777777" w:rsidR="0070008C" w:rsidRDefault="00700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7852490"/>
      <w:docPartObj>
        <w:docPartGallery w:val="Page Numbers (Bottom of Page)"/>
        <w:docPartUnique/>
      </w:docPartObj>
    </w:sdtPr>
    <w:sdtEndPr>
      <w:rPr>
        <w:rStyle w:val="PageNumber"/>
      </w:rPr>
    </w:sdtEndPr>
    <w:sdtContent>
      <w:p w14:paraId="00A9271C" w14:textId="2060CC76" w:rsidR="0070008C" w:rsidRDefault="0070008C" w:rsidP="00411DF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9DA3FD" w14:textId="77777777" w:rsidR="0070008C" w:rsidRDefault="00700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D43EB" w14:textId="77777777" w:rsidR="00F6478E" w:rsidRDefault="00F6478E" w:rsidP="0070008C">
      <w:pPr>
        <w:spacing w:line="240" w:lineRule="auto"/>
      </w:pPr>
      <w:r>
        <w:separator/>
      </w:r>
    </w:p>
  </w:footnote>
  <w:footnote w:type="continuationSeparator" w:id="0">
    <w:p w14:paraId="4C4A1AFD" w14:textId="77777777" w:rsidR="00F6478E" w:rsidRDefault="00F6478E" w:rsidP="0070008C">
      <w:pPr>
        <w:spacing w:line="240" w:lineRule="auto"/>
      </w:pPr>
      <w:r>
        <w:continuationSeparator/>
      </w:r>
    </w:p>
  </w:footnote>
  <w:footnote w:id="1">
    <w:p w14:paraId="3E461152" w14:textId="63537220" w:rsidR="006E65DC" w:rsidRDefault="006E65DC">
      <w:pPr>
        <w:pStyle w:val="FootnoteText"/>
      </w:pPr>
      <w:r>
        <w:rPr>
          <w:rStyle w:val="FootnoteReference"/>
        </w:rPr>
        <w:footnoteRef/>
      </w:r>
      <w:r>
        <w:t xml:space="preserve"> See, for example, Allen, </w:t>
      </w:r>
      <w:r w:rsidRPr="006E65DC">
        <w:rPr>
          <w:i/>
          <w:iCs/>
        </w:rPr>
        <w:t>Ancient Egyptian Language</w:t>
      </w:r>
      <w:r>
        <w:t>, 60–65.</w:t>
      </w:r>
    </w:p>
  </w:footnote>
  <w:footnote w:id="2">
    <w:p w14:paraId="4709FC6C" w14:textId="4FE33255" w:rsidR="00235D7E" w:rsidRDefault="00235D7E" w:rsidP="00235D7E">
      <w:pPr>
        <w:pStyle w:val="FootnoteText"/>
      </w:pPr>
      <w:r>
        <w:rPr>
          <w:rStyle w:val="FootnoteReference"/>
        </w:rPr>
        <w:footnoteRef/>
      </w:r>
      <w:r>
        <w:t xml:space="preserve"> For a </w:t>
      </w:r>
      <w:r w:rsidR="00EC401F">
        <w:t xml:space="preserve">general </w:t>
      </w:r>
      <w:r>
        <w:t>discussion of the shift from suffixal to prefixal mark</w:t>
      </w:r>
      <w:r w:rsidR="009D27BC">
        <w:t>ing</w:t>
      </w:r>
      <w:r>
        <w:t xml:space="preserve"> in Ancient Egyptian, see Grossman </w:t>
      </w:r>
      <w:r w:rsidR="00F861F1">
        <w:t>and</w:t>
      </w:r>
      <w:r>
        <w:t xml:space="preserve"> Polis, “Swimming against the Tide”, particularly 404–429 (section 4). Note their focus on </w:t>
      </w:r>
      <w:r w:rsidR="00EC401F">
        <w:t xml:space="preserve">the history of </w:t>
      </w:r>
      <w:r>
        <w:t>specific constructions and the slow and incremental nature of change.</w:t>
      </w:r>
    </w:p>
  </w:footnote>
  <w:footnote w:id="3">
    <w:p w14:paraId="771667B7" w14:textId="57EEA488" w:rsidR="003570F4" w:rsidRDefault="003570F4">
      <w:pPr>
        <w:pStyle w:val="FootnoteText"/>
      </w:pPr>
      <w:r>
        <w:rPr>
          <w:rStyle w:val="FootnoteReference"/>
        </w:rPr>
        <w:footnoteRef/>
      </w:r>
      <w:r>
        <w:t xml:space="preserve"> </w:t>
      </w:r>
      <w:r w:rsidR="00465FEC">
        <w:t xml:space="preserve">I deal here only with the dominant </w:t>
      </w:r>
      <w:r w:rsidR="008D4840">
        <w:t>vari</w:t>
      </w:r>
      <w:r w:rsidR="003254BB">
        <w:t>ety</w:t>
      </w:r>
      <w:r w:rsidR="00465FEC">
        <w:t xml:space="preserve"> and not the </w:t>
      </w:r>
      <w:r w:rsidR="00D628A4">
        <w:t>varieties of less preferred usages. See</w:t>
      </w:r>
      <w:r>
        <w:t xml:space="preserve"> Edel</w:t>
      </w:r>
      <w:r w:rsidR="00391860">
        <w:t xml:space="preserve">, </w:t>
      </w:r>
      <w:r w:rsidR="00391860" w:rsidRPr="00E0648D">
        <w:rPr>
          <w:i/>
          <w:iCs/>
        </w:rPr>
        <w:t>Altägyptische Grammatik</w:t>
      </w:r>
      <w:r w:rsidR="00391860">
        <w:t xml:space="preserve">, </w:t>
      </w:r>
      <w:r w:rsidR="006E65DC">
        <w:t>83–89 (</w:t>
      </w:r>
      <w:r w:rsidR="00391860">
        <w:t>§§ 181–201</w:t>
      </w:r>
      <w:r w:rsidR="006E65DC">
        <w:t>)</w:t>
      </w:r>
      <w:r w:rsidR="00D628A4">
        <w:t xml:space="preserve"> for fuller details</w:t>
      </w:r>
      <w:r w:rsidR="00391860">
        <w:t xml:space="preserve">, </w:t>
      </w:r>
      <w:r>
        <w:t xml:space="preserve">and Allen, </w:t>
      </w:r>
      <w:r w:rsidRPr="003570F4">
        <w:rPr>
          <w:i/>
          <w:iCs/>
        </w:rPr>
        <w:t>Ancient Egyptian Language</w:t>
      </w:r>
      <w:r>
        <w:t>, 64–65</w:t>
      </w:r>
      <w:r w:rsidR="00D628A4">
        <w:t xml:space="preserve"> for a concise overview</w:t>
      </w:r>
      <w:r>
        <w:t>.</w:t>
      </w:r>
      <w:r w:rsidR="00E0648D">
        <w:t xml:space="preserve"> </w:t>
      </w:r>
    </w:p>
  </w:footnote>
  <w:footnote w:id="4">
    <w:p w14:paraId="599DB7B9" w14:textId="62614110" w:rsidR="008D2E0E" w:rsidRDefault="008D2E0E">
      <w:pPr>
        <w:pStyle w:val="FootnoteText"/>
      </w:pPr>
      <w:r>
        <w:rPr>
          <w:rStyle w:val="FootnoteReference"/>
        </w:rPr>
        <w:footnoteRef/>
      </w:r>
      <w:r>
        <w:t xml:space="preserve"> </w:t>
      </w:r>
      <w:r w:rsidR="00FD5A65">
        <w:t xml:space="preserve">To be joined by the rise from the late Old Kingdom onwards of the new </w:t>
      </w:r>
      <w:r w:rsidR="00FD5A65" w:rsidRPr="00FD5A65">
        <w:rPr>
          <w:rFonts w:ascii="Trlit_CG Times" w:hAnsi="Trlit_CG Times"/>
        </w:rPr>
        <w:t>pA</w:t>
      </w:r>
      <w:r w:rsidR="00FD5A65">
        <w:t>-series of demonstratives</w:t>
      </w:r>
      <w:r w:rsidR="009C3D0F">
        <w:t xml:space="preserve">; see Edel, </w:t>
      </w:r>
      <w:r w:rsidR="009C3D0F" w:rsidRPr="00A47973">
        <w:rPr>
          <w:i/>
          <w:iCs/>
        </w:rPr>
        <w:t>Altägyptische Grammatik</w:t>
      </w:r>
      <w:r w:rsidR="009C3D0F">
        <w:t>, 87–88 (§§194–195)</w:t>
      </w:r>
      <w:r w:rsidR="00472126">
        <w:t xml:space="preserve"> </w:t>
      </w:r>
      <w:r w:rsidR="009C3D0F">
        <w:t>and 89 (§201)</w:t>
      </w:r>
      <w:r w:rsidR="00FD5A65">
        <w:t xml:space="preserve">. Notice that this </w:t>
      </w:r>
      <w:r w:rsidR="00B27696">
        <w:t xml:space="preserve">new </w:t>
      </w:r>
      <w:r w:rsidR="00FD5A65">
        <w:t xml:space="preserve">series (which lacks the old prefixal plural forms with </w:t>
      </w:r>
      <w:r w:rsidR="00FD5A65" w:rsidRPr="00FD5A65">
        <w:rPr>
          <w:rFonts w:ascii="Trlit_CG Times" w:hAnsi="Trlit_CG Times"/>
        </w:rPr>
        <w:t>ip</w:t>
      </w:r>
      <w:r w:rsidR="00FD5A65">
        <w:t>-) is formed by the prefixal marker added to an -</w:t>
      </w:r>
      <w:r w:rsidR="00FD5A65" w:rsidRPr="00FD5A65">
        <w:rPr>
          <w:rFonts w:ascii="Trlit_CG Times" w:hAnsi="Trlit_CG Times"/>
        </w:rPr>
        <w:t>A</w:t>
      </w:r>
      <w:r w:rsidR="00FD5A65">
        <w:t xml:space="preserve"> base, </w:t>
      </w:r>
      <w:r w:rsidR="00D4739F">
        <w:t xml:space="preserve">a base </w:t>
      </w:r>
      <w:r w:rsidR="00FD5A65">
        <w:t xml:space="preserve">which lacks any obvious lexical precursor. </w:t>
      </w:r>
      <w:r>
        <w:t xml:space="preserve">As Diessel, </w:t>
      </w:r>
      <w:r w:rsidRPr="008D2E0E">
        <w:rPr>
          <w:i/>
          <w:iCs/>
        </w:rPr>
        <w:t>Demonstratives</w:t>
      </w:r>
      <w:r>
        <w:t>, 150 notes, aside from lexical reinforcement of a demonstrative “there is no convincing evidence from any language that demonstratives may have evolved from a lexical source”. As such demonstratives stand aside from the majority of grammaticalization cases.</w:t>
      </w:r>
      <w:r w:rsidR="009C3D0F">
        <w:t xml:space="preserve"> The singular demonstratives </w:t>
      </w:r>
      <w:r w:rsidR="009C3D0F" w:rsidRPr="009C3D0F">
        <w:rPr>
          <w:rFonts w:ascii="Trlit_CG Times" w:hAnsi="Trlit_CG Times"/>
        </w:rPr>
        <w:t>pA</w:t>
      </w:r>
      <w:r w:rsidR="009C3D0F">
        <w:t xml:space="preserve"> and </w:t>
      </w:r>
      <w:r w:rsidR="009C3D0F" w:rsidRPr="009C3D0F">
        <w:rPr>
          <w:rFonts w:ascii="Trlit_CG Times" w:hAnsi="Trlit_CG Times"/>
        </w:rPr>
        <w:t>tA</w:t>
      </w:r>
      <w:r w:rsidR="009C3D0F">
        <w:t xml:space="preserve"> are positioned before their noun as demonstrative modifiers in a direct agreement relationship with no additional linker item, perhaps drawing on numeral- (principally 3–</w:t>
      </w:r>
      <w:r w:rsidR="00BC6E1E">
        <w:t>9</w:t>
      </w:r>
      <w:r w:rsidR="009C3D0F">
        <w:t xml:space="preserve">) and </w:t>
      </w:r>
      <w:r w:rsidR="009C3D0F" w:rsidRPr="009C3D0F">
        <w:rPr>
          <w:rFonts w:ascii="Trlit_CG Times" w:hAnsi="Trlit_CG Times"/>
        </w:rPr>
        <w:t>ky</w:t>
      </w:r>
      <w:r w:rsidR="009C3D0F">
        <w:t xml:space="preserve">-constructions in Old Egyptian. As with the other demonstratives, the demonstrative pronoun </w:t>
      </w:r>
      <w:r w:rsidR="009C3D0F" w:rsidRPr="009C3D0F">
        <w:rPr>
          <w:rFonts w:ascii="Trlit_CG Times" w:hAnsi="Trlit_CG Times"/>
        </w:rPr>
        <w:t>nA</w:t>
      </w:r>
      <w:r w:rsidR="009C3D0F">
        <w:t xml:space="preserve"> eventually provides the common-plural </w:t>
      </w:r>
      <w:r w:rsidR="00BC0673">
        <w:t xml:space="preserve">demonstrative modifier </w:t>
      </w:r>
      <w:r w:rsidR="009C3D0F">
        <w:t xml:space="preserve">through the </w:t>
      </w:r>
      <w:r w:rsidR="009C3D0F" w:rsidRPr="009C3D0F">
        <w:rPr>
          <w:rFonts w:ascii="Trlit_CG Times" w:hAnsi="Trlit_CG Times"/>
        </w:rPr>
        <w:t>n</w:t>
      </w:r>
      <w:r w:rsidR="009C3D0F">
        <w:t xml:space="preserve">-demonstrative </w:t>
      </w:r>
      <w:r w:rsidR="009C3D0F" w:rsidRPr="009C3D0F">
        <w:rPr>
          <w:rFonts w:ascii="Trlit_CG Times" w:hAnsi="Trlit_CG Times"/>
        </w:rPr>
        <w:t>n(y)</w:t>
      </w:r>
      <w:r w:rsidR="009C3D0F">
        <w:t xml:space="preserve"> construction discussed in this paper, </w:t>
      </w:r>
      <w:r w:rsidR="00BC0673">
        <w:t>and</w:t>
      </w:r>
      <w:r w:rsidR="009C3D0F">
        <w:t xml:space="preserve">, by later Middle Egyptian (e.g. the Illahun documents) </w:t>
      </w:r>
      <w:r w:rsidR="00BC0673">
        <w:t xml:space="preserve">has become </w:t>
      </w:r>
      <w:r w:rsidR="009C3D0F">
        <w:t xml:space="preserve">the dominant common-plural demonstrative; cf. Brose, </w:t>
      </w:r>
      <w:r w:rsidR="009C3D0F" w:rsidRPr="007A4C83">
        <w:rPr>
          <w:i/>
          <w:iCs/>
        </w:rPr>
        <w:t>Grammatik der dokumentarischen Texte</w:t>
      </w:r>
      <w:r w:rsidR="009C3D0F">
        <w:t>, 66–77, with specific reference to his Gruppe 2 sources.</w:t>
      </w:r>
    </w:p>
  </w:footnote>
  <w:footnote w:id="5">
    <w:p w14:paraId="2049432B" w14:textId="2B8D9251" w:rsidR="000C2C2C" w:rsidRDefault="000C2C2C">
      <w:pPr>
        <w:pStyle w:val="FootnoteText"/>
      </w:pPr>
      <w:r>
        <w:rPr>
          <w:rStyle w:val="FootnoteReference"/>
        </w:rPr>
        <w:footnoteRef/>
      </w:r>
      <w:r>
        <w:t xml:space="preserve"> On the number-gender prefix in the demonstrative modifier, see Edel, </w:t>
      </w:r>
      <w:r w:rsidRPr="000C2C2C">
        <w:rPr>
          <w:i/>
          <w:iCs/>
        </w:rPr>
        <w:t>Altägyptische Grammatik</w:t>
      </w:r>
      <w:r>
        <w:t xml:space="preserve">, </w:t>
      </w:r>
      <w:r w:rsidR="00D4739F">
        <w:t>84 (</w:t>
      </w:r>
      <w:r>
        <w:t>§184</w:t>
      </w:r>
      <w:r w:rsidR="00D4739F">
        <w:t>)</w:t>
      </w:r>
      <w:r>
        <w:t xml:space="preserve"> with comments.</w:t>
      </w:r>
    </w:p>
  </w:footnote>
  <w:footnote w:id="6">
    <w:p w14:paraId="6CA1D5C1" w14:textId="349580B0" w:rsidR="00DD4DBF" w:rsidRDefault="00DD4DBF">
      <w:pPr>
        <w:pStyle w:val="FootnoteText"/>
      </w:pPr>
      <w:r>
        <w:rPr>
          <w:rStyle w:val="FootnoteReference"/>
        </w:rPr>
        <w:footnoteRef/>
      </w:r>
      <w:r>
        <w:t xml:space="preserve"> Edel, </w:t>
      </w:r>
      <w:r w:rsidRPr="00DD4DBF">
        <w:rPr>
          <w:i/>
          <w:iCs/>
        </w:rPr>
        <w:t>Altägytpische Grammatik</w:t>
      </w:r>
      <w:r>
        <w:t>, 115–123 (§§269–286), with discussion of orthography.</w:t>
      </w:r>
    </w:p>
  </w:footnote>
  <w:footnote w:id="7">
    <w:p w14:paraId="2CEFBEC5" w14:textId="393A9888" w:rsidR="003570F4" w:rsidRDefault="003570F4">
      <w:pPr>
        <w:pStyle w:val="FootnoteText"/>
      </w:pPr>
      <w:r>
        <w:rPr>
          <w:rStyle w:val="FootnoteReference"/>
        </w:rPr>
        <w:footnoteRef/>
      </w:r>
      <w:r>
        <w:t xml:space="preserve"> See Allen, </w:t>
      </w:r>
      <w:r w:rsidRPr="003570F4">
        <w:rPr>
          <w:i/>
          <w:iCs/>
        </w:rPr>
        <w:t>Ancient Egyptian Language</w:t>
      </w:r>
      <w:r>
        <w:t>, 65 with n. 17.</w:t>
      </w:r>
    </w:p>
  </w:footnote>
  <w:footnote w:id="8">
    <w:p w14:paraId="4995BE45" w14:textId="1A5286EB" w:rsidR="00941C7B" w:rsidRDefault="00941C7B">
      <w:pPr>
        <w:pStyle w:val="FootnoteText"/>
      </w:pPr>
      <w:r>
        <w:rPr>
          <w:rStyle w:val="FootnoteReference"/>
        </w:rPr>
        <w:footnoteRef/>
      </w:r>
      <w:r>
        <w:t xml:space="preserve"> See Grapow, “Die Duale der Demonstrativpronomina”, 57–60</w:t>
      </w:r>
      <w:r w:rsidR="00DD48D0">
        <w:t xml:space="preserve"> and Edel, </w:t>
      </w:r>
      <w:r w:rsidR="00DD48D0" w:rsidRPr="00DD48D0">
        <w:rPr>
          <w:i/>
          <w:iCs/>
        </w:rPr>
        <w:t>Altägyptische Grammatik</w:t>
      </w:r>
      <w:r w:rsidR="00DD48D0">
        <w:t>, 84 (§184)</w:t>
      </w:r>
      <w:r>
        <w:t>.</w:t>
      </w:r>
    </w:p>
  </w:footnote>
  <w:footnote w:id="9">
    <w:p w14:paraId="0F4362F5" w14:textId="15E0185F" w:rsidR="00FC18BB" w:rsidRDefault="00FC18BB">
      <w:pPr>
        <w:pStyle w:val="FootnoteText"/>
      </w:pPr>
      <w:r>
        <w:rPr>
          <w:rStyle w:val="FootnoteReference"/>
        </w:rPr>
        <w:footnoteRef/>
      </w:r>
      <w:r>
        <w:t xml:space="preserve"> Edel, </w:t>
      </w:r>
      <w:r w:rsidRPr="00FC18BB">
        <w:rPr>
          <w:i/>
          <w:iCs/>
        </w:rPr>
        <w:t>Altägyptische Grammatik</w:t>
      </w:r>
      <w:r>
        <w:t>, 88 (§196).</w:t>
      </w:r>
      <w:r w:rsidR="00202006">
        <w:t xml:space="preserve"> This raises an issue for glossing. I have elected to simplify matters by not adding number-gender glossing to the invariant demonstrative pronouns. However, the reader may prefer to add in </w:t>
      </w:r>
      <w:r w:rsidR="00202006" w:rsidRPr="00202006">
        <w:rPr>
          <w:smallCaps/>
        </w:rPr>
        <w:t>msg</w:t>
      </w:r>
      <w:r w:rsidR="00202006">
        <w:t xml:space="preserve"> or something like </w:t>
      </w:r>
      <w:r w:rsidR="00202006" w:rsidRPr="00202006">
        <w:rPr>
          <w:smallCaps/>
        </w:rPr>
        <w:t>inv</w:t>
      </w:r>
      <w:r w:rsidR="00202006">
        <w:t xml:space="preserve"> (“invariant”) or </w:t>
      </w:r>
      <w:r w:rsidR="00202006" w:rsidRPr="00202006">
        <w:rPr>
          <w:smallCaps/>
        </w:rPr>
        <w:t>com</w:t>
      </w:r>
      <w:r w:rsidR="00202006">
        <w:t xml:space="preserve"> (“common”).</w:t>
      </w:r>
    </w:p>
  </w:footnote>
  <w:footnote w:id="10">
    <w:p w14:paraId="630B3972" w14:textId="1E4CBE89" w:rsidR="00AD770F" w:rsidRDefault="00AD770F">
      <w:pPr>
        <w:pStyle w:val="FootnoteText"/>
      </w:pPr>
      <w:r>
        <w:rPr>
          <w:rStyle w:val="FootnoteReference"/>
        </w:rPr>
        <w:footnoteRef/>
      </w:r>
      <w:r>
        <w:t xml:space="preserve"> There are a wide variety of micro-constructions within the indirect genitive family, covering semantic territory such as kinship, possession &amp; belonging, membership and the like, as well as contents and composition. Similarly, the </w:t>
      </w:r>
      <w:r w:rsidRPr="00D041A0">
        <w:rPr>
          <w:rFonts w:ascii="Trlit_CG Times" w:hAnsi="Trlit_CG Times"/>
        </w:rPr>
        <w:t>n</w:t>
      </w:r>
      <w:r>
        <w:t xml:space="preserve">-demonstrative construction is the not the only indirect-genitive development to move into the territory of determiners. Already in the late Old Kingdom </w:t>
      </w:r>
      <w:r w:rsidR="00D041A0">
        <w:t xml:space="preserve">an </w:t>
      </w:r>
      <w:r>
        <w:t>example exist</w:t>
      </w:r>
      <w:r w:rsidR="00D041A0">
        <w:t>s</w:t>
      </w:r>
      <w:r>
        <w:t xml:space="preserve"> of the </w:t>
      </w:r>
      <w:r w:rsidRPr="00EC1D7C">
        <w:rPr>
          <w:rFonts w:ascii="Trlit_CG Times" w:hAnsi="Trlit_CG Times"/>
        </w:rPr>
        <w:t>nhy n(y)</w:t>
      </w:r>
      <w:r>
        <w:t xml:space="preserve"> construction </w:t>
      </w:r>
      <w:r w:rsidR="00D041A0">
        <w:t xml:space="preserve">(“something of”/”some”) </w:t>
      </w:r>
      <w:r>
        <w:t>which eventually develops into the plural indefinite article</w:t>
      </w:r>
      <w:r w:rsidR="00D041A0">
        <w:t xml:space="preserve">; Edel, </w:t>
      </w:r>
      <w:r w:rsidR="00D041A0" w:rsidRPr="00D041A0">
        <w:rPr>
          <w:i/>
          <w:iCs/>
        </w:rPr>
        <w:t>Altägyptische Grammatik</w:t>
      </w:r>
      <w:r w:rsidR="00E17BE6">
        <w:t xml:space="preserve">, </w:t>
      </w:r>
      <w:r w:rsidR="00D041A0">
        <w:t>165 (§384).</w:t>
      </w:r>
    </w:p>
  </w:footnote>
  <w:footnote w:id="11">
    <w:p w14:paraId="13850848" w14:textId="010A8D09" w:rsidR="0003488C" w:rsidRDefault="0003488C">
      <w:pPr>
        <w:pStyle w:val="FootnoteText"/>
      </w:pPr>
      <w:r>
        <w:rPr>
          <w:rStyle w:val="FootnoteReference"/>
        </w:rPr>
        <w:footnoteRef/>
      </w:r>
      <w:r>
        <w:t xml:space="preserve"> That is, N1 provides the primary grammatical (number-gender) and content (reference) head for the construction.</w:t>
      </w:r>
    </w:p>
  </w:footnote>
  <w:footnote w:id="12">
    <w:p w14:paraId="096C51AB" w14:textId="6CDFC1DE" w:rsidR="00D24268" w:rsidRDefault="00D24268">
      <w:pPr>
        <w:pStyle w:val="FootnoteText"/>
      </w:pPr>
      <w:r>
        <w:rPr>
          <w:rStyle w:val="FootnoteReference"/>
        </w:rPr>
        <w:footnoteRef/>
      </w:r>
      <w:r>
        <w:t xml:space="preserve"> Etymologically, of course, the indirect genitive linker is a </w:t>
      </w:r>
      <w:r w:rsidRPr="00D24268">
        <w:rPr>
          <w:i/>
          <w:iCs/>
        </w:rPr>
        <w:t>nisbe</w:t>
      </w:r>
      <w:r>
        <w:t xml:space="preserve"> prepositional-adjective derivative of the preposition </w:t>
      </w:r>
      <w:r w:rsidRPr="00D24268">
        <w:rPr>
          <w:rFonts w:ascii="Trlit_CG Times" w:hAnsi="Trlit_CG Times"/>
        </w:rPr>
        <w:t>n</w:t>
      </w:r>
      <w:r>
        <w:t xml:space="preserve"> </w:t>
      </w:r>
      <w:r w:rsidR="00CE6B9F">
        <w:t xml:space="preserve">and </w:t>
      </w:r>
      <w:r>
        <w:t>shows adjectival agreement with the preceding head noun (N1) in its adjectival role and takes its following N2 dependent in its prepositional role</w:t>
      </w:r>
      <w:r w:rsidR="002836CF">
        <w:t xml:space="preserve">; see Edel, </w:t>
      </w:r>
      <w:r w:rsidR="002836CF" w:rsidRPr="002836CF">
        <w:rPr>
          <w:i/>
          <w:iCs/>
        </w:rPr>
        <w:t>Altägyptische Grammatik</w:t>
      </w:r>
      <w:r w:rsidR="002836CF">
        <w:t>, 137–140 (§§325–331).</w:t>
      </w:r>
    </w:p>
  </w:footnote>
  <w:footnote w:id="13">
    <w:p w14:paraId="717EF8E7" w14:textId="3556FEDC" w:rsidR="00380B84" w:rsidRDefault="00380B84">
      <w:pPr>
        <w:pStyle w:val="FootnoteText"/>
      </w:pPr>
      <w:r>
        <w:rPr>
          <w:rStyle w:val="FootnoteReference"/>
        </w:rPr>
        <w:footnoteRef/>
      </w:r>
      <w:r>
        <w:t xml:space="preserve"> Edel, </w:t>
      </w:r>
      <w:r w:rsidRPr="00380B84">
        <w:rPr>
          <w:i/>
          <w:iCs/>
        </w:rPr>
        <w:t>Altägyptische Grammatik</w:t>
      </w:r>
      <w:r>
        <w:t>, 89 (§199)</w:t>
      </w:r>
      <w:r w:rsidR="0099783A">
        <w:t>. Most of the examples noted in this section can also be found in Edel’s brief account</w:t>
      </w:r>
      <w:r>
        <w:t>.</w:t>
      </w:r>
      <w:r w:rsidR="00DC2849" w:rsidRPr="00DC2849">
        <w:t xml:space="preserve"> </w:t>
      </w:r>
      <w:r w:rsidR="00DC2849">
        <w:t>For a somewhat different account of the relationships in this construction than I provide here, see Silverman “Plural Demonstrative Constructions”.</w:t>
      </w:r>
    </w:p>
  </w:footnote>
  <w:footnote w:id="14">
    <w:p w14:paraId="4F60F8B9" w14:textId="5A2EA362" w:rsidR="00D823C7" w:rsidRDefault="00D823C7">
      <w:pPr>
        <w:pStyle w:val="FootnoteText"/>
      </w:pPr>
      <w:r>
        <w:rPr>
          <w:rStyle w:val="FootnoteReference"/>
        </w:rPr>
        <w:footnoteRef/>
      </w:r>
      <w:r>
        <w:t xml:space="preserve"> Although I keep my account here informal, I am broadly following the approach taken in Traugott and Trousdale, </w:t>
      </w:r>
      <w:r w:rsidRPr="00D823C7">
        <w:rPr>
          <w:i/>
          <w:iCs/>
        </w:rPr>
        <w:t>Constructionalization and Constructional Changes</w:t>
      </w:r>
      <w:r>
        <w:t>. See, for example, the</w:t>
      </w:r>
      <w:r w:rsidR="001C3677">
        <w:t>ir</w:t>
      </w:r>
      <w:r>
        <w:t xml:space="preserve"> discussion of the development of the</w:t>
      </w:r>
      <w:r w:rsidR="00122642">
        <w:t xml:space="preserve"> </w:t>
      </w:r>
      <w:r>
        <w:t xml:space="preserve">English </w:t>
      </w:r>
      <w:r w:rsidR="00D31F45">
        <w:t>“</w:t>
      </w:r>
      <w:r>
        <w:t>a lot of</w:t>
      </w:r>
      <w:r w:rsidR="00D31F45">
        <w:t>”</w:t>
      </w:r>
      <w:r>
        <w:t xml:space="preserve"> construction</w:t>
      </w:r>
      <w:r w:rsidR="001C3677">
        <w:t xml:space="preserve"> (pp. 23–26)</w:t>
      </w:r>
      <w:r>
        <w:t xml:space="preserve">, the grammaticalized variant of which has become a modern quantifier in which the </w:t>
      </w:r>
      <w:r w:rsidR="00561688">
        <w:t>accompanying</w:t>
      </w:r>
      <w:r>
        <w:t xml:space="preserve"> plural noun determines agreement with the verb as in </w:t>
      </w:r>
      <w:r w:rsidR="00921711">
        <w:t>“</w:t>
      </w:r>
      <w:r>
        <w:t>A lot of people know that</w:t>
      </w:r>
      <w:r w:rsidR="00921711">
        <w:t>”</w:t>
      </w:r>
      <w:r>
        <w:t xml:space="preserve">, despite the origin of the construction in a singular indefinite construction as in </w:t>
      </w:r>
      <w:r w:rsidR="00921711">
        <w:t>“</w:t>
      </w:r>
      <w:r>
        <w:t>a lot of land</w:t>
      </w:r>
      <w:r w:rsidR="00921711">
        <w:t>”</w:t>
      </w:r>
      <w:r>
        <w:t xml:space="preserve"> (in the sense of a parcel of land).</w:t>
      </w:r>
    </w:p>
  </w:footnote>
  <w:footnote w:id="15">
    <w:p w14:paraId="2EC3F19B" w14:textId="2E9BA19B" w:rsidR="00B74E12" w:rsidRDefault="00B74E12">
      <w:pPr>
        <w:pStyle w:val="FootnoteText"/>
      </w:pPr>
      <w:r>
        <w:rPr>
          <w:rStyle w:val="FootnoteReference"/>
        </w:rPr>
        <w:footnoteRef/>
      </w:r>
      <w:r>
        <w:t xml:space="preserve"> One </w:t>
      </w:r>
      <w:r w:rsidR="00B31C62">
        <w:t>might</w:t>
      </w:r>
      <w:r>
        <w:t xml:space="preserve"> posit either an alternative or an earlier stage with the demonstrative as a separate referential domain, but in any case this would be r not R and still restricted to co-indexing with the primary noun.</w:t>
      </w:r>
    </w:p>
  </w:footnote>
  <w:footnote w:id="16">
    <w:p w14:paraId="175DD589" w14:textId="2FA33196" w:rsidR="00E156E0" w:rsidRDefault="00E156E0">
      <w:pPr>
        <w:pStyle w:val="FootnoteText"/>
      </w:pPr>
      <w:r>
        <w:rPr>
          <w:rStyle w:val="FootnoteReference"/>
        </w:rPr>
        <w:footnoteRef/>
      </w:r>
      <w:r>
        <w:t xml:space="preserve"> See, for example, </w:t>
      </w:r>
      <w:r w:rsidRPr="005306FF">
        <w:t>Bybee</w:t>
      </w:r>
      <w:r w:rsidR="00D436B1" w:rsidRPr="005306FF">
        <w:t>,</w:t>
      </w:r>
      <w:r w:rsidR="00D436B1" w:rsidRPr="00D436B1">
        <w:rPr>
          <w:i/>
          <w:iCs/>
        </w:rPr>
        <w:t xml:space="preserve"> Language, Usage and Cognition</w:t>
      </w:r>
      <w:r w:rsidR="00D436B1">
        <w:t>, 7: “In language, chunking is basic to the formation of sequential units expressed as constructions, constituents and formulaic expressions. Repeated sequences of words (or morphemes) are packaged together in cognition so that the sequence can be accessed as a single unit. It is the interaction of chunking with categorization that gives conventional sequences varying degrees of analysibility and compositionality.”</w:t>
      </w:r>
      <w:r w:rsidR="002478A5">
        <w:t xml:space="preserve"> Of particular note is the gradient approach to constituency, see her chapter 8 “Gradient constituency and gradual reanalysis.”</w:t>
      </w:r>
    </w:p>
  </w:footnote>
  <w:footnote w:id="17">
    <w:p w14:paraId="538B08DD" w14:textId="25AC14F7" w:rsidR="004D418D" w:rsidRDefault="004D418D" w:rsidP="004D418D">
      <w:pPr>
        <w:pStyle w:val="FootnoteText"/>
      </w:pPr>
      <w:r>
        <w:rPr>
          <w:rStyle w:val="FootnoteReference"/>
        </w:rPr>
        <w:footnoteRef/>
      </w:r>
      <w:r>
        <w:t xml:space="preserve"> Standard grammar discussions, e.g.: Gardiner, </w:t>
      </w:r>
      <w:r w:rsidRPr="003869BA">
        <w:rPr>
          <w:i/>
          <w:iCs/>
        </w:rPr>
        <w:t>Egyptian Grammar</w:t>
      </w:r>
      <w:r>
        <w:t xml:space="preserve">, 85–97 (§§110–112); Allen, </w:t>
      </w:r>
      <w:r w:rsidRPr="003869BA">
        <w:rPr>
          <w:i/>
          <w:iCs/>
        </w:rPr>
        <w:t>Middle Egyptian</w:t>
      </w:r>
      <w:r w:rsidRPr="003869BA">
        <w:rPr>
          <w:vertAlign w:val="superscript"/>
        </w:rPr>
        <w:t>3</w:t>
      </w:r>
      <w:r>
        <w:t xml:space="preserve">, 65–68 (5.8–5.11). The French-language grammatical tradition has often had a greater focus on Classical Egyptian and has discussions covering both the older and newer usages, such as Lefebvre, </w:t>
      </w:r>
      <w:r w:rsidRPr="00A01A70">
        <w:rPr>
          <w:i/>
          <w:iCs/>
        </w:rPr>
        <w:t>Égyptien classique</w:t>
      </w:r>
      <w:r>
        <w:t xml:space="preserve">, 61–66 and, particularly, the more detailed discussion in Malaise and Winand, </w:t>
      </w:r>
      <w:r w:rsidRPr="00F24716">
        <w:rPr>
          <w:i/>
          <w:iCs/>
        </w:rPr>
        <w:t>Grammaire raisonnée</w:t>
      </w:r>
      <w:r>
        <w:t>, 121–133 (chapter 12).</w:t>
      </w:r>
    </w:p>
  </w:footnote>
  <w:footnote w:id="18">
    <w:p w14:paraId="1FA1FC7E" w14:textId="1836F1F0" w:rsidR="004D418D" w:rsidRDefault="004D418D" w:rsidP="004D418D">
      <w:pPr>
        <w:pStyle w:val="FootnoteText"/>
      </w:pPr>
      <w:r>
        <w:rPr>
          <w:rStyle w:val="FootnoteReference"/>
        </w:rPr>
        <w:footnoteRef/>
      </w:r>
      <w:r>
        <w:t xml:space="preserve"> Examples persist into Middle Egyptian of the less-preferred construction with a singular noun</w:t>
      </w:r>
      <w:r w:rsidR="00376D63">
        <w:t xml:space="preserve"> in the </w:t>
      </w:r>
      <w:r w:rsidR="00376D63" w:rsidRPr="00617D2E">
        <w:rPr>
          <w:rFonts w:ascii="Trlit_CG Times" w:hAnsi="Trlit_CG Times"/>
        </w:rPr>
        <w:t>n</w:t>
      </w:r>
      <w:r w:rsidR="00376D63">
        <w:t xml:space="preserve">-demonstrative </w:t>
      </w:r>
      <w:r w:rsidR="00376D63" w:rsidRPr="00376D63">
        <w:rPr>
          <w:rFonts w:ascii="Trlit_CG Times" w:hAnsi="Trlit_CG Times"/>
        </w:rPr>
        <w:t>n(y)</w:t>
      </w:r>
      <w:r w:rsidR="00376D63">
        <w:t xml:space="preserve"> construction</w:t>
      </w:r>
      <w:r>
        <w:t xml:space="preserve">, as the standard grammars note (within the references </w:t>
      </w:r>
      <w:r w:rsidR="001E3CBE">
        <w:t>cited</w:t>
      </w:r>
      <w:r>
        <w:t xml:space="preserve"> in the previous note).</w:t>
      </w:r>
    </w:p>
  </w:footnote>
  <w:footnote w:id="19">
    <w:p w14:paraId="1F6C000E" w14:textId="6579C79E" w:rsidR="006E65DC" w:rsidRDefault="006E65DC" w:rsidP="006E65DC">
      <w:pPr>
        <w:pStyle w:val="FootnoteText"/>
      </w:pPr>
      <w:r>
        <w:rPr>
          <w:rStyle w:val="FootnoteReference"/>
        </w:rPr>
        <w:footnoteRef/>
      </w:r>
      <w:r>
        <w:t xml:space="preserve"> I should note that this paper </w:t>
      </w:r>
      <w:r w:rsidR="005568D4">
        <w:t>was</w:t>
      </w:r>
      <w:r>
        <w:t xml:space="preserve"> written under pandemic conditions, including restricted access to resources. I should also note </w:t>
      </w:r>
      <w:r w:rsidR="005568D4">
        <w:t xml:space="preserve">that </w:t>
      </w:r>
      <w:r>
        <w:t>to conform to the word-limit for contributions, I have had to gloss over various issues which would repay fuller discussion.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C56FC"/>
    <w:multiLevelType w:val="hybridMultilevel"/>
    <w:tmpl w:val="B240C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E90673"/>
    <w:multiLevelType w:val="hybridMultilevel"/>
    <w:tmpl w:val="26C46F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1C62AD"/>
    <w:multiLevelType w:val="hybridMultilevel"/>
    <w:tmpl w:val="B04250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8795FDE"/>
    <w:multiLevelType w:val="hybridMultilevel"/>
    <w:tmpl w:val="2444B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activeWritingStyle w:appName="MSWord" w:lang="en-GB" w:vendorID="64" w:dllVersion="0" w:nlCheck="1" w:checkStyle="0"/>
  <w:activeWritingStyle w:appName="MSWord" w:lang="en-US"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094"/>
    <w:rsid w:val="000002E7"/>
    <w:rsid w:val="000039B0"/>
    <w:rsid w:val="00005F11"/>
    <w:rsid w:val="00006474"/>
    <w:rsid w:val="00006553"/>
    <w:rsid w:val="00007B63"/>
    <w:rsid w:val="0001255C"/>
    <w:rsid w:val="000134FE"/>
    <w:rsid w:val="00015386"/>
    <w:rsid w:val="00026762"/>
    <w:rsid w:val="00027E30"/>
    <w:rsid w:val="00027FA3"/>
    <w:rsid w:val="00030FBA"/>
    <w:rsid w:val="00031973"/>
    <w:rsid w:val="000319CE"/>
    <w:rsid w:val="0003229A"/>
    <w:rsid w:val="00033B56"/>
    <w:rsid w:val="0003488C"/>
    <w:rsid w:val="00036E77"/>
    <w:rsid w:val="000407F0"/>
    <w:rsid w:val="00040F52"/>
    <w:rsid w:val="0005003F"/>
    <w:rsid w:val="00051472"/>
    <w:rsid w:val="000533AE"/>
    <w:rsid w:val="00055D9B"/>
    <w:rsid w:val="00056DD5"/>
    <w:rsid w:val="00057946"/>
    <w:rsid w:val="00062D64"/>
    <w:rsid w:val="00063D70"/>
    <w:rsid w:val="000660E2"/>
    <w:rsid w:val="000721D2"/>
    <w:rsid w:val="00080C89"/>
    <w:rsid w:val="00087619"/>
    <w:rsid w:val="000878AE"/>
    <w:rsid w:val="00091939"/>
    <w:rsid w:val="00096C8A"/>
    <w:rsid w:val="000A0BEA"/>
    <w:rsid w:val="000A53A2"/>
    <w:rsid w:val="000A55E6"/>
    <w:rsid w:val="000A6381"/>
    <w:rsid w:val="000A7AB7"/>
    <w:rsid w:val="000B001B"/>
    <w:rsid w:val="000B1E94"/>
    <w:rsid w:val="000B24A6"/>
    <w:rsid w:val="000B5230"/>
    <w:rsid w:val="000C2C2C"/>
    <w:rsid w:val="000C4194"/>
    <w:rsid w:val="000C442F"/>
    <w:rsid w:val="000C4A05"/>
    <w:rsid w:val="000C7B73"/>
    <w:rsid w:val="000D19AE"/>
    <w:rsid w:val="000E1E82"/>
    <w:rsid w:val="000E432A"/>
    <w:rsid w:val="000E5855"/>
    <w:rsid w:val="000E7F3F"/>
    <w:rsid w:val="000F0F81"/>
    <w:rsid w:val="000F293B"/>
    <w:rsid w:val="000F3EFF"/>
    <w:rsid w:val="000F73A9"/>
    <w:rsid w:val="001015CD"/>
    <w:rsid w:val="001015ED"/>
    <w:rsid w:val="00105715"/>
    <w:rsid w:val="00105ADD"/>
    <w:rsid w:val="001064FB"/>
    <w:rsid w:val="001107DE"/>
    <w:rsid w:val="00110906"/>
    <w:rsid w:val="00110FBE"/>
    <w:rsid w:val="00113C50"/>
    <w:rsid w:val="00117CF3"/>
    <w:rsid w:val="00121E3B"/>
    <w:rsid w:val="00122642"/>
    <w:rsid w:val="001230AD"/>
    <w:rsid w:val="00123BC2"/>
    <w:rsid w:val="00132014"/>
    <w:rsid w:val="00140DE6"/>
    <w:rsid w:val="001412AE"/>
    <w:rsid w:val="00143FD0"/>
    <w:rsid w:val="001460E4"/>
    <w:rsid w:val="001526BA"/>
    <w:rsid w:val="001531D8"/>
    <w:rsid w:val="0015360F"/>
    <w:rsid w:val="001614B3"/>
    <w:rsid w:val="00162257"/>
    <w:rsid w:val="001641F6"/>
    <w:rsid w:val="001644DD"/>
    <w:rsid w:val="00164FC8"/>
    <w:rsid w:val="0017243B"/>
    <w:rsid w:val="001741E9"/>
    <w:rsid w:val="0017726B"/>
    <w:rsid w:val="001935D1"/>
    <w:rsid w:val="001945D6"/>
    <w:rsid w:val="001A6AA8"/>
    <w:rsid w:val="001B08DE"/>
    <w:rsid w:val="001B0EAF"/>
    <w:rsid w:val="001B2A42"/>
    <w:rsid w:val="001B361D"/>
    <w:rsid w:val="001B6049"/>
    <w:rsid w:val="001B694E"/>
    <w:rsid w:val="001C3677"/>
    <w:rsid w:val="001D1AE6"/>
    <w:rsid w:val="001D3DB5"/>
    <w:rsid w:val="001D4ECD"/>
    <w:rsid w:val="001E0B8D"/>
    <w:rsid w:val="001E0C37"/>
    <w:rsid w:val="001E0DC0"/>
    <w:rsid w:val="001E2B31"/>
    <w:rsid w:val="001E3CBE"/>
    <w:rsid w:val="001E7973"/>
    <w:rsid w:val="001F1683"/>
    <w:rsid w:val="001F7A93"/>
    <w:rsid w:val="00202006"/>
    <w:rsid w:val="00204CBF"/>
    <w:rsid w:val="00205B68"/>
    <w:rsid w:val="00206A30"/>
    <w:rsid w:val="002072D4"/>
    <w:rsid w:val="00211781"/>
    <w:rsid w:val="0021207F"/>
    <w:rsid w:val="002137AF"/>
    <w:rsid w:val="00214421"/>
    <w:rsid w:val="00214448"/>
    <w:rsid w:val="00223BC5"/>
    <w:rsid w:val="00235D7E"/>
    <w:rsid w:val="00246470"/>
    <w:rsid w:val="002476D1"/>
    <w:rsid w:val="002478A5"/>
    <w:rsid w:val="002523C9"/>
    <w:rsid w:val="002633F3"/>
    <w:rsid w:val="00267EDD"/>
    <w:rsid w:val="00277EB2"/>
    <w:rsid w:val="00280916"/>
    <w:rsid w:val="002815D4"/>
    <w:rsid w:val="002836CF"/>
    <w:rsid w:val="002843F2"/>
    <w:rsid w:val="00287A46"/>
    <w:rsid w:val="002959DB"/>
    <w:rsid w:val="0029717D"/>
    <w:rsid w:val="002A2E8D"/>
    <w:rsid w:val="002A3DD7"/>
    <w:rsid w:val="002A7070"/>
    <w:rsid w:val="002A78EF"/>
    <w:rsid w:val="002A7A7C"/>
    <w:rsid w:val="002B053C"/>
    <w:rsid w:val="002B1C17"/>
    <w:rsid w:val="002C0068"/>
    <w:rsid w:val="002C34AD"/>
    <w:rsid w:val="002C7F6B"/>
    <w:rsid w:val="002D2334"/>
    <w:rsid w:val="002D4F7D"/>
    <w:rsid w:val="002D6902"/>
    <w:rsid w:val="002D6B78"/>
    <w:rsid w:val="002E0EB9"/>
    <w:rsid w:val="002E1355"/>
    <w:rsid w:val="002E1A30"/>
    <w:rsid w:val="002E283F"/>
    <w:rsid w:val="002E387D"/>
    <w:rsid w:val="002E3FFE"/>
    <w:rsid w:val="002E4AD4"/>
    <w:rsid w:val="002F18B6"/>
    <w:rsid w:val="002F684A"/>
    <w:rsid w:val="003017E1"/>
    <w:rsid w:val="00301EA6"/>
    <w:rsid w:val="003032DB"/>
    <w:rsid w:val="00305DF0"/>
    <w:rsid w:val="00310B08"/>
    <w:rsid w:val="003122ED"/>
    <w:rsid w:val="00313441"/>
    <w:rsid w:val="00325392"/>
    <w:rsid w:val="003253BD"/>
    <w:rsid w:val="003254BB"/>
    <w:rsid w:val="00326C69"/>
    <w:rsid w:val="003272C6"/>
    <w:rsid w:val="00330D59"/>
    <w:rsid w:val="00340394"/>
    <w:rsid w:val="00346294"/>
    <w:rsid w:val="00347768"/>
    <w:rsid w:val="003524A8"/>
    <w:rsid w:val="003570F4"/>
    <w:rsid w:val="00357BC2"/>
    <w:rsid w:val="00361926"/>
    <w:rsid w:val="00363D90"/>
    <w:rsid w:val="00366292"/>
    <w:rsid w:val="003670DD"/>
    <w:rsid w:val="003672AB"/>
    <w:rsid w:val="00372242"/>
    <w:rsid w:val="00372A10"/>
    <w:rsid w:val="0037381D"/>
    <w:rsid w:val="00374004"/>
    <w:rsid w:val="003769B9"/>
    <w:rsid w:val="00376D63"/>
    <w:rsid w:val="003775C7"/>
    <w:rsid w:val="00380B84"/>
    <w:rsid w:val="003816E4"/>
    <w:rsid w:val="00386739"/>
    <w:rsid w:val="003869BA"/>
    <w:rsid w:val="00391860"/>
    <w:rsid w:val="003958F8"/>
    <w:rsid w:val="003A0797"/>
    <w:rsid w:val="003A3C71"/>
    <w:rsid w:val="003A4FA3"/>
    <w:rsid w:val="003A6764"/>
    <w:rsid w:val="003A75EB"/>
    <w:rsid w:val="003B0877"/>
    <w:rsid w:val="003B43AF"/>
    <w:rsid w:val="003B4722"/>
    <w:rsid w:val="003B4F39"/>
    <w:rsid w:val="003D0D0B"/>
    <w:rsid w:val="003D16FA"/>
    <w:rsid w:val="003E2835"/>
    <w:rsid w:val="003E3B5D"/>
    <w:rsid w:val="003F1FA0"/>
    <w:rsid w:val="003F2776"/>
    <w:rsid w:val="003F2EE1"/>
    <w:rsid w:val="003F34E9"/>
    <w:rsid w:val="003F4C54"/>
    <w:rsid w:val="003F5949"/>
    <w:rsid w:val="003F63A9"/>
    <w:rsid w:val="003F76DA"/>
    <w:rsid w:val="0040100C"/>
    <w:rsid w:val="00401075"/>
    <w:rsid w:val="00403D5A"/>
    <w:rsid w:val="00404131"/>
    <w:rsid w:val="00404BB9"/>
    <w:rsid w:val="00407ACD"/>
    <w:rsid w:val="0041019A"/>
    <w:rsid w:val="00411303"/>
    <w:rsid w:val="00412CBD"/>
    <w:rsid w:val="004140D8"/>
    <w:rsid w:val="00420AB2"/>
    <w:rsid w:val="00422423"/>
    <w:rsid w:val="00425BE6"/>
    <w:rsid w:val="00426C78"/>
    <w:rsid w:val="00432F80"/>
    <w:rsid w:val="00434E64"/>
    <w:rsid w:val="004355BE"/>
    <w:rsid w:val="004404FB"/>
    <w:rsid w:val="00445C57"/>
    <w:rsid w:val="00450519"/>
    <w:rsid w:val="00454454"/>
    <w:rsid w:val="0045486F"/>
    <w:rsid w:val="00460557"/>
    <w:rsid w:val="0046257B"/>
    <w:rsid w:val="00465FEC"/>
    <w:rsid w:val="00467463"/>
    <w:rsid w:val="00472126"/>
    <w:rsid w:val="0047215D"/>
    <w:rsid w:val="004755A5"/>
    <w:rsid w:val="004774A5"/>
    <w:rsid w:val="00477C33"/>
    <w:rsid w:val="00480C8C"/>
    <w:rsid w:val="0048797E"/>
    <w:rsid w:val="00490A78"/>
    <w:rsid w:val="00493552"/>
    <w:rsid w:val="00494D23"/>
    <w:rsid w:val="004A34D2"/>
    <w:rsid w:val="004C0390"/>
    <w:rsid w:val="004C148E"/>
    <w:rsid w:val="004C188A"/>
    <w:rsid w:val="004C58DF"/>
    <w:rsid w:val="004C7BA9"/>
    <w:rsid w:val="004D418D"/>
    <w:rsid w:val="004D5798"/>
    <w:rsid w:val="004D73FD"/>
    <w:rsid w:val="004E1EE4"/>
    <w:rsid w:val="004E2458"/>
    <w:rsid w:val="004E2B87"/>
    <w:rsid w:val="004E31DC"/>
    <w:rsid w:val="004E38F3"/>
    <w:rsid w:val="004F18D5"/>
    <w:rsid w:val="004F5263"/>
    <w:rsid w:val="004F75EA"/>
    <w:rsid w:val="00502974"/>
    <w:rsid w:val="00504451"/>
    <w:rsid w:val="00504D99"/>
    <w:rsid w:val="00507094"/>
    <w:rsid w:val="005103B0"/>
    <w:rsid w:val="00513693"/>
    <w:rsid w:val="005158BC"/>
    <w:rsid w:val="00520CAD"/>
    <w:rsid w:val="00521007"/>
    <w:rsid w:val="005262A3"/>
    <w:rsid w:val="00530487"/>
    <w:rsid w:val="005306FF"/>
    <w:rsid w:val="005319F6"/>
    <w:rsid w:val="00533983"/>
    <w:rsid w:val="00534541"/>
    <w:rsid w:val="00537533"/>
    <w:rsid w:val="00537ACA"/>
    <w:rsid w:val="00544FAA"/>
    <w:rsid w:val="005456D4"/>
    <w:rsid w:val="00546E6E"/>
    <w:rsid w:val="00552BA0"/>
    <w:rsid w:val="00554606"/>
    <w:rsid w:val="0055548A"/>
    <w:rsid w:val="005568D4"/>
    <w:rsid w:val="00560A2C"/>
    <w:rsid w:val="00561688"/>
    <w:rsid w:val="00561A4A"/>
    <w:rsid w:val="0056252E"/>
    <w:rsid w:val="005648E5"/>
    <w:rsid w:val="005663C2"/>
    <w:rsid w:val="005725BB"/>
    <w:rsid w:val="0058366B"/>
    <w:rsid w:val="00583AC9"/>
    <w:rsid w:val="00585F9C"/>
    <w:rsid w:val="005866BB"/>
    <w:rsid w:val="005937BE"/>
    <w:rsid w:val="005950DF"/>
    <w:rsid w:val="00595E2B"/>
    <w:rsid w:val="005A0B40"/>
    <w:rsid w:val="005A2DB2"/>
    <w:rsid w:val="005A793B"/>
    <w:rsid w:val="005B028A"/>
    <w:rsid w:val="005B2706"/>
    <w:rsid w:val="005B39C0"/>
    <w:rsid w:val="005B4F3C"/>
    <w:rsid w:val="005B5BCB"/>
    <w:rsid w:val="005C1B25"/>
    <w:rsid w:val="005C2DFF"/>
    <w:rsid w:val="005C493B"/>
    <w:rsid w:val="005C4C5C"/>
    <w:rsid w:val="005C5B71"/>
    <w:rsid w:val="005D3F38"/>
    <w:rsid w:val="005D3FA7"/>
    <w:rsid w:val="005D7F2A"/>
    <w:rsid w:val="005E2364"/>
    <w:rsid w:val="005E33ED"/>
    <w:rsid w:val="005E43AA"/>
    <w:rsid w:val="005E518F"/>
    <w:rsid w:val="005E57D6"/>
    <w:rsid w:val="005E732F"/>
    <w:rsid w:val="005F1791"/>
    <w:rsid w:val="005F2C41"/>
    <w:rsid w:val="005F3A1E"/>
    <w:rsid w:val="005F437E"/>
    <w:rsid w:val="005F4F24"/>
    <w:rsid w:val="006035B8"/>
    <w:rsid w:val="00604CC8"/>
    <w:rsid w:val="006075D8"/>
    <w:rsid w:val="0061117E"/>
    <w:rsid w:val="00611F21"/>
    <w:rsid w:val="00616E29"/>
    <w:rsid w:val="00617D2E"/>
    <w:rsid w:val="006219A8"/>
    <w:rsid w:val="00625B71"/>
    <w:rsid w:val="00631FD4"/>
    <w:rsid w:val="006334F9"/>
    <w:rsid w:val="00633F49"/>
    <w:rsid w:val="00640E96"/>
    <w:rsid w:val="0064100B"/>
    <w:rsid w:val="006421B2"/>
    <w:rsid w:val="00645CCD"/>
    <w:rsid w:val="00650817"/>
    <w:rsid w:val="00650B83"/>
    <w:rsid w:val="00656328"/>
    <w:rsid w:val="00665F59"/>
    <w:rsid w:val="00672E55"/>
    <w:rsid w:val="00673A68"/>
    <w:rsid w:val="00675BE8"/>
    <w:rsid w:val="006815A3"/>
    <w:rsid w:val="00683EAB"/>
    <w:rsid w:val="006842D3"/>
    <w:rsid w:val="00695504"/>
    <w:rsid w:val="00697F7B"/>
    <w:rsid w:val="006A047F"/>
    <w:rsid w:val="006A342C"/>
    <w:rsid w:val="006A52DD"/>
    <w:rsid w:val="006B0D68"/>
    <w:rsid w:val="006B1E42"/>
    <w:rsid w:val="006B1E58"/>
    <w:rsid w:val="006B2025"/>
    <w:rsid w:val="006B789A"/>
    <w:rsid w:val="006C0C98"/>
    <w:rsid w:val="006C6547"/>
    <w:rsid w:val="006D1436"/>
    <w:rsid w:val="006D1D4C"/>
    <w:rsid w:val="006D4E8C"/>
    <w:rsid w:val="006D77B5"/>
    <w:rsid w:val="006E0743"/>
    <w:rsid w:val="006E500C"/>
    <w:rsid w:val="006E58C1"/>
    <w:rsid w:val="006E58FC"/>
    <w:rsid w:val="006E65DC"/>
    <w:rsid w:val="006F28CB"/>
    <w:rsid w:val="006F3B80"/>
    <w:rsid w:val="0070008C"/>
    <w:rsid w:val="00704005"/>
    <w:rsid w:val="00704715"/>
    <w:rsid w:val="007058D2"/>
    <w:rsid w:val="007078E5"/>
    <w:rsid w:val="00711BCC"/>
    <w:rsid w:val="00715604"/>
    <w:rsid w:val="00715E3D"/>
    <w:rsid w:val="007213CA"/>
    <w:rsid w:val="00721BD3"/>
    <w:rsid w:val="00731911"/>
    <w:rsid w:val="007320E7"/>
    <w:rsid w:val="007333A6"/>
    <w:rsid w:val="00735BA9"/>
    <w:rsid w:val="00761C61"/>
    <w:rsid w:val="00772EC6"/>
    <w:rsid w:val="007875B5"/>
    <w:rsid w:val="00787C1D"/>
    <w:rsid w:val="007A2E96"/>
    <w:rsid w:val="007A4C83"/>
    <w:rsid w:val="007A51C3"/>
    <w:rsid w:val="007A5AA3"/>
    <w:rsid w:val="007A69B5"/>
    <w:rsid w:val="007A730D"/>
    <w:rsid w:val="007A7BDD"/>
    <w:rsid w:val="007C226F"/>
    <w:rsid w:val="007C703D"/>
    <w:rsid w:val="007C70D0"/>
    <w:rsid w:val="007C7E27"/>
    <w:rsid w:val="007D022B"/>
    <w:rsid w:val="007D602F"/>
    <w:rsid w:val="007E11FD"/>
    <w:rsid w:val="007E1F24"/>
    <w:rsid w:val="007E4AEC"/>
    <w:rsid w:val="007E711E"/>
    <w:rsid w:val="007E7535"/>
    <w:rsid w:val="007F1E9E"/>
    <w:rsid w:val="007F2B24"/>
    <w:rsid w:val="007F3943"/>
    <w:rsid w:val="007F45EE"/>
    <w:rsid w:val="007F4FB1"/>
    <w:rsid w:val="007F55AD"/>
    <w:rsid w:val="007F599B"/>
    <w:rsid w:val="007F648B"/>
    <w:rsid w:val="007F69EF"/>
    <w:rsid w:val="00800C90"/>
    <w:rsid w:val="0080201D"/>
    <w:rsid w:val="00802A51"/>
    <w:rsid w:val="0080357B"/>
    <w:rsid w:val="00804DBA"/>
    <w:rsid w:val="008066F5"/>
    <w:rsid w:val="008074BD"/>
    <w:rsid w:val="0081205B"/>
    <w:rsid w:val="00812D70"/>
    <w:rsid w:val="008144A0"/>
    <w:rsid w:val="0081584C"/>
    <w:rsid w:val="00815EB2"/>
    <w:rsid w:val="00820939"/>
    <w:rsid w:val="00820A42"/>
    <w:rsid w:val="008224FA"/>
    <w:rsid w:val="00823BB6"/>
    <w:rsid w:val="00823E2A"/>
    <w:rsid w:val="008241CA"/>
    <w:rsid w:val="00826C11"/>
    <w:rsid w:val="00834899"/>
    <w:rsid w:val="00844975"/>
    <w:rsid w:val="008534A1"/>
    <w:rsid w:val="00854282"/>
    <w:rsid w:val="008546E9"/>
    <w:rsid w:val="008561A4"/>
    <w:rsid w:val="00860524"/>
    <w:rsid w:val="00860C46"/>
    <w:rsid w:val="00861A12"/>
    <w:rsid w:val="00875A8C"/>
    <w:rsid w:val="00876EE0"/>
    <w:rsid w:val="00882797"/>
    <w:rsid w:val="00883024"/>
    <w:rsid w:val="008852F3"/>
    <w:rsid w:val="00893066"/>
    <w:rsid w:val="00895C39"/>
    <w:rsid w:val="008A10E1"/>
    <w:rsid w:val="008A4946"/>
    <w:rsid w:val="008A692C"/>
    <w:rsid w:val="008B1AC4"/>
    <w:rsid w:val="008B1D6B"/>
    <w:rsid w:val="008B4A4E"/>
    <w:rsid w:val="008B507B"/>
    <w:rsid w:val="008B61D8"/>
    <w:rsid w:val="008C4BEE"/>
    <w:rsid w:val="008C5B19"/>
    <w:rsid w:val="008C733C"/>
    <w:rsid w:val="008D0137"/>
    <w:rsid w:val="008D191B"/>
    <w:rsid w:val="008D25DC"/>
    <w:rsid w:val="008D2E0E"/>
    <w:rsid w:val="008D4840"/>
    <w:rsid w:val="008D4B0B"/>
    <w:rsid w:val="008E19E5"/>
    <w:rsid w:val="008E21BA"/>
    <w:rsid w:val="008E5116"/>
    <w:rsid w:val="008E5C7D"/>
    <w:rsid w:val="008F552A"/>
    <w:rsid w:val="008F62EF"/>
    <w:rsid w:val="008F6945"/>
    <w:rsid w:val="008F6994"/>
    <w:rsid w:val="008F6D14"/>
    <w:rsid w:val="00900E90"/>
    <w:rsid w:val="00900EB3"/>
    <w:rsid w:val="00906F26"/>
    <w:rsid w:val="00915DDF"/>
    <w:rsid w:val="00921138"/>
    <w:rsid w:val="00921711"/>
    <w:rsid w:val="00924FE3"/>
    <w:rsid w:val="00925BE2"/>
    <w:rsid w:val="00926094"/>
    <w:rsid w:val="009265F4"/>
    <w:rsid w:val="00933EF3"/>
    <w:rsid w:val="00936773"/>
    <w:rsid w:val="009368E5"/>
    <w:rsid w:val="00937337"/>
    <w:rsid w:val="00940056"/>
    <w:rsid w:val="00941C7B"/>
    <w:rsid w:val="00942E71"/>
    <w:rsid w:val="00951E97"/>
    <w:rsid w:val="00953A5C"/>
    <w:rsid w:val="009553D4"/>
    <w:rsid w:val="00956050"/>
    <w:rsid w:val="00956AAE"/>
    <w:rsid w:val="00960D61"/>
    <w:rsid w:val="009610D5"/>
    <w:rsid w:val="0096508A"/>
    <w:rsid w:val="0096794F"/>
    <w:rsid w:val="0097098C"/>
    <w:rsid w:val="009727F0"/>
    <w:rsid w:val="00977517"/>
    <w:rsid w:val="00980F9E"/>
    <w:rsid w:val="009873DB"/>
    <w:rsid w:val="0099034A"/>
    <w:rsid w:val="00991A6A"/>
    <w:rsid w:val="00992E66"/>
    <w:rsid w:val="00994640"/>
    <w:rsid w:val="00995B7B"/>
    <w:rsid w:val="0099783A"/>
    <w:rsid w:val="009A1663"/>
    <w:rsid w:val="009A370F"/>
    <w:rsid w:val="009A564D"/>
    <w:rsid w:val="009B1FF8"/>
    <w:rsid w:val="009B3A42"/>
    <w:rsid w:val="009B4498"/>
    <w:rsid w:val="009B6230"/>
    <w:rsid w:val="009C3D0F"/>
    <w:rsid w:val="009C4702"/>
    <w:rsid w:val="009C615E"/>
    <w:rsid w:val="009C6542"/>
    <w:rsid w:val="009C7980"/>
    <w:rsid w:val="009D01DC"/>
    <w:rsid w:val="009D03A1"/>
    <w:rsid w:val="009D0570"/>
    <w:rsid w:val="009D2626"/>
    <w:rsid w:val="009D27BC"/>
    <w:rsid w:val="009D376A"/>
    <w:rsid w:val="009D689E"/>
    <w:rsid w:val="009D7F91"/>
    <w:rsid w:val="009E1708"/>
    <w:rsid w:val="009E22F1"/>
    <w:rsid w:val="009E3BB7"/>
    <w:rsid w:val="009E4416"/>
    <w:rsid w:val="009E5568"/>
    <w:rsid w:val="009E59F6"/>
    <w:rsid w:val="009E67E4"/>
    <w:rsid w:val="009F185B"/>
    <w:rsid w:val="009F5411"/>
    <w:rsid w:val="009F5648"/>
    <w:rsid w:val="00A00527"/>
    <w:rsid w:val="00A01A34"/>
    <w:rsid w:val="00A01A70"/>
    <w:rsid w:val="00A02011"/>
    <w:rsid w:val="00A0348A"/>
    <w:rsid w:val="00A1311D"/>
    <w:rsid w:val="00A1608E"/>
    <w:rsid w:val="00A162F3"/>
    <w:rsid w:val="00A21BFD"/>
    <w:rsid w:val="00A30339"/>
    <w:rsid w:val="00A33930"/>
    <w:rsid w:val="00A34C7F"/>
    <w:rsid w:val="00A35A72"/>
    <w:rsid w:val="00A40156"/>
    <w:rsid w:val="00A40CB9"/>
    <w:rsid w:val="00A47973"/>
    <w:rsid w:val="00A53C75"/>
    <w:rsid w:val="00A5416B"/>
    <w:rsid w:val="00A6102D"/>
    <w:rsid w:val="00A62BA9"/>
    <w:rsid w:val="00A64A74"/>
    <w:rsid w:val="00A70252"/>
    <w:rsid w:val="00A72467"/>
    <w:rsid w:val="00A72D99"/>
    <w:rsid w:val="00A76990"/>
    <w:rsid w:val="00A769B9"/>
    <w:rsid w:val="00A77C05"/>
    <w:rsid w:val="00A91FB1"/>
    <w:rsid w:val="00A94FBE"/>
    <w:rsid w:val="00A96857"/>
    <w:rsid w:val="00AA1C1A"/>
    <w:rsid w:val="00AA35CF"/>
    <w:rsid w:val="00AA7FA4"/>
    <w:rsid w:val="00AB0171"/>
    <w:rsid w:val="00AB61BE"/>
    <w:rsid w:val="00AB6FB7"/>
    <w:rsid w:val="00AB7E43"/>
    <w:rsid w:val="00AC2B98"/>
    <w:rsid w:val="00AC2F7D"/>
    <w:rsid w:val="00AC5BE3"/>
    <w:rsid w:val="00AC78CE"/>
    <w:rsid w:val="00AD2DE3"/>
    <w:rsid w:val="00AD6F74"/>
    <w:rsid w:val="00AD770F"/>
    <w:rsid w:val="00AE02F7"/>
    <w:rsid w:val="00AE12C8"/>
    <w:rsid w:val="00AE3DBF"/>
    <w:rsid w:val="00AE5104"/>
    <w:rsid w:val="00AE7666"/>
    <w:rsid w:val="00AF0C14"/>
    <w:rsid w:val="00AF57C3"/>
    <w:rsid w:val="00B0040C"/>
    <w:rsid w:val="00B0057B"/>
    <w:rsid w:val="00B014C8"/>
    <w:rsid w:val="00B02A6D"/>
    <w:rsid w:val="00B15074"/>
    <w:rsid w:val="00B16315"/>
    <w:rsid w:val="00B208D6"/>
    <w:rsid w:val="00B21974"/>
    <w:rsid w:val="00B22326"/>
    <w:rsid w:val="00B23B50"/>
    <w:rsid w:val="00B25FE8"/>
    <w:rsid w:val="00B27696"/>
    <w:rsid w:val="00B2782C"/>
    <w:rsid w:val="00B31C62"/>
    <w:rsid w:val="00B35295"/>
    <w:rsid w:val="00B36FD2"/>
    <w:rsid w:val="00B4025D"/>
    <w:rsid w:val="00B46F65"/>
    <w:rsid w:val="00B50661"/>
    <w:rsid w:val="00B50B2F"/>
    <w:rsid w:val="00B50CFB"/>
    <w:rsid w:val="00B521FA"/>
    <w:rsid w:val="00B5222B"/>
    <w:rsid w:val="00B60448"/>
    <w:rsid w:val="00B604AA"/>
    <w:rsid w:val="00B62462"/>
    <w:rsid w:val="00B631AE"/>
    <w:rsid w:val="00B7362B"/>
    <w:rsid w:val="00B74ABA"/>
    <w:rsid w:val="00B74E12"/>
    <w:rsid w:val="00B76583"/>
    <w:rsid w:val="00B80114"/>
    <w:rsid w:val="00B82739"/>
    <w:rsid w:val="00B84E36"/>
    <w:rsid w:val="00B85BFE"/>
    <w:rsid w:val="00B876E8"/>
    <w:rsid w:val="00B93887"/>
    <w:rsid w:val="00B96213"/>
    <w:rsid w:val="00BA1F1A"/>
    <w:rsid w:val="00BA6582"/>
    <w:rsid w:val="00BA6E5A"/>
    <w:rsid w:val="00BB2AD6"/>
    <w:rsid w:val="00BB5A98"/>
    <w:rsid w:val="00BB6DCB"/>
    <w:rsid w:val="00BB6DEA"/>
    <w:rsid w:val="00BB758C"/>
    <w:rsid w:val="00BB7AC2"/>
    <w:rsid w:val="00BC027A"/>
    <w:rsid w:val="00BC0673"/>
    <w:rsid w:val="00BC0ADC"/>
    <w:rsid w:val="00BC28C2"/>
    <w:rsid w:val="00BC2E68"/>
    <w:rsid w:val="00BC338D"/>
    <w:rsid w:val="00BC6E1E"/>
    <w:rsid w:val="00BD05CD"/>
    <w:rsid w:val="00BD1FB9"/>
    <w:rsid w:val="00BD3CBC"/>
    <w:rsid w:val="00BD5684"/>
    <w:rsid w:val="00BD709C"/>
    <w:rsid w:val="00BE0004"/>
    <w:rsid w:val="00BE2096"/>
    <w:rsid w:val="00BE24D8"/>
    <w:rsid w:val="00BE3C07"/>
    <w:rsid w:val="00BF3A78"/>
    <w:rsid w:val="00BF52D7"/>
    <w:rsid w:val="00BF6265"/>
    <w:rsid w:val="00C00117"/>
    <w:rsid w:val="00C1077C"/>
    <w:rsid w:val="00C10C94"/>
    <w:rsid w:val="00C15929"/>
    <w:rsid w:val="00C30C6D"/>
    <w:rsid w:val="00C3189D"/>
    <w:rsid w:val="00C31C4A"/>
    <w:rsid w:val="00C336BF"/>
    <w:rsid w:val="00C34CE0"/>
    <w:rsid w:val="00C35868"/>
    <w:rsid w:val="00C44AE4"/>
    <w:rsid w:val="00C45EA5"/>
    <w:rsid w:val="00C522E4"/>
    <w:rsid w:val="00C57343"/>
    <w:rsid w:val="00C57950"/>
    <w:rsid w:val="00C61E3F"/>
    <w:rsid w:val="00C622A8"/>
    <w:rsid w:val="00C70A0F"/>
    <w:rsid w:val="00C80522"/>
    <w:rsid w:val="00C8460B"/>
    <w:rsid w:val="00C938DF"/>
    <w:rsid w:val="00C938F7"/>
    <w:rsid w:val="00C95968"/>
    <w:rsid w:val="00CA1AC8"/>
    <w:rsid w:val="00CA1F5F"/>
    <w:rsid w:val="00CA23CD"/>
    <w:rsid w:val="00CA40B1"/>
    <w:rsid w:val="00CB2579"/>
    <w:rsid w:val="00CB6634"/>
    <w:rsid w:val="00CB7710"/>
    <w:rsid w:val="00CB777B"/>
    <w:rsid w:val="00CC2DF2"/>
    <w:rsid w:val="00CC5933"/>
    <w:rsid w:val="00CD08C8"/>
    <w:rsid w:val="00CD0AD3"/>
    <w:rsid w:val="00CD38FA"/>
    <w:rsid w:val="00CE40FE"/>
    <w:rsid w:val="00CE4F50"/>
    <w:rsid w:val="00CE6B9F"/>
    <w:rsid w:val="00CF0BFD"/>
    <w:rsid w:val="00CF2D4D"/>
    <w:rsid w:val="00CF310C"/>
    <w:rsid w:val="00D0073E"/>
    <w:rsid w:val="00D020A3"/>
    <w:rsid w:val="00D028B2"/>
    <w:rsid w:val="00D041A0"/>
    <w:rsid w:val="00D05B1E"/>
    <w:rsid w:val="00D14A13"/>
    <w:rsid w:val="00D16884"/>
    <w:rsid w:val="00D16B11"/>
    <w:rsid w:val="00D24268"/>
    <w:rsid w:val="00D31F45"/>
    <w:rsid w:val="00D32CC7"/>
    <w:rsid w:val="00D34FFB"/>
    <w:rsid w:val="00D3708F"/>
    <w:rsid w:val="00D373CF"/>
    <w:rsid w:val="00D3771A"/>
    <w:rsid w:val="00D4053C"/>
    <w:rsid w:val="00D436B1"/>
    <w:rsid w:val="00D45977"/>
    <w:rsid w:val="00D46B0A"/>
    <w:rsid w:val="00D4739F"/>
    <w:rsid w:val="00D47D43"/>
    <w:rsid w:val="00D531C7"/>
    <w:rsid w:val="00D536B1"/>
    <w:rsid w:val="00D55922"/>
    <w:rsid w:val="00D628A4"/>
    <w:rsid w:val="00D71E90"/>
    <w:rsid w:val="00D76A76"/>
    <w:rsid w:val="00D80E8D"/>
    <w:rsid w:val="00D823C7"/>
    <w:rsid w:val="00D8515F"/>
    <w:rsid w:val="00D90E50"/>
    <w:rsid w:val="00D925BC"/>
    <w:rsid w:val="00D92E26"/>
    <w:rsid w:val="00D95101"/>
    <w:rsid w:val="00DA0E64"/>
    <w:rsid w:val="00DB4314"/>
    <w:rsid w:val="00DB4E7C"/>
    <w:rsid w:val="00DC012E"/>
    <w:rsid w:val="00DC0275"/>
    <w:rsid w:val="00DC14C5"/>
    <w:rsid w:val="00DC1C1B"/>
    <w:rsid w:val="00DC2849"/>
    <w:rsid w:val="00DC5284"/>
    <w:rsid w:val="00DC5416"/>
    <w:rsid w:val="00DD19C7"/>
    <w:rsid w:val="00DD48D0"/>
    <w:rsid w:val="00DD4DBF"/>
    <w:rsid w:val="00DD60FA"/>
    <w:rsid w:val="00DE088B"/>
    <w:rsid w:val="00DE25AF"/>
    <w:rsid w:val="00DE54B6"/>
    <w:rsid w:val="00DF2E7F"/>
    <w:rsid w:val="00DF3545"/>
    <w:rsid w:val="00E036AD"/>
    <w:rsid w:val="00E04E08"/>
    <w:rsid w:val="00E0648D"/>
    <w:rsid w:val="00E142DC"/>
    <w:rsid w:val="00E156E0"/>
    <w:rsid w:val="00E1661E"/>
    <w:rsid w:val="00E17107"/>
    <w:rsid w:val="00E17BE6"/>
    <w:rsid w:val="00E204E7"/>
    <w:rsid w:val="00E23750"/>
    <w:rsid w:val="00E33E1E"/>
    <w:rsid w:val="00E35D93"/>
    <w:rsid w:val="00E36BE5"/>
    <w:rsid w:val="00E3749A"/>
    <w:rsid w:val="00E37FD5"/>
    <w:rsid w:val="00E42461"/>
    <w:rsid w:val="00E466E3"/>
    <w:rsid w:val="00E50EBB"/>
    <w:rsid w:val="00E553AA"/>
    <w:rsid w:val="00E565C1"/>
    <w:rsid w:val="00E61EA0"/>
    <w:rsid w:val="00E67402"/>
    <w:rsid w:val="00E75C3E"/>
    <w:rsid w:val="00E75EBD"/>
    <w:rsid w:val="00E76315"/>
    <w:rsid w:val="00E77A7F"/>
    <w:rsid w:val="00E80841"/>
    <w:rsid w:val="00E81B1C"/>
    <w:rsid w:val="00E82F4C"/>
    <w:rsid w:val="00E84954"/>
    <w:rsid w:val="00E855CD"/>
    <w:rsid w:val="00E87225"/>
    <w:rsid w:val="00E9222A"/>
    <w:rsid w:val="00E93056"/>
    <w:rsid w:val="00E932DD"/>
    <w:rsid w:val="00EA2CAA"/>
    <w:rsid w:val="00EA3656"/>
    <w:rsid w:val="00EA3B73"/>
    <w:rsid w:val="00EA438D"/>
    <w:rsid w:val="00EB1871"/>
    <w:rsid w:val="00EB1E38"/>
    <w:rsid w:val="00EB2E28"/>
    <w:rsid w:val="00EB798D"/>
    <w:rsid w:val="00EC0BA2"/>
    <w:rsid w:val="00EC0D3A"/>
    <w:rsid w:val="00EC16A1"/>
    <w:rsid w:val="00EC1D7C"/>
    <w:rsid w:val="00EC1F83"/>
    <w:rsid w:val="00EC3DC9"/>
    <w:rsid w:val="00EC401F"/>
    <w:rsid w:val="00ED0396"/>
    <w:rsid w:val="00ED0B8F"/>
    <w:rsid w:val="00ED0D85"/>
    <w:rsid w:val="00ED1272"/>
    <w:rsid w:val="00ED223F"/>
    <w:rsid w:val="00EE0609"/>
    <w:rsid w:val="00EE1772"/>
    <w:rsid w:val="00EE479B"/>
    <w:rsid w:val="00EE6217"/>
    <w:rsid w:val="00EF0B10"/>
    <w:rsid w:val="00EF1355"/>
    <w:rsid w:val="00EF5A4F"/>
    <w:rsid w:val="00F00800"/>
    <w:rsid w:val="00F0154F"/>
    <w:rsid w:val="00F0404B"/>
    <w:rsid w:val="00F04F31"/>
    <w:rsid w:val="00F124E5"/>
    <w:rsid w:val="00F214F0"/>
    <w:rsid w:val="00F21BA8"/>
    <w:rsid w:val="00F22E57"/>
    <w:rsid w:val="00F24716"/>
    <w:rsid w:val="00F2576E"/>
    <w:rsid w:val="00F3053D"/>
    <w:rsid w:val="00F354F6"/>
    <w:rsid w:val="00F37D0F"/>
    <w:rsid w:val="00F40A97"/>
    <w:rsid w:val="00F50807"/>
    <w:rsid w:val="00F54B97"/>
    <w:rsid w:val="00F57BB5"/>
    <w:rsid w:val="00F62E25"/>
    <w:rsid w:val="00F63084"/>
    <w:rsid w:val="00F640D4"/>
    <w:rsid w:val="00F6478E"/>
    <w:rsid w:val="00F657A4"/>
    <w:rsid w:val="00F725DF"/>
    <w:rsid w:val="00F75544"/>
    <w:rsid w:val="00F814C7"/>
    <w:rsid w:val="00F81757"/>
    <w:rsid w:val="00F8230F"/>
    <w:rsid w:val="00F841A1"/>
    <w:rsid w:val="00F848CA"/>
    <w:rsid w:val="00F84E2C"/>
    <w:rsid w:val="00F861F1"/>
    <w:rsid w:val="00F87EFD"/>
    <w:rsid w:val="00F90F13"/>
    <w:rsid w:val="00F92048"/>
    <w:rsid w:val="00F9393F"/>
    <w:rsid w:val="00F941D4"/>
    <w:rsid w:val="00FA0423"/>
    <w:rsid w:val="00FA0A18"/>
    <w:rsid w:val="00FA0E56"/>
    <w:rsid w:val="00FA79F0"/>
    <w:rsid w:val="00FB090F"/>
    <w:rsid w:val="00FB665A"/>
    <w:rsid w:val="00FC18BB"/>
    <w:rsid w:val="00FC2184"/>
    <w:rsid w:val="00FC3147"/>
    <w:rsid w:val="00FC5400"/>
    <w:rsid w:val="00FD5A36"/>
    <w:rsid w:val="00FD5A65"/>
    <w:rsid w:val="00FD700E"/>
    <w:rsid w:val="00FE38F0"/>
    <w:rsid w:val="00FE6E8C"/>
    <w:rsid w:val="00FE7838"/>
    <w:rsid w:val="00FF2A7D"/>
    <w:rsid w:val="00FF2B15"/>
    <w:rsid w:val="00FF5945"/>
    <w:rsid w:val="00FF65B7"/>
    <w:rsid w:val="00FF6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762BD70"/>
  <w15:chartTrackingRefBased/>
  <w15:docId w15:val="{6255ED15-DB56-274F-965C-66E83F545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9E5"/>
    <w:pPr>
      <w:spacing w:line="300" w:lineRule="exact"/>
    </w:pPr>
    <w:rPr>
      <w:rFonts w:ascii="Brill" w:eastAsia="Times New Roman" w:hAnsi="Brill" w:cs="Times New Roman"/>
      <w:lang w:eastAsia="en-GB"/>
    </w:rPr>
  </w:style>
  <w:style w:type="paragraph" w:styleId="Heading1">
    <w:name w:val="heading 1"/>
    <w:basedOn w:val="Normal"/>
    <w:next w:val="Normal"/>
    <w:link w:val="Heading1Char"/>
    <w:uiPriority w:val="9"/>
    <w:qFormat/>
    <w:rsid w:val="00735BA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ransliteration">
    <w:name w:val="Transliteration"/>
    <w:basedOn w:val="Normal"/>
    <w:next w:val="Normal"/>
    <w:qFormat/>
    <w:rsid w:val="00A62BA9"/>
    <w:pPr>
      <w:spacing w:line="240" w:lineRule="exact"/>
      <w:jc w:val="both"/>
    </w:pPr>
    <w:rPr>
      <w:rFonts w:ascii="Trlit_CG Times" w:hAnsi="Trlit_CG Times"/>
      <w:sz w:val="20"/>
      <w:szCs w:val="20"/>
    </w:rPr>
  </w:style>
  <w:style w:type="paragraph" w:styleId="Footer">
    <w:name w:val="footer"/>
    <w:basedOn w:val="Normal"/>
    <w:link w:val="FooterChar"/>
    <w:uiPriority w:val="99"/>
    <w:unhideWhenUsed/>
    <w:rsid w:val="0070008C"/>
    <w:pPr>
      <w:tabs>
        <w:tab w:val="center" w:pos="4680"/>
        <w:tab w:val="right" w:pos="9360"/>
      </w:tabs>
      <w:spacing w:line="240" w:lineRule="auto"/>
    </w:pPr>
  </w:style>
  <w:style w:type="character" w:customStyle="1" w:styleId="FooterChar">
    <w:name w:val="Footer Char"/>
    <w:basedOn w:val="DefaultParagraphFont"/>
    <w:link w:val="Footer"/>
    <w:uiPriority w:val="99"/>
    <w:rsid w:val="0070008C"/>
    <w:rPr>
      <w:rFonts w:ascii="Times New Roman" w:hAnsi="Times New Roman"/>
    </w:rPr>
  </w:style>
  <w:style w:type="character" w:styleId="PageNumber">
    <w:name w:val="page number"/>
    <w:basedOn w:val="DefaultParagraphFont"/>
    <w:uiPriority w:val="99"/>
    <w:semiHidden/>
    <w:unhideWhenUsed/>
    <w:rsid w:val="0070008C"/>
  </w:style>
  <w:style w:type="table" w:styleId="TableGrid">
    <w:name w:val="Table Grid"/>
    <w:basedOn w:val="TableNormal"/>
    <w:uiPriority w:val="39"/>
    <w:rsid w:val="00121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5BE6"/>
    <w:pPr>
      <w:ind w:left="720"/>
      <w:contextualSpacing/>
    </w:pPr>
  </w:style>
  <w:style w:type="paragraph" w:styleId="FootnoteText">
    <w:name w:val="footnote text"/>
    <w:basedOn w:val="Normal"/>
    <w:link w:val="FootnoteTextChar"/>
    <w:uiPriority w:val="99"/>
    <w:semiHidden/>
    <w:unhideWhenUsed/>
    <w:rsid w:val="003570F4"/>
    <w:pPr>
      <w:spacing w:line="240" w:lineRule="auto"/>
    </w:pPr>
    <w:rPr>
      <w:sz w:val="20"/>
      <w:szCs w:val="20"/>
    </w:rPr>
  </w:style>
  <w:style w:type="character" w:customStyle="1" w:styleId="FootnoteTextChar">
    <w:name w:val="Footnote Text Char"/>
    <w:basedOn w:val="DefaultParagraphFont"/>
    <w:link w:val="FootnoteText"/>
    <w:uiPriority w:val="99"/>
    <w:semiHidden/>
    <w:rsid w:val="003570F4"/>
    <w:rPr>
      <w:rFonts w:ascii="Brill" w:hAnsi="Brill"/>
      <w:sz w:val="20"/>
      <w:szCs w:val="20"/>
    </w:rPr>
  </w:style>
  <w:style w:type="character" w:styleId="FootnoteReference">
    <w:name w:val="footnote reference"/>
    <w:basedOn w:val="DefaultParagraphFont"/>
    <w:uiPriority w:val="99"/>
    <w:semiHidden/>
    <w:unhideWhenUsed/>
    <w:rsid w:val="003570F4"/>
    <w:rPr>
      <w:vertAlign w:val="superscript"/>
    </w:rPr>
  </w:style>
  <w:style w:type="paragraph" w:styleId="NormalWeb">
    <w:name w:val="Normal (Web)"/>
    <w:basedOn w:val="Normal"/>
    <w:uiPriority w:val="99"/>
    <w:semiHidden/>
    <w:unhideWhenUsed/>
    <w:rsid w:val="002E1355"/>
    <w:pPr>
      <w:spacing w:before="100" w:beforeAutospacing="1" w:after="100" w:afterAutospacing="1" w:line="240" w:lineRule="auto"/>
    </w:pPr>
    <w:rPr>
      <w:rFonts w:ascii="Times New Roman" w:hAnsi="Times New Roman"/>
    </w:rPr>
  </w:style>
  <w:style w:type="character" w:customStyle="1" w:styleId="Heading1Char">
    <w:name w:val="Heading 1 Char"/>
    <w:basedOn w:val="DefaultParagraphFont"/>
    <w:link w:val="Heading1"/>
    <w:uiPriority w:val="9"/>
    <w:rsid w:val="00735BA9"/>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927">
      <w:bodyDiv w:val="1"/>
      <w:marLeft w:val="0"/>
      <w:marRight w:val="0"/>
      <w:marTop w:val="0"/>
      <w:marBottom w:val="0"/>
      <w:divBdr>
        <w:top w:val="none" w:sz="0" w:space="0" w:color="auto"/>
        <w:left w:val="none" w:sz="0" w:space="0" w:color="auto"/>
        <w:bottom w:val="none" w:sz="0" w:space="0" w:color="auto"/>
        <w:right w:val="none" w:sz="0" w:space="0" w:color="auto"/>
      </w:divBdr>
    </w:div>
    <w:div w:id="90665521">
      <w:bodyDiv w:val="1"/>
      <w:marLeft w:val="0"/>
      <w:marRight w:val="0"/>
      <w:marTop w:val="0"/>
      <w:marBottom w:val="0"/>
      <w:divBdr>
        <w:top w:val="none" w:sz="0" w:space="0" w:color="auto"/>
        <w:left w:val="none" w:sz="0" w:space="0" w:color="auto"/>
        <w:bottom w:val="none" w:sz="0" w:space="0" w:color="auto"/>
        <w:right w:val="none" w:sz="0" w:space="0" w:color="auto"/>
      </w:divBdr>
    </w:div>
    <w:div w:id="334188250">
      <w:bodyDiv w:val="1"/>
      <w:marLeft w:val="0"/>
      <w:marRight w:val="0"/>
      <w:marTop w:val="0"/>
      <w:marBottom w:val="0"/>
      <w:divBdr>
        <w:top w:val="none" w:sz="0" w:space="0" w:color="auto"/>
        <w:left w:val="none" w:sz="0" w:space="0" w:color="auto"/>
        <w:bottom w:val="none" w:sz="0" w:space="0" w:color="auto"/>
        <w:right w:val="none" w:sz="0" w:space="0" w:color="auto"/>
      </w:divBdr>
    </w:div>
    <w:div w:id="437992447">
      <w:bodyDiv w:val="1"/>
      <w:marLeft w:val="0"/>
      <w:marRight w:val="0"/>
      <w:marTop w:val="0"/>
      <w:marBottom w:val="0"/>
      <w:divBdr>
        <w:top w:val="none" w:sz="0" w:space="0" w:color="auto"/>
        <w:left w:val="none" w:sz="0" w:space="0" w:color="auto"/>
        <w:bottom w:val="none" w:sz="0" w:space="0" w:color="auto"/>
        <w:right w:val="none" w:sz="0" w:space="0" w:color="auto"/>
      </w:divBdr>
    </w:div>
    <w:div w:id="560947440">
      <w:bodyDiv w:val="1"/>
      <w:marLeft w:val="0"/>
      <w:marRight w:val="0"/>
      <w:marTop w:val="0"/>
      <w:marBottom w:val="0"/>
      <w:divBdr>
        <w:top w:val="none" w:sz="0" w:space="0" w:color="auto"/>
        <w:left w:val="none" w:sz="0" w:space="0" w:color="auto"/>
        <w:bottom w:val="none" w:sz="0" w:space="0" w:color="auto"/>
        <w:right w:val="none" w:sz="0" w:space="0" w:color="auto"/>
      </w:divBdr>
    </w:div>
    <w:div w:id="589847884">
      <w:bodyDiv w:val="1"/>
      <w:marLeft w:val="0"/>
      <w:marRight w:val="0"/>
      <w:marTop w:val="0"/>
      <w:marBottom w:val="0"/>
      <w:divBdr>
        <w:top w:val="none" w:sz="0" w:space="0" w:color="auto"/>
        <w:left w:val="none" w:sz="0" w:space="0" w:color="auto"/>
        <w:bottom w:val="none" w:sz="0" w:space="0" w:color="auto"/>
        <w:right w:val="none" w:sz="0" w:space="0" w:color="auto"/>
      </w:divBdr>
    </w:div>
    <w:div w:id="749739633">
      <w:bodyDiv w:val="1"/>
      <w:marLeft w:val="0"/>
      <w:marRight w:val="0"/>
      <w:marTop w:val="0"/>
      <w:marBottom w:val="0"/>
      <w:divBdr>
        <w:top w:val="none" w:sz="0" w:space="0" w:color="auto"/>
        <w:left w:val="none" w:sz="0" w:space="0" w:color="auto"/>
        <w:bottom w:val="none" w:sz="0" w:space="0" w:color="auto"/>
        <w:right w:val="none" w:sz="0" w:space="0" w:color="auto"/>
      </w:divBdr>
    </w:div>
    <w:div w:id="881674938">
      <w:bodyDiv w:val="1"/>
      <w:marLeft w:val="0"/>
      <w:marRight w:val="0"/>
      <w:marTop w:val="0"/>
      <w:marBottom w:val="0"/>
      <w:divBdr>
        <w:top w:val="none" w:sz="0" w:space="0" w:color="auto"/>
        <w:left w:val="none" w:sz="0" w:space="0" w:color="auto"/>
        <w:bottom w:val="none" w:sz="0" w:space="0" w:color="auto"/>
        <w:right w:val="none" w:sz="0" w:space="0" w:color="auto"/>
      </w:divBdr>
    </w:div>
    <w:div w:id="891775116">
      <w:bodyDiv w:val="1"/>
      <w:marLeft w:val="0"/>
      <w:marRight w:val="0"/>
      <w:marTop w:val="0"/>
      <w:marBottom w:val="0"/>
      <w:divBdr>
        <w:top w:val="none" w:sz="0" w:space="0" w:color="auto"/>
        <w:left w:val="none" w:sz="0" w:space="0" w:color="auto"/>
        <w:bottom w:val="none" w:sz="0" w:space="0" w:color="auto"/>
        <w:right w:val="none" w:sz="0" w:space="0" w:color="auto"/>
      </w:divBdr>
    </w:div>
    <w:div w:id="1022902698">
      <w:bodyDiv w:val="1"/>
      <w:marLeft w:val="0"/>
      <w:marRight w:val="0"/>
      <w:marTop w:val="0"/>
      <w:marBottom w:val="0"/>
      <w:divBdr>
        <w:top w:val="none" w:sz="0" w:space="0" w:color="auto"/>
        <w:left w:val="none" w:sz="0" w:space="0" w:color="auto"/>
        <w:bottom w:val="none" w:sz="0" w:space="0" w:color="auto"/>
        <w:right w:val="none" w:sz="0" w:space="0" w:color="auto"/>
      </w:divBdr>
    </w:div>
    <w:div w:id="1349601412">
      <w:bodyDiv w:val="1"/>
      <w:marLeft w:val="0"/>
      <w:marRight w:val="0"/>
      <w:marTop w:val="0"/>
      <w:marBottom w:val="0"/>
      <w:divBdr>
        <w:top w:val="none" w:sz="0" w:space="0" w:color="auto"/>
        <w:left w:val="none" w:sz="0" w:space="0" w:color="auto"/>
        <w:bottom w:val="none" w:sz="0" w:space="0" w:color="auto"/>
        <w:right w:val="none" w:sz="0" w:space="0" w:color="auto"/>
      </w:divBdr>
    </w:div>
    <w:div w:id="1430127689">
      <w:bodyDiv w:val="1"/>
      <w:marLeft w:val="0"/>
      <w:marRight w:val="0"/>
      <w:marTop w:val="0"/>
      <w:marBottom w:val="0"/>
      <w:divBdr>
        <w:top w:val="none" w:sz="0" w:space="0" w:color="auto"/>
        <w:left w:val="none" w:sz="0" w:space="0" w:color="auto"/>
        <w:bottom w:val="none" w:sz="0" w:space="0" w:color="auto"/>
        <w:right w:val="none" w:sz="0" w:space="0" w:color="auto"/>
      </w:divBdr>
    </w:div>
    <w:div w:id="1491561120">
      <w:bodyDiv w:val="1"/>
      <w:marLeft w:val="0"/>
      <w:marRight w:val="0"/>
      <w:marTop w:val="0"/>
      <w:marBottom w:val="0"/>
      <w:divBdr>
        <w:top w:val="none" w:sz="0" w:space="0" w:color="auto"/>
        <w:left w:val="none" w:sz="0" w:space="0" w:color="auto"/>
        <w:bottom w:val="none" w:sz="0" w:space="0" w:color="auto"/>
        <w:right w:val="none" w:sz="0" w:space="0" w:color="auto"/>
      </w:divBdr>
    </w:div>
    <w:div w:id="1542589534">
      <w:bodyDiv w:val="1"/>
      <w:marLeft w:val="0"/>
      <w:marRight w:val="0"/>
      <w:marTop w:val="0"/>
      <w:marBottom w:val="0"/>
      <w:divBdr>
        <w:top w:val="none" w:sz="0" w:space="0" w:color="auto"/>
        <w:left w:val="none" w:sz="0" w:space="0" w:color="auto"/>
        <w:bottom w:val="none" w:sz="0" w:space="0" w:color="auto"/>
        <w:right w:val="none" w:sz="0" w:space="0" w:color="auto"/>
      </w:divBdr>
    </w:div>
    <w:div w:id="1574655349">
      <w:bodyDiv w:val="1"/>
      <w:marLeft w:val="0"/>
      <w:marRight w:val="0"/>
      <w:marTop w:val="0"/>
      <w:marBottom w:val="0"/>
      <w:divBdr>
        <w:top w:val="none" w:sz="0" w:space="0" w:color="auto"/>
        <w:left w:val="none" w:sz="0" w:space="0" w:color="auto"/>
        <w:bottom w:val="none" w:sz="0" w:space="0" w:color="auto"/>
        <w:right w:val="none" w:sz="0" w:space="0" w:color="auto"/>
      </w:divBdr>
    </w:div>
    <w:div w:id="1595550293">
      <w:bodyDiv w:val="1"/>
      <w:marLeft w:val="0"/>
      <w:marRight w:val="0"/>
      <w:marTop w:val="0"/>
      <w:marBottom w:val="0"/>
      <w:divBdr>
        <w:top w:val="none" w:sz="0" w:space="0" w:color="auto"/>
        <w:left w:val="none" w:sz="0" w:space="0" w:color="auto"/>
        <w:bottom w:val="none" w:sz="0" w:space="0" w:color="auto"/>
        <w:right w:val="none" w:sz="0" w:space="0" w:color="auto"/>
      </w:divBdr>
    </w:div>
    <w:div w:id="1727558540">
      <w:bodyDiv w:val="1"/>
      <w:marLeft w:val="0"/>
      <w:marRight w:val="0"/>
      <w:marTop w:val="0"/>
      <w:marBottom w:val="0"/>
      <w:divBdr>
        <w:top w:val="none" w:sz="0" w:space="0" w:color="auto"/>
        <w:left w:val="none" w:sz="0" w:space="0" w:color="auto"/>
        <w:bottom w:val="none" w:sz="0" w:space="0" w:color="auto"/>
        <w:right w:val="none" w:sz="0" w:space="0" w:color="auto"/>
      </w:divBdr>
    </w:div>
    <w:div w:id="1787037082">
      <w:bodyDiv w:val="1"/>
      <w:marLeft w:val="0"/>
      <w:marRight w:val="0"/>
      <w:marTop w:val="0"/>
      <w:marBottom w:val="0"/>
      <w:divBdr>
        <w:top w:val="none" w:sz="0" w:space="0" w:color="auto"/>
        <w:left w:val="none" w:sz="0" w:space="0" w:color="auto"/>
        <w:bottom w:val="none" w:sz="0" w:space="0" w:color="auto"/>
        <w:right w:val="none" w:sz="0" w:space="0" w:color="auto"/>
      </w:divBdr>
    </w:div>
    <w:div w:id="1791581736">
      <w:bodyDiv w:val="1"/>
      <w:marLeft w:val="0"/>
      <w:marRight w:val="0"/>
      <w:marTop w:val="0"/>
      <w:marBottom w:val="0"/>
      <w:divBdr>
        <w:top w:val="none" w:sz="0" w:space="0" w:color="auto"/>
        <w:left w:val="none" w:sz="0" w:space="0" w:color="auto"/>
        <w:bottom w:val="none" w:sz="0" w:space="0" w:color="auto"/>
        <w:right w:val="none" w:sz="0" w:space="0" w:color="auto"/>
      </w:divBdr>
    </w:div>
    <w:div w:id="2038578469">
      <w:bodyDiv w:val="1"/>
      <w:marLeft w:val="0"/>
      <w:marRight w:val="0"/>
      <w:marTop w:val="0"/>
      <w:marBottom w:val="0"/>
      <w:divBdr>
        <w:top w:val="none" w:sz="0" w:space="0" w:color="auto"/>
        <w:left w:val="none" w:sz="0" w:space="0" w:color="auto"/>
        <w:bottom w:val="none" w:sz="0" w:space="0" w:color="auto"/>
        <w:right w:val="none" w:sz="0" w:space="0" w:color="auto"/>
      </w:divBdr>
    </w:div>
    <w:div w:id="212488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1085</TotalTime>
  <Pages>12</Pages>
  <Words>3998</Words>
  <Characters>22350</Characters>
  <Application>Microsoft Office Word</Application>
  <DocSecurity>0</DocSecurity>
  <Lines>485</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collier</dc:creator>
  <cp:keywords/>
  <dc:description/>
  <cp:lastModifiedBy>mark collier</cp:lastModifiedBy>
  <cp:revision>627</cp:revision>
  <cp:lastPrinted>2021-08-09T12:13:00Z</cp:lastPrinted>
  <dcterms:created xsi:type="dcterms:W3CDTF">2021-07-28T10:07:00Z</dcterms:created>
  <dcterms:modified xsi:type="dcterms:W3CDTF">2021-09-03T08:47:00Z</dcterms:modified>
</cp:coreProperties>
</file>