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8FB" w:rsidRPr="00B27B9A" w:rsidRDefault="00435AB8" w:rsidP="00ED154D">
      <w:pPr>
        <w:spacing w:line="360" w:lineRule="auto"/>
        <w:rPr>
          <w:u w:val="single"/>
        </w:rPr>
      </w:pPr>
      <w:r w:rsidRPr="00B27B9A">
        <w:rPr>
          <w:u w:val="single"/>
        </w:rPr>
        <w:t>Leading article</w:t>
      </w:r>
      <w:r w:rsidR="001E0BE7" w:rsidRPr="00B27B9A">
        <w:rPr>
          <w:u w:val="single"/>
        </w:rPr>
        <w:t>:</w:t>
      </w:r>
      <w:r w:rsidRPr="00B27B9A">
        <w:rPr>
          <w:u w:val="single"/>
        </w:rPr>
        <w:t xml:space="preserve"> </w:t>
      </w:r>
      <w:r w:rsidR="001E0BE7" w:rsidRPr="00B27B9A">
        <w:rPr>
          <w:u w:val="single"/>
        </w:rPr>
        <w:t>Research with children and young people – not on them</w:t>
      </w:r>
    </w:p>
    <w:p w:rsidR="001E0BE7" w:rsidRPr="00B27B9A" w:rsidRDefault="001E0BE7" w:rsidP="00ED154D">
      <w:pPr>
        <w:spacing w:line="360" w:lineRule="auto"/>
      </w:pPr>
      <w:r w:rsidRPr="00B27B9A">
        <w:t xml:space="preserve">Sammons HM </w:t>
      </w:r>
      <w:r w:rsidRPr="00B27B9A">
        <w:rPr>
          <w:vertAlign w:val="superscript"/>
        </w:rPr>
        <w:t>1</w:t>
      </w:r>
      <w:r w:rsidRPr="00B27B9A">
        <w:t xml:space="preserve">, Wright K </w:t>
      </w:r>
      <w:r w:rsidRPr="00B27B9A">
        <w:rPr>
          <w:vertAlign w:val="superscript"/>
        </w:rPr>
        <w:t>2</w:t>
      </w:r>
      <w:r w:rsidRPr="00B27B9A">
        <w:t xml:space="preserve">, Young B </w:t>
      </w:r>
      <w:r w:rsidRPr="00B27B9A">
        <w:rPr>
          <w:vertAlign w:val="superscript"/>
        </w:rPr>
        <w:t>3</w:t>
      </w:r>
      <w:r w:rsidRPr="00B27B9A">
        <w:t xml:space="preserve">, Farsides B </w:t>
      </w:r>
      <w:r w:rsidRPr="00B27B9A">
        <w:rPr>
          <w:vertAlign w:val="superscript"/>
        </w:rPr>
        <w:t>4</w:t>
      </w:r>
      <w:r w:rsidRPr="00B27B9A">
        <w:t xml:space="preserve">. </w:t>
      </w:r>
    </w:p>
    <w:p w:rsidR="001E0BE7" w:rsidRPr="00B27B9A" w:rsidRDefault="001E0BE7" w:rsidP="00ED154D">
      <w:pPr>
        <w:spacing w:line="360" w:lineRule="auto"/>
        <w:rPr>
          <w:u w:val="single"/>
        </w:rPr>
      </w:pPr>
    </w:p>
    <w:p w:rsidR="00C70CD9" w:rsidRPr="00B27B9A" w:rsidRDefault="001E0BE7" w:rsidP="00ED154D">
      <w:pPr>
        <w:pStyle w:val="ListParagraph"/>
        <w:numPr>
          <w:ilvl w:val="0"/>
          <w:numId w:val="1"/>
        </w:numPr>
        <w:spacing w:line="360" w:lineRule="auto"/>
      </w:pPr>
      <w:r w:rsidRPr="00B27B9A">
        <w:t>Division of Medical Sciences &amp; Graduate Entry Medicine, School of Medicine, University of Nottingham, Derbyshire Children</w:t>
      </w:r>
      <w:r w:rsidR="00C70CD9" w:rsidRPr="00B27B9A">
        <w:t>’s Hospital, Derby, DE22 3DT, UK.</w:t>
      </w:r>
    </w:p>
    <w:p w:rsidR="00C70CD9" w:rsidRPr="00B27B9A" w:rsidRDefault="00C70CD9" w:rsidP="00942F0C">
      <w:pPr>
        <w:pStyle w:val="ListParagraph"/>
        <w:numPr>
          <w:ilvl w:val="0"/>
          <w:numId w:val="1"/>
        </w:numPr>
        <w:spacing w:line="360" w:lineRule="auto"/>
      </w:pPr>
      <w:r w:rsidRPr="00B27B9A">
        <w:t>Nuffield</w:t>
      </w:r>
      <w:r w:rsidR="00EB27DD" w:rsidRPr="00B27B9A">
        <w:t xml:space="preserve"> Council on Bioethics</w:t>
      </w:r>
      <w:r w:rsidR="00942F0C" w:rsidRPr="00B27B9A">
        <w:t>, 28 Bedford Square, London WC1B 3JS.</w:t>
      </w:r>
    </w:p>
    <w:p w:rsidR="00C70CD9" w:rsidRPr="00B27B9A" w:rsidRDefault="00942F0C" w:rsidP="00942F0C">
      <w:pPr>
        <w:pStyle w:val="ListParagraph"/>
        <w:numPr>
          <w:ilvl w:val="0"/>
          <w:numId w:val="1"/>
        </w:numPr>
        <w:spacing w:line="360" w:lineRule="auto"/>
      </w:pPr>
      <w:r w:rsidRPr="00B27B9A">
        <w:t>Department of Psychological Sciences, Institute of Psychology, Health and Society, University of Liverpool, Whelan Building, Liverpool, L69 3GB, UK.</w:t>
      </w:r>
    </w:p>
    <w:p w:rsidR="000D2AAA" w:rsidRPr="00B27B9A" w:rsidRDefault="00A34FCC" w:rsidP="00ED154D">
      <w:pPr>
        <w:pStyle w:val="ListParagraph"/>
        <w:numPr>
          <w:ilvl w:val="0"/>
          <w:numId w:val="1"/>
        </w:numPr>
        <w:spacing w:line="360" w:lineRule="auto"/>
      </w:pPr>
      <w:r w:rsidRPr="00B27B9A">
        <w:t>De</w:t>
      </w:r>
      <w:r w:rsidR="00942F0C" w:rsidRPr="00B27B9A">
        <w:t>partment</w:t>
      </w:r>
      <w:r w:rsidR="00EB27DD" w:rsidRPr="00B27B9A">
        <w:t xml:space="preserve"> of Clinical and Biomedical Ethics, Brighton and Sussex Medical School, University of Sussex BN1 9PX</w:t>
      </w:r>
      <w:r w:rsidR="00E94E8D" w:rsidRPr="00B27B9A">
        <w:t>.</w:t>
      </w:r>
    </w:p>
    <w:p w:rsidR="001E0BE7" w:rsidRPr="00B27B9A" w:rsidRDefault="001E0BE7" w:rsidP="00ED154D">
      <w:pPr>
        <w:spacing w:line="360" w:lineRule="auto"/>
      </w:pPr>
    </w:p>
    <w:p w:rsidR="001E0BE7" w:rsidRPr="00B27B9A" w:rsidRDefault="001E0BE7" w:rsidP="00ED154D">
      <w:pPr>
        <w:spacing w:line="360" w:lineRule="auto"/>
      </w:pPr>
      <w:r w:rsidRPr="00B27B9A">
        <w:t>Corresponding Author: Dr Helen Sammons:,</w:t>
      </w:r>
      <w:r w:rsidR="00942F0C" w:rsidRPr="00B27B9A">
        <w:t xml:space="preserve"> Associate Professor of Child Health,</w:t>
      </w:r>
      <w:r w:rsidRPr="00B27B9A">
        <w:t xml:space="preserve"> Division of Medical Sciences &amp; Graduate Entry Medicine, School of Medicine, University of Nottingham, Derbyshire Children’s Hospital, Derby, DE22 3DT, UK. Email: </w:t>
      </w:r>
      <w:hyperlink r:id="rId9" w:history="1">
        <w:r w:rsidRPr="00B27B9A">
          <w:rPr>
            <w:rStyle w:val="Hyperlink"/>
            <w:color w:val="auto"/>
          </w:rPr>
          <w:t>helen.sammons@nottingham.ac.uk</w:t>
        </w:r>
      </w:hyperlink>
      <w:r w:rsidRPr="00B27B9A">
        <w:t xml:space="preserve"> Tel: 01332724691</w:t>
      </w:r>
    </w:p>
    <w:p w:rsidR="001E0BE7" w:rsidRPr="00B27B9A" w:rsidRDefault="001E0BE7" w:rsidP="00ED154D">
      <w:pPr>
        <w:spacing w:line="360" w:lineRule="auto"/>
      </w:pPr>
    </w:p>
    <w:p w:rsidR="00C70CD9" w:rsidRPr="00B27B9A" w:rsidRDefault="00C70CD9" w:rsidP="00ED154D">
      <w:pPr>
        <w:spacing w:line="360" w:lineRule="auto"/>
      </w:pPr>
      <w:r w:rsidRPr="00B27B9A">
        <w:t xml:space="preserve">Key Words: Ethics, research, vulnerability, </w:t>
      </w:r>
      <w:r w:rsidR="000D2AAA" w:rsidRPr="00B27B9A">
        <w:t>assent.</w:t>
      </w:r>
    </w:p>
    <w:p w:rsidR="001E0BE7" w:rsidRPr="00B27B9A" w:rsidRDefault="00C70CD9" w:rsidP="00ED154D">
      <w:pPr>
        <w:spacing w:line="360" w:lineRule="auto"/>
      </w:pPr>
      <w:r w:rsidRPr="00B27B9A">
        <w:t>Word count:</w:t>
      </w:r>
      <w:r w:rsidR="00942F0C" w:rsidRPr="00B27B9A">
        <w:t xml:space="preserve"> </w:t>
      </w:r>
      <w:r w:rsidR="002452BE">
        <w:t>2482</w:t>
      </w:r>
      <w:bookmarkStart w:id="0" w:name="_GoBack"/>
      <w:bookmarkEnd w:id="0"/>
      <w:r w:rsidR="00176D78" w:rsidRPr="00B27B9A">
        <w:t xml:space="preserve"> </w:t>
      </w:r>
    </w:p>
    <w:p w:rsidR="001E0BE7" w:rsidRPr="00B27B9A" w:rsidRDefault="001E0BE7" w:rsidP="00ED154D">
      <w:pPr>
        <w:spacing w:line="360" w:lineRule="auto"/>
      </w:pPr>
    </w:p>
    <w:p w:rsidR="00C70CD9" w:rsidRPr="00B27B9A" w:rsidRDefault="00C70CD9" w:rsidP="00ED154D">
      <w:pPr>
        <w:spacing w:line="360" w:lineRule="auto"/>
      </w:pPr>
    </w:p>
    <w:p w:rsidR="00C70CD9" w:rsidRPr="00B27B9A" w:rsidRDefault="00C70CD9" w:rsidP="00ED154D">
      <w:pPr>
        <w:spacing w:line="360" w:lineRule="auto"/>
      </w:pPr>
    </w:p>
    <w:p w:rsidR="00C70CD9" w:rsidRPr="00B27B9A" w:rsidRDefault="00C70CD9" w:rsidP="00ED154D">
      <w:pPr>
        <w:spacing w:line="360" w:lineRule="auto"/>
      </w:pPr>
    </w:p>
    <w:p w:rsidR="000D2AAA" w:rsidRPr="00B27B9A" w:rsidRDefault="000D2AAA">
      <w:r w:rsidRPr="00B27B9A">
        <w:br w:type="page"/>
      </w:r>
    </w:p>
    <w:p w:rsidR="00901C91" w:rsidRPr="00B27B9A" w:rsidRDefault="00435AB8" w:rsidP="00ED154D">
      <w:pPr>
        <w:spacing w:line="360" w:lineRule="auto"/>
      </w:pPr>
      <w:r w:rsidRPr="00B27B9A">
        <w:lastRenderedPageBreak/>
        <w:t>R</w:t>
      </w:r>
      <w:r w:rsidR="007E38FB" w:rsidRPr="00B27B9A">
        <w:t xml:space="preserve">esearch </w:t>
      </w:r>
      <w:r w:rsidR="007E38FB" w:rsidRPr="00B27B9A">
        <w:rPr>
          <w:i/>
        </w:rPr>
        <w:t>with</w:t>
      </w:r>
      <w:r w:rsidR="007E38FB" w:rsidRPr="00B27B9A">
        <w:t xml:space="preserve"> children </w:t>
      </w:r>
      <w:r w:rsidR="00901C91" w:rsidRPr="00B27B9A">
        <w:t xml:space="preserve">and young people </w:t>
      </w:r>
      <w:r w:rsidR="002F1FFC" w:rsidRPr="00B27B9A">
        <w:t xml:space="preserve">– </w:t>
      </w:r>
      <w:r w:rsidR="00901C91" w:rsidRPr="00B27B9A">
        <w:t xml:space="preserve">not </w:t>
      </w:r>
      <w:r w:rsidR="00901C91" w:rsidRPr="00B27B9A">
        <w:rPr>
          <w:i/>
        </w:rPr>
        <w:t>on</w:t>
      </w:r>
      <w:r w:rsidR="00901C91" w:rsidRPr="00B27B9A">
        <w:t xml:space="preserve"> them</w:t>
      </w:r>
      <w:r w:rsidRPr="00B27B9A">
        <w:t xml:space="preserve"> </w:t>
      </w:r>
    </w:p>
    <w:p w:rsidR="005D11BF" w:rsidRPr="00B27B9A" w:rsidRDefault="00A0539A" w:rsidP="00ED154D">
      <w:pPr>
        <w:spacing w:line="360" w:lineRule="auto"/>
      </w:pPr>
      <w:r w:rsidRPr="00B27B9A">
        <w:t>"</w:t>
      </w:r>
      <w:r w:rsidR="00901C91" w:rsidRPr="00B27B9A">
        <w:t xml:space="preserve">It is not ethical </w:t>
      </w:r>
      <w:r w:rsidR="00435AB8" w:rsidRPr="00B27B9A">
        <w:t>to conduct</w:t>
      </w:r>
      <w:r w:rsidR="00901C91" w:rsidRPr="00B27B9A">
        <w:t xml:space="preserve"> research </w:t>
      </w:r>
      <w:r w:rsidR="001E0BE7" w:rsidRPr="00B27B9A">
        <w:t>on</w:t>
      </w:r>
      <w:r w:rsidR="00901C91" w:rsidRPr="00B27B9A">
        <w:t xml:space="preserve"> children.</w:t>
      </w:r>
      <w:r w:rsidRPr="00B27B9A">
        <w:t>"</w:t>
      </w:r>
      <w:r w:rsidR="00901C91" w:rsidRPr="00B27B9A">
        <w:t xml:space="preserve"> This </w:t>
      </w:r>
      <w:r w:rsidR="009E1F7A" w:rsidRPr="00B27B9A">
        <w:t xml:space="preserve">comment is typical of objections </w:t>
      </w:r>
      <w:r w:rsidR="00901C91" w:rsidRPr="00B27B9A">
        <w:t xml:space="preserve">in the past </w:t>
      </w:r>
      <w:r w:rsidR="009E1F7A" w:rsidRPr="00B27B9A">
        <w:t xml:space="preserve">to </w:t>
      </w:r>
      <w:r w:rsidR="00901C91" w:rsidRPr="00B27B9A">
        <w:t xml:space="preserve">studies </w:t>
      </w:r>
      <w:r w:rsidR="009E1F7A" w:rsidRPr="00B27B9A">
        <w:t>with children</w:t>
      </w:r>
      <w:r w:rsidR="00C05D4E" w:rsidRPr="00B27B9A">
        <w:t xml:space="preserve">. </w:t>
      </w:r>
      <w:r w:rsidR="00D355DB" w:rsidRPr="00B27B9A">
        <w:t xml:space="preserve">The continuing </w:t>
      </w:r>
      <w:r w:rsidR="00AF0C97" w:rsidRPr="00B27B9A">
        <w:t xml:space="preserve">legacy </w:t>
      </w:r>
      <w:r w:rsidR="00D355DB" w:rsidRPr="00B27B9A">
        <w:t xml:space="preserve">of this viewpoint is that today’s </w:t>
      </w:r>
      <w:r w:rsidR="00901C91" w:rsidRPr="00B27B9A">
        <w:t>evidence</w:t>
      </w:r>
      <w:r w:rsidR="00435AB8" w:rsidRPr="00B27B9A">
        <w:t xml:space="preserve"> base</w:t>
      </w:r>
      <w:r w:rsidR="00901C91" w:rsidRPr="00B27B9A">
        <w:t xml:space="preserve"> </w:t>
      </w:r>
      <w:r w:rsidR="00435AB8" w:rsidRPr="00B27B9A">
        <w:t>for</w:t>
      </w:r>
      <w:r w:rsidR="00C1522F" w:rsidRPr="00B27B9A">
        <w:t xml:space="preserve"> the care provided to</w:t>
      </w:r>
      <w:r w:rsidR="00435AB8" w:rsidRPr="00B27B9A">
        <w:t xml:space="preserve"> children</w:t>
      </w:r>
      <w:r w:rsidR="00901C91" w:rsidRPr="00B27B9A">
        <w:t xml:space="preserve"> </w:t>
      </w:r>
      <w:r w:rsidR="00910715" w:rsidRPr="00B27B9A">
        <w:t>is not as strong as it could be</w:t>
      </w:r>
      <w:r w:rsidR="00901C91" w:rsidRPr="00B27B9A">
        <w:t xml:space="preserve">. </w:t>
      </w:r>
      <w:r w:rsidR="00910715" w:rsidRPr="00B27B9A">
        <w:t>Thankfully</w:t>
      </w:r>
      <w:r w:rsidR="00D355DB" w:rsidRPr="00B27B9A">
        <w:t>,</w:t>
      </w:r>
      <w:r w:rsidR="00C05D4E" w:rsidRPr="00B27B9A">
        <w:t xml:space="preserve"> h</w:t>
      </w:r>
      <w:r w:rsidR="00C1522F" w:rsidRPr="00B27B9A">
        <w:t>owever, t</w:t>
      </w:r>
      <w:r w:rsidR="00901C91" w:rsidRPr="00B27B9A">
        <w:t>h</w:t>
      </w:r>
      <w:r w:rsidR="00C1522F" w:rsidRPr="00B27B9A">
        <w:t>is</w:t>
      </w:r>
      <w:r w:rsidR="00901C91" w:rsidRPr="00B27B9A">
        <w:t xml:space="preserve"> is </w:t>
      </w:r>
      <w:r w:rsidR="00435AB8" w:rsidRPr="00B27B9A">
        <w:t>now changing</w:t>
      </w:r>
      <w:r w:rsidR="00D355DB" w:rsidRPr="00B27B9A">
        <w:t xml:space="preserve">. We have learnt that, rather than protecting children and young people </w:t>
      </w:r>
      <w:r w:rsidR="00D355DB" w:rsidRPr="00B27B9A">
        <w:rPr>
          <w:i/>
        </w:rPr>
        <w:t>from</w:t>
      </w:r>
      <w:r w:rsidR="00D355DB" w:rsidRPr="00B27B9A">
        <w:t xml:space="preserve"> research, we need to protect them </w:t>
      </w:r>
      <w:r w:rsidR="00D355DB" w:rsidRPr="00B27B9A">
        <w:rPr>
          <w:i/>
        </w:rPr>
        <w:t>through</w:t>
      </w:r>
      <w:r w:rsidR="00D355DB" w:rsidRPr="00B27B9A">
        <w:t xml:space="preserve"> research and there is now a strong </w:t>
      </w:r>
      <w:r w:rsidR="00C1522F" w:rsidRPr="00B27B9A">
        <w:t xml:space="preserve">recognition of the need </w:t>
      </w:r>
      <w:r w:rsidR="00D355DB" w:rsidRPr="00B27B9A">
        <w:t xml:space="preserve">for </w:t>
      </w:r>
      <w:r w:rsidR="00901C91" w:rsidRPr="00B27B9A">
        <w:t>ethically and scientifically robust ways to conduct relevant clinical research</w:t>
      </w:r>
      <w:r w:rsidR="00D355DB" w:rsidRPr="00B27B9A">
        <w:t xml:space="preserve"> with children</w:t>
      </w:r>
      <w:r w:rsidR="00901C91" w:rsidRPr="00B27B9A">
        <w:t>.</w:t>
      </w:r>
      <w:r w:rsidR="00C71780" w:rsidRPr="00B27B9A">
        <w:t xml:space="preserve"> [1]</w:t>
      </w:r>
      <w:r w:rsidR="00435AB8" w:rsidRPr="00B27B9A">
        <w:t xml:space="preserve"> The recent Nuffield Council on Bioethics </w:t>
      </w:r>
      <w:r w:rsidR="00C875BF" w:rsidRPr="00B27B9A">
        <w:t xml:space="preserve">report </w:t>
      </w:r>
      <w:r w:rsidRPr="00B27B9A">
        <w:rPr>
          <w:i/>
          <w:iCs/>
        </w:rPr>
        <w:t>C</w:t>
      </w:r>
      <w:r w:rsidR="00435AB8" w:rsidRPr="00B27B9A">
        <w:rPr>
          <w:i/>
          <w:iCs/>
        </w:rPr>
        <w:t xml:space="preserve">hildren and clinical research: </w:t>
      </w:r>
      <w:proofErr w:type="gramStart"/>
      <w:r w:rsidR="00435AB8" w:rsidRPr="00B27B9A">
        <w:rPr>
          <w:i/>
          <w:iCs/>
        </w:rPr>
        <w:t>ethical issues</w:t>
      </w:r>
      <w:r w:rsidR="00435AB8" w:rsidRPr="00B27B9A">
        <w:t xml:space="preserve"> </w:t>
      </w:r>
      <w:r w:rsidR="00AF2810" w:rsidRPr="00B27B9A">
        <w:t>is</w:t>
      </w:r>
      <w:proofErr w:type="gramEnd"/>
      <w:r w:rsidR="00435AB8" w:rsidRPr="00B27B9A">
        <w:t xml:space="preserve"> help</w:t>
      </w:r>
      <w:r w:rsidR="00AF2810" w:rsidRPr="00B27B9A">
        <w:t>ing</w:t>
      </w:r>
      <w:r w:rsidR="00435AB8" w:rsidRPr="00B27B9A">
        <w:t xml:space="preserve"> </w:t>
      </w:r>
      <w:r w:rsidR="00AF2810" w:rsidRPr="00B27B9A">
        <w:t xml:space="preserve">the </w:t>
      </w:r>
      <w:r w:rsidR="00435AB8" w:rsidRPr="00B27B9A">
        <w:t>continued evolution of this thinking</w:t>
      </w:r>
      <w:r w:rsidR="00C70CD9" w:rsidRPr="00B27B9A">
        <w:t>.</w:t>
      </w:r>
      <w:r w:rsidR="00F45AC2" w:rsidRPr="00B27B9A">
        <w:t xml:space="preserve"> </w:t>
      </w:r>
      <w:r w:rsidR="00C71780" w:rsidRPr="00B27B9A">
        <w:t>[2</w:t>
      </w:r>
      <w:r w:rsidR="00C70CD9" w:rsidRPr="00B27B9A">
        <w:t>]</w:t>
      </w:r>
      <w:r w:rsidR="007A5776" w:rsidRPr="00B27B9A">
        <w:t xml:space="preserve"> This article summarise</w:t>
      </w:r>
      <w:r w:rsidR="00AB5997" w:rsidRPr="00B27B9A">
        <w:t xml:space="preserve">s some of its main findings and </w:t>
      </w:r>
      <w:r w:rsidR="007A5776" w:rsidRPr="00B27B9A">
        <w:t>recommendations.</w:t>
      </w:r>
    </w:p>
    <w:p w:rsidR="007A5776" w:rsidRPr="00B27B9A" w:rsidRDefault="007A5776" w:rsidP="007A5776">
      <w:pPr>
        <w:spacing w:line="360" w:lineRule="auto"/>
      </w:pPr>
      <w:r w:rsidRPr="00B27B9A">
        <w:t>The report examined the question: how can we ethically undertake the research needed to ensure their healthcare services are safe and effective, given that research often involves burdens and risks? Moreover, what role should children, young people and parents themselves play in influencing how research studies are carried out, and how can their voices help influence the wider research agenda?</w:t>
      </w:r>
      <w:r w:rsidR="002379D5" w:rsidRPr="00B27B9A">
        <w:t xml:space="preserve"> There were</w:t>
      </w:r>
      <w:r w:rsidR="00A34FCC" w:rsidRPr="00B27B9A">
        <w:t xml:space="preserve"> 19 key recommendations</w:t>
      </w:r>
      <w:r w:rsidR="002379D5" w:rsidRPr="00B27B9A">
        <w:t xml:space="preserve"> (</w:t>
      </w:r>
      <w:r w:rsidR="00336856">
        <w:t xml:space="preserve">Summary- </w:t>
      </w:r>
      <w:r w:rsidR="002379D5" w:rsidRPr="00B27B9A">
        <w:t>http://nuffieldbioethics.org/wp-content/uploads/Children-and-clinical-research-key-recommendations.pdf)</w:t>
      </w:r>
      <w:r w:rsidR="00336856">
        <w:t>.</w:t>
      </w:r>
      <w:r w:rsidRPr="00B27B9A">
        <w:t xml:space="preserve"> The Nuffield Council on Bioethics explored these issues through an expert Working Party, supported by a stakeholder group involving young people and parents. Throughout the project, input was sought widely from young people, parents and professionals concerned with clinical research, in the UK and beyond. Views and experiences were sought through web-based surveys, an open ‘call for evidence’ and face-to-face meetings; through school projects in the UK and Kenya; and through networks of research professionals. While the focus of the report, and its concrete recommendations, are targeted primarily on the UK, they sought to ensure that the ethical analysis and conceptual recommendations had as wide a resonance as possible. </w:t>
      </w:r>
    </w:p>
    <w:p w:rsidR="007A5776" w:rsidRPr="00B27B9A" w:rsidRDefault="007A5776" w:rsidP="00ED154D">
      <w:pPr>
        <w:spacing w:line="360" w:lineRule="auto"/>
        <w:rPr>
          <w:u w:val="single"/>
        </w:rPr>
      </w:pPr>
      <w:r w:rsidRPr="00B27B9A">
        <w:rPr>
          <w:u w:val="single"/>
        </w:rPr>
        <w:t>Clinical Research</w:t>
      </w:r>
      <w:r w:rsidR="00AF7161" w:rsidRPr="00B27B9A">
        <w:rPr>
          <w:u w:val="single"/>
        </w:rPr>
        <w:t xml:space="preserve"> and its context</w:t>
      </w:r>
    </w:p>
    <w:p w:rsidR="00AF7161" w:rsidRPr="00B27B9A" w:rsidRDefault="007A5776" w:rsidP="00ED154D">
      <w:pPr>
        <w:spacing w:line="360" w:lineRule="auto"/>
      </w:pPr>
      <w:r w:rsidRPr="00B27B9A">
        <w:t>In determining the scope of the report, what constitutes ‘clinical research’ was considered as any form of research encounter with children and young people that holds out the prospect of improving healthcare, including preventative healthcare, in the future. Therefore c</w:t>
      </w:r>
      <w:r w:rsidR="00435AB8" w:rsidRPr="00B27B9A">
        <w:t xml:space="preserve">linical research covers a </w:t>
      </w:r>
      <w:r w:rsidR="00C875BF" w:rsidRPr="00B27B9A">
        <w:t>wide range of potential</w:t>
      </w:r>
      <w:r w:rsidR="00435AB8" w:rsidRPr="00B27B9A">
        <w:t xml:space="preserve"> activities, with widely differing potential burdens and benefits for participants and their families</w:t>
      </w:r>
      <w:r w:rsidR="00C875BF" w:rsidRPr="00B27B9A">
        <w:t>. The context in which the research</w:t>
      </w:r>
      <w:r w:rsidR="00435AB8" w:rsidRPr="00B27B9A">
        <w:t xml:space="preserve"> takes place can create different ethical challenges. </w:t>
      </w:r>
      <w:r w:rsidR="00C875BF" w:rsidRPr="00B27B9A">
        <w:t xml:space="preserve">To just think about ‘children’ </w:t>
      </w:r>
      <w:r w:rsidR="00DD38E3" w:rsidRPr="00B27B9A">
        <w:t>as a homogenous group</w:t>
      </w:r>
      <w:r w:rsidR="00AF7161" w:rsidRPr="00B27B9A">
        <w:t>, as the law and some research regulation can do,</w:t>
      </w:r>
      <w:r w:rsidR="00DD38E3" w:rsidRPr="00B27B9A">
        <w:t xml:space="preserve"> </w:t>
      </w:r>
      <w:r w:rsidR="00AF2810" w:rsidRPr="00B27B9A">
        <w:t xml:space="preserve">is </w:t>
      </w:r>
      <w:r w:rsidR="00C875BF" w:rsidRPr="00B27B9A">
        <w:t xml:space="preserve">not always helpful.  From newborn babies through to young people on </w:t>
      </w:r>
      <w:r w:rsidR="00C875BF" w:rsidRPr="00B27B9A">
        <w:lastRenderedPageBreak/>
        <w:t>the verge of adulthood, they will have vastly different experiences</w:t>
      </w:r>
      <w:r w:rsidR="00392E67" w:rsidRPr="00B27B9A">
        <w:t>, capacities</w:t>
      </w:r>
      <w:r w:rsidR="00C875BF" w:rsidRPr="00B27B9A">
        <w:t xml:space="preserve"> and roles with respect to decision making. Families themselves can also be very different, </w:t>
      </w:r>
      <w:r w:rsidR="005136B2" w:rsidRPr="00B27B9A">
        <w:t>including</w:t>
      </w:r>
      <w:r w:rsidR="00C34F15" w:rsidRPr="00B27B9A">
        <w:t xml:space="preserve"> in </w:t>
      </w:r>
      <w:r w:rsidR="00C875BF" w:rsidRPr="00B27B9A">
        <w:t>th</w:t>
      </w:r>
      <w:r w:rsidR="00C34F15" w:rsidRPr="00B27B9A">
        <w:t>eir size, form, parenting style</w:t>
      </w:r>
      <w:r w:rsidR="00C875BF" w:rsidRPr="00B27B9A">
        <w:t xml:space="preserve">, health status, </w:t>
      </w:r>
      <w:proofErr w:type="gramStart"/>
      <w:r w:rsidR="00C875BF" w:rsidRPr="00B27B9A">
        <w:t>social</w:t>
      </w:r>
      <w:proofErr w:type="gramEnd"/>
      <w:r w:rsidR="00C875BF" w:rsidRPr="00B27B9A">
        <w:t xml:space="preserve"> and economic situation, educational </w:t>
      </w:r>
      <w:r w:rsidR="00A0539A" w:rsidRPr="00B27B9A">
        <w:t xml:space="preserve">opportunities, </w:t>
      </w:r>
      <w:r w:rsidR="00C875BF" w:rsidRPr="00B27B9A">
        <w:t xml:space="preserve">and intellectual </w:t>
      </w:r>
      <w:r w:rsidR="00DD4733" w:rsidRPr="00B27B9A">
        <w:t>capacities</w:t>
      </w:r>
      <w:r w:rsidR="00C34F15" w:rsidRPr="00B27B9A">
        <w:t>.</w:t>
      </w:r>
    </w:p>
    <w:p w:rsidR="00ED154D" w:rsidRPr="00B27B9A" w:rsidRDefault="00AF7161" w:rsidP="00ED154D">
      <w:pPr>
        <w:spacing w:line="360" w:lineRule="auto"/>
      </w:pPr>
      <w:r w:rsidRPr="00B27B9A">
        <w:t>Some examples of this are</w:t>
      </w:r>
      <w:r w:rsidR="00AB5997" w:rsidRPr="00B27B9A">
        <w:t>:</w:t>
      </w:r>
      <w:r w:rsidRPr="00B27B9A">
        <w:t xml:space="preserve"> a 3 year old whose parents wish her to take part in a vaccine trial; a 7 year old with cancer whose treatment potentially includes research elements; a 10 year old with asthma taking part in research about his experiences of healthcare; a 14 year old taking part in research about health-related behaviours, that she might not wish her parents to know about.  The report highlights that it is not just about age, the child’s state of health, parenting style &amp; child’s consequent experience of independent decision-making, family attitudes to professionals and healthcare, to name but a few</w:t>
      </w:r>
      <w:r w:rsidR="0071611F" w:rsidRPr="00B27B9A">
        <w:t>,</w:t>
      </w:r>
      <w:r w:rsidRPr="00B27B9A">
        <w:t xml:space="preserve"> will all influence how these children &amp; families respond to an invitation to take part in research</w:t>
      </w:r>
      <w:r w:rsidR="00C875BF" w:rsidRPr="00B27B9A">
        <w:t xml:space="preserve"> All of these factors need to be considered from the beginning when planning a research study</w:t>
      </w:r>
      <w:r w:rsidR="00280E0A" w:rsidRPr="00B27B9A">
        <w:t>,</w:t>
      </w:r>
      <w:r w:rsidR="00217B0F" w:rsidRPr="00B27B9A">
        <w:t xml:space="preserve"> then</w:t>
      </w:r>
      <w:r w:rsidR="00280E0A" w:rsidRPr="00B27B9A">
        <w:t xml:space="preserve"> writing a</w:t>
      </w:r>
      <w:r w:rsidR="00C875BF" w:rsidRPr="00B27B9A">
        <w:t xml:space="preserve"> </w:t>
      </w:r>
      <w:r w:rsidR="00392E67" w:rsidRPr="00B27B9A">
        <w:t xml:space="preserve">protocol, recruiting to a study and </w:t>
      </w:r>
      <w:r w:rsidR="00280E0A" w:rsidRPr="00B27B9A">
        <w:t>through to</w:t>
      </w:r>
      <w:r w:rsidR="00217B0F" w:rsidRPr="00B27B9A">
        <w:t xml:space="preserve"> the present</w:t>
      </w:r>
      <w:r w:rsidR="00A0539A" w:rsidRPr="00B27B9A">
        <w:t>at</w:t>
      </w:r>
      <w:r w:rsidR="00217B0F" w:rsidRPr="00B27B9A">
        <w:t>ion of</w:t>
      </w:r>
      <w:r w:rsidR="00C875BF" w:rsidRPr="00B27B9A">
        <w:t xml:space="preserve"> that research to the </w:t>
      </w:r>
      <w:r w:rsidR="00280E0A" w:rsidRPr="00B27B9A">
        <w:t xml:space="preserve">potential </w:t>
      </w:r>
      <w:r w:rsidR="00C875BF" w:rsidRPr="00B27B9A">
        <w:t xml:space="preserve">participants. </w:t>
      </w:r>
    </w:p>
    <w:p w:rsidR="009D6D8D" w:rsidRPr="00B27B9A" w:rsidRDefault="009D6D8D" w:rsidP="00ED154D">
      <w:pPr>
        <w:spacing w:line="360" w:lineRule="auto"/>
      </w:pPr>
    </w:p>
    <w:p w:rsidR="0071611F" w:rsidRPr="00B27B9A" w:rsidRDefault="003A36E5" w:rsidP="00ED154D">
      <w:pPr>
        <w:spacing w:line="360" w:lineRule="auto"/>
        <w:rPr>
          <w:u w:val="single"/>
        </w:rPr>
      </w:pPr>
      <w:r w:rsidRPr="00B27B9A">
        <w:rPr>
          <w:u w:val="single"/>
        </w:rPr>
        <w:t>What is ethically different about children?</w:t>
      </w:r>
      <w:r w:rsidR="00A0539A" w:rsidRPr="00B27B9A">
        <w:rPr>
          <w:u w:val="single"/>
        </w:rPr>
        <w:t xml:space="preserve"> </w:t>
      </w:r>
    </w:p>
    <w:p w:rsidR="005D11BF" w:rsidRPr="00B27B9A" w:rsidRDefault="00A0539A" w:rsidP="00ED154D">
      <w:pPr>
        <w:spacing w:line="360" w:lineRule="auto"/>
      </w:pPr>
      <w:r w:rsidRPr="00B27B9A">
        <w:t xml:space="preserve">The Nuffield report identified two </w:t>
      </w:r>
      <w:r w:rsidR="00C57C92" w:rsidRPr="00B27B9A">
        <w:t>important</w:t>
      </w:r>
      <w:r w:rsidRPr="00B27B9A">
        <w:t xml:space="preserve"> features which</w:t>
      </w:r>
      <w:r w:rsidR="00347439" w:rsidRPr="00B27B9A">
        <w:t xml:space="preserve"> are significant</w:t>
      </w:r>
      <w:r w:rsidR="00C57C92" w:rsidRPr="00B27B9A">
        <w:t xml:space="preserve"> in developing an ethical approach to research with children</w:t>
      </w:r>
      <w:r w:rsidR="00347439" w:rsidRPr="00B27B9A">
        <w:t xml:space="preserve">: </w:t>
      </w:r>
      <w:r w:rsidR="00C57C92" w:rsidRPr="00B27B9A">
        <w:t>the</w:t>
      </w:r>
      <w:r w:rsidR="00347439" w:rsidRPr="00B27B9A">
        <w:t xml:space="preserve"> developmental nature</w:t>
      </w:r>
      <w:r w:rsidR="00C57C92" w:rsidRPr="00B27B9A">
        <w:t xml:space="preserve"> of childhood</w:t>
      </w:r>
      <w:r w:rsidR="00347439" w:rsidRPr="00B27B9A">
        <w:t>, from complete dependence</w:t>
      </w:r>
      <w:r w:rsidR="005136B2" w:rsidRPr="00B27B9A">
        <w:t xml:space="preserve"> at birth</w:t>
      </w:r>
      <w:r w:rsidR="00347439" w:rsidRPr="00B27B9A">
        <w:t xml:space="preserve"> to </w:t>
      </w:r>
      <w:r w:rsidR="00392E67" w:rsidRPr="00B27B9A">
        <w:t xml:space="preserve">the growing independence of </w:t>
      </w:r>
      <w:r w:rsidR="00347439" w:rsidRPr="00B27B9A">
        <w:t>young adulthood</w:t>
      </w:r>
      <w:r w:rsidR="00C1522F" w:rsidRPr="00B27B9A">
        <w:t>;</w:t>
      </w:r>
      <w:r w:rsidR="00347439" w:rsidRPr="00B27B9A">
        <w:t xml:space="preserve"> and the role of parents and wider family in nurturing, sustaining and shaping that development. </w:t>
      </w:r>
      <w:r w:rsidR="00217B0F" w:rsidRPr="00B27B9A">
        <w:t xml:space="preserve"> The report usefully created</w:t>
      </w:r>
      <w:r w:rsidR="003A36E5" w:rsidRPr="00B27B9A">
        <w:t xml:space="preserve"> three paradigm cases</w:t>
      </w:r>
      <w:r w:rsidR="00C1522F" w:rsidRPr="00B27B9A">
        <w:t xml:space="preserve"> or scenarios, in which a child's or young person's potential for input into a decision about research</w:t>
      </w:r>
      <w:r w:rsidR="00C57C92" w:rsidRPr="00B27B9A">
        <w:t>, and the corresponding role of their parents,</w:t>
      </w:r>
      <w:r w:rsidR="00C1522F" w:rsidRPr="00B27B9A">
        <w:t xml:space="preserve"> raises distinct ethical questions</w:t>
      </w:r>
      <w:r w:rsidR="003A36E5" w:rsidRPr="00B27B9A">
        <w:t xml:space="preserve"> (figure 1). All children at the </w:t>
      </w:r>
      <w:r w:rsidR="002F3161" w:rsidRPr="00B27B9A">
        <w:t>beginning of</w:t>
      </w:r>
      <w:r w:rsidR="003A36E5" w:rsidRPr="00B27B9A">
        <w:t xml:space="preserve"> their lives will fall into Case one, and most (although not all) will progress over time though Case two to Case three. This progression is not</w:t>
      </w:r>
      <w:r w:rsidRPr="00B27B9A">
        <w:t xml:space="preserve"> simply</w:t>
      </w:r>
      <w:r w:rsidR="003A36E5" w:rsidRPr="00B27B9A">
        <w:t xml:space="preserve"> linear</w:t>
      </w:r>
      <w:r w:rsidRPr="00B27B9A">
        <w:t>, however,</w:t>
      </w:r>
      <w:r w:rsidR="003A36E5" w:rsidRPr="00B27B9A">
        <w:t xml:space="preserve"> and will also be dependent on the na</w:t>
      </w:r>
      <w:r w:rsidR="002F3161" w:rsidRPr="00B27B9A">
        <w:t>t</w:t>
      </w:r>
      <w:r w:rsidR="003A36E5" w:rsidRPr="00B27B9A">
        <w:t>ure of the research deci</w:t>
      </w:r>
      <w:r w:rsidR="002F3161" w:rsidRPr="00B27B9A">
        <w:t>si</w:t>
      </w:r>
      <w:r w:rsidR="003A36E5" w:rsidRPr="00B27B9A">
        <w:t xml:space="preserve">ons </w:t>
      </w:r>
      <w:r w:rsidR="00392E67" w:rsidRPr="00B27B9A">
        <w:t xml:space="preserve">against the background of </w:t>
      </w:r>
      <w:r w:rsidR="002F3161" w:rsidRPr="00B27B9A">
        <w:t>the emotional, physical and m</w:t>
      </w:r>
      <w:r w:rsidR="003A36E5" w:rsidRPr="00B27B9A">
        <w:t xml:space="preserve">ental health of the </w:t>
      </w:r>
      <w:r w:rsidR="002F3161" w:rsidRPr="00B27B9A">
        <w:t>child or young person</w:t>
      </w:r>
      <w:r w:rsidR="007D34AD" w:rsidRPr="00B27B9A">
        <w:t xml:space="preserve"> at the time</w:t>
      </w:r>
      <w:r w:rsidR="002F3161" w:rsidRPr="00B27B9A">
        <w:t xml:space="preserve">. It is important to ask which case is applicable for </w:t>
      </w:r>
      <w:r w:rsidR="002F3161" w:rsidRPr="00B27B9A">
        <w:rPr>
          <w:i/>
          <w:iCs/>
        </w:rPr>
        <w:t>this</w:t>
      </w:r>
      <w:r w:rsidR="002F3161" w:rsidRPr="00B27B9A">
        <w:t xml:space="preserve"> child and young person for </w:t>
      </w:r>
      <w:r w:rsidR="002F3161" w:rsidRPr="00B27B9A">
        <w:rPr>
          <w:i/>
          <w:iCs/>
        </w:rPr>
        <w:t>this</w:t>
      </w:r>
      <w:r w:rsidR="002F3161" w:rsidRPr="00B27B9A">
        <w:t xml:space="preserve"> decision. For example a 12 year old may be </w:t>
      </w:r>
      <w:r w:rsidR="007D34AD" w:rsidRPr="00B27B9A">
        <w:t xml:space="preserve">in </w:t>
      </w:r>
      <w:r w:rsidR="002F3161" w:rsidRPr="00B27B9A">
        <w:t>Case 2 for some decisions and Case 3 for others</w:t>
      </w:r>
      <w:r w:rsidR="00E17CF7" w:rsidRPr="00B27B9A">
        <w:t>, while</w:t>
      </w:r>
      <w:r w:rsidR="002F3161" w:rsidRPr="00B27B9A">
        <w:t xml:space="preserve"> a</w:t>
      </w:r>
      <w:r w:rsidR="00217B0F" w:rsidRPr="00B27B9A">
        <w:t xml:space="preserve"> very ill 16 year old might be </w:t>
      </w:r>
      <w:r w:rsidR="007D34AD" w:rsidRPr="00B27B9A">
        <w:t xml:space="preserve">in </w:t>
      </w:r>
      <w:r w:rsidR="00217B0F" w:rsidRPr="00B27B9A">
        <w:t>C</w:t>
      </w:r>
      <w:r w:rsidR="002F3161" w:rsidRPr="00B27B9A">
        <w:t xml:space="preserve">ase 2 </w:t>
      </w:r>
      <w:r w:rsidR="00E17CF7" w:rsidRPr="00B27B9A">
        <w:t xml:space="preserve">or even Case 1, </w:t>
      </w:r>
      <w:r w:rsidR="002F3161" w:rsidRPr="00B27B9A">
        <w:t xml:space="preserve">when they would usually be </w:t>
      </w:r>
      <w:r w:rsidR="007D34AD" w:rsidRPr="00B27B9A">
        <w:t xml:space="preserve">in </w:t>
      </w:r>
      <w:r w:rsidR="002F3161" w:rsidRPr="00B27B9A">
        <w:t>Case 3. These Cases overall are helpful in giving researchers a framework in which to consider their protocols</w:t>
      </w:r>
      <w:r w:rsidR="005136B2" w:rsidRPr="00B27B9A">
        <w:t xml:space="preserve">, </w:t>
      </w:r>
      <w:r w:rsidR="00392E67" w:rsidRPr="00B27B9A">
        <w:t xml:space="preserve">and even more importantly </w:t>
      </w:r>
      <w:r w:rsidR="005A6BB8" w:rsidRPr="00B27B9A">
        <w:t xml:space="preserve">the potential impact of study design on </w:t>
      </w:r>
      <w:r w:rsidR="00392E67" w:rsidRPr="00B27B9A">
        <w:t xml:space="preserve">particular </w:t>
      </w:r>
      <w:r w:rsidR="005A6BB8" w:rsidRPr="00B27B9A">
        <w:t xml:space="preserve">participants, </w:t>
      </w:r>
      <w:r w:rsidR="005136B2" w:rsidRPr="00B27B9A">
        <w:t>and their communication strategies with children and families</w:t>
      </w:r>
      <w:r w:rsidR="002F3161" w:rsidRPr="00B27B9A">
        <w:t>.</w:t>
      </w:r>
    </w:p>
    <w:p w:rsidR="009D6D8D" w:rsidRPr="00B27B9A" w:rsidRDefault="009D6D8D" w:rsidP="00ED154D">
      <w:pPr>
        <w:spacing w:line="360" w:lineRule="auto"/>
      </w:pPr>
    </w:p>
    <w:p w:rsidR="0071611F" w:rsidRPr="00B27B9A" w:rsidRDefault="0071611F" w:rsidP="00ED154D">
      <w:pPr>
        <w:spacing w:line="360" w:lineRule="auto"/>
      </w:pPr>
    </w:p>
    <w:p w:rsidR="0071611F" w:rsidRPr="00B27B9A" w:rsidRDefault="0071611F" w:rsidP="00ED154D">
      <w:pPr>
        <w:spacing w:line="360" w:lineRule="auto"/>
        <w:rPr>
          <w:u w:val="single"/>
        </w:rPr>
      </w:pPr>
      <w:proofErr w:type="gramStart"/>
      <w:r w:rsidRPr="00B27B9A">
        <w:rPr>
          <w:u w:val="single"/>
        </w:rPr>
        <w:t>The Vulnerability of Children.</w:t>
      </w:r>
      <w:proofErr w:type="gramEnd"/>
    </w:p>
    <w:p w:rsidR="00236CC1" w:rsidRPr="00B27B9A" w:rsidRDefault="00A52005" w:rsidP="00ED154D">
      <w:pPr>
        <w:spacing w:line="360" w:lineRule="auto"/>
      </w:pPr>
      <w:r w:rsidRPr="00B27B9A">
        <w:t>Another reason for the historical caution with regards to paediatric research is that m</w:t>
      </w:r>
      <w:r w:rsidR="00304CBD" w:rsidRPr="00B27B9A">
        <w:t>uch of the regulation of clinical research involving children, from international ethical declarations to national law</w:t>
      </w:r>
      <w:r w:rsidR="00921BBF" w:rsidRPr="00B27B9A">
        <w:t>,</w:t>
      </w:r>
      <w:r w:rsidR="00304CBD" w:rsidRPr="00B27B9A">
        <w:t xml:space="preserve"> </w:t>
      </w:r>
      <w:r w:rsidRPr="00B27B9A">
        <w:t xml:space="preserve">presents </w:t>
      </w:r>
      <w:r w:rsidR="00304CBD" w:rsidRPr="00B27B9A">
        <w:t xml:space="preserve">children </w:t>
      </w:r>
      <w:r w:rsidR="00C05D4E" w:rsidRPr="00B27B9A">
        <w:t>as</w:t>
      </w:r>
      <w:r w:rsidR="00ED154D" w:rsidRPr="00B27B9A">
        <w:t xml:space="preserve"> inherently vulnerable</w:t>
      </w:r>
      <w:r w:rsidR="00304CBD" w:rsidRPr="00B27B9A">
        <w:t>.</w:t>
      </w:r>
      <w:r w:rsidR="00C71780" w:rsidRPr="00B27B9A">
        <w:t xml:space="preserve"> [3</w:t>
      </w:r>
      <w:r w:rsidR="00ED154D" w:rsidRPr="00B27B9A">
        <w:t>]</w:t>
      </w:r>
      <w:r w:rsidR="00304CBD" w:rsidRPr="00B27B9A">
        <w:t xml:space="preserve"> This was strongly challenged during the </w:t>
      </w:r>
      <w:r w:rsidRPr="00B27B9A">
        <w:t xml:space="preserve">development </w:t>
      </w:r>
      <w:r w:rsidR="00304CBD" w:rsidRPr="00B27B9A">
        <w:t>of the</w:t>
      </w:r>
      <w:r w:rsidR="00217B0F" w:rsidRPr="00B27B9A">
        <w:t xml:space="preserve"> Nuffield</w:t>
      </w:r>
      <w:r w:rsidR="00304CBD" w:rsidRPr="00B27B9A">
        <w:t xml:space="preserve"> </w:t>
      </w:r>
      <w:r w:rsidR="002F3161" w:rsidRPr="00B27B9A">
        <w:t>report</w:t>
      </w:r>
      <w:r w:rsidR="00C57C92" w:rsidRPr="00B27B9A">
        <w:t>, particularly by children and young people themselves</w:t>
      </w:r>
      <w:r w:rsidR="002F3161" w:rsidRPr="00B27B9A">
        <w:t xml:space="preserve">. </w:t>
      </w:r>
      <w:r w:rsidR="00921BBF" w:rsidRPr="00B27B9A">
        <w:t>It was highlighted that</w:t>
      </w:r>
      <w:r w:rsidR="00347439" w:rsidRPr="00B27B9A">
        <w:t xml:space="preserve"> an unthinking response to</w:t>
      </w:r>
      <w:r w:rsidR="00921BBF" w:rsidRPr="00B27B9A">
        <w:t xml:space="preserve"> perceived or actual vulnerability may exclude</w:t>
      </w:r>
      <w:r w:rsidR="00E17CF7" w:rsidRPr="00B27B9A">
        <w:t xml:space="preserve"> children from</w:t>
      </w:r>
      <w:r w:rsidR="00C57C92" w:rsidRPr="00B27B9A">
        <w:t xml:space="preserve"> </w:t>
      </w:r>
      <w:r w:rsidR="00921BBF" w:rsidRPr="00B27B9A">
        <w:t>opportunities to participate</w:t>
      </w:r>
      <w:r w:rsidR="005A6BB8" w:rsidRPr="00B27B9A">
        <w:t>,</w:t>
      </w:r>
      <w:r w:rsidR="00921BBF" w:rsidRPr="00B27B9A">
        <w:t xml:space="preserve"> and prevent valuable research taking place. </w:t>
      </w:r>
      <w:r w:rsidR="00C57C92" w:rsidRPr="00B27B9A">
        <w:t xml:space="preserve">Instead of treating concerns </w:t>
      </w:r>
      <w:r w:rsidR="00347439" w:rsidRPr="00B27B9A">
        <w:t>about potential</w:t>
      </w:r>
      <w:r w:rsidR="00921BBF" w:rsidRPr="00B27B9A">
        <w:t xml:space="preserve"> vulnerability</w:t>
      </w:r>
      <w:r w:rsidR="00C57C92" w:rsidRPr="00B27B9A">
        <w:t xml:space="preserve"> as an automatic brake on research, a better response</w:t>
      </w:r>
      <w:r w:rsidR="00921BBF" w:rsidRPr="00B27B9A">
        <w:t xml:space="preserve"> would be</w:t>
      </w:r>
      <w:r w:rsidR="00347439" w:rsidRPr="00B27B9A">
        <w:t xml:space="preserve"> to treat </w:t>
      </w:r>
      <w:r w:rsidR="00E17CF7" w:rsidRPr="00B27B9A">
        <w:t>such concerns</w:t>
      </w:r>
      <w:r w:rsidR="00921BBF" w:rsidRPr="00B27B9A">
        <w:t xml:space="preserve"> as an </w:t>
      </w:r>
      <w:r w:rsidR="00921BBF" w:rsidRPr="00B27B9A">
        <w:rPr>
          <w:i/>
        </w:rPr>
        <w:t>alert</w:t>
      </w:r>
      <w:r w:rsidR="00921BBF" w:rsidRPr="00B27B9A">
        <w:t>,</w:t>
      </w:r>
      <w:r w:rsidR="005A6BB8" w:rsidRPr="00B27B9A">
        <w:t xml:space="preserve"> and</w:t>
      </w:r>
      <w:r w:rsidR="00921BBF" w:rsidRPr="00B27B9A">
        <w:t xml:space="preserve"> to </w:t>
      </w:r>
      <w:r w:rsidR="005A6BB8" w:rsidRPr="00B27B9A">
        <w:t xml:space="preserve">ask </w:t>
      </w:r>
      <w:r w:rsidR="00921BBF" w:rsidRPr="00B27B9A">
        <w:t>the question</w:t>
      </w:r>
      <w:r w:rsidR="00347439" w:rsidRPr="00B27B9A">
        <w:t>:</w:t>
      </w:r>
      <w:r w:rsidR="00921BBF" w:rsidRPr="00B27B9A">
        <w:t xml:space="preserve"> </w:t>
      </w:r>
      <w:r w:rsidR="00347439" w:rsidRPr="00B27B9A">
        <w:t>"D</w:t>
      </w:r>
      <w:r w:rsidR="00921BBF" w:rsidRPr="00B27B9A">
        <w:t xml:space="preserve">oes this research raise particular ethical challenges </w:t>
      </w:r>
      <w:r w:rsidR="00620EAB" w:rsidRPr="00B27B9A">
        <w:t xml:space="preserve">for children and young people, </w:t>
      </w:r>
      <w:r w:rsidR="00921BBF" w:rsidRPr="00B27B9A">
        <w:t xml:space="preserve">and </w:t>
      </w:r>
      <w:r w:rsidR="00620EAB" w:rsidRPr="00B27B9A">
        <w:t xml:space="preserve">if so, </w:t>
      </w:r>
      <w:r w:rsidR="00921BBF" w:rsidRPr="00B27B9A">
        <w:t>what can I do about them?</w:t>
      </w:r>
      <w:r w:rsidR="00347439" w:rsidRPr="00B27B9A">
        <w:t>"</w:t>
      </w:r>
      <w:r w:rsidR="00921BBF" w:rsidRPr="00B27B9A">
        <w:t xml:space="preserve"> By working in partnership with children, young people and families throughout the whole research endeavour</w:t>
      </w:r>
      <w:r w:rsidR="00347439" w:rsidRPr="00B27B9A">
        <w:t>, the risks that children might be placed in situations that make them vulnerable</w:t>
      </w:r>
      <w:r w:rsidR="00921BBF" w:rsidRPr="00B27B9A">
        <w:t xml:space="preserve"> can be minimised.</w:t>
      </w:r>
    </w:p>
    <w:p w:rsidR="009D6D8D" w:rsidRPr="00B27B9A" w:rsidRDefault="00236CC1" w:rsidP="00ED154D">
      <w:pPr>
        <w:spacing w:line="360" w:lineRule="auto"/>
      </w:pPr>
      <w:r w:rsidRPr="00B27B9A">
        <w:t>Challenges can best be explored in light of children’s and young people’s own perceptions of the demands of the study. Genuine partnership will help to ensure that important aspects of the research question have been considered from the perspective of those whom the research aims to benefit and who are in a similar situation to potential participants</w:t>
      </w:r>
      <w:r w:rsidR="00832F7C" w:rsidRPr="00B27B9A">
        <w:t xml:space="preserve">. Their input on factors such as missing school, repeated blood tests and the quality/accessibility of patient information is invaluable and means that that researchers are aware of those aspects of study design that might be of concern to prospective participants, so that wherever possible, these concerns can be ameliorated. </w:t>
      </w:r>
      <w:r w:rsidRPr="00B27B9A">
        <w:t>The young people attending stakeholder events during the creation of the report identified ways by which they might feel better supported and thereby less prone to vulnerability:  being prepared, parental support and feeling listened to were all cited. Hence the information we make available during a research study is a crucially important factor to arm children and their families against vulnerability – both in terms of how we communicate about the study itself, and how we work with children and families to support their decision-making. For this reason an important part of the Nuffield project included the creation of an animation to convey to even very young children what participation in a well-designed research study should be like (nuffieldbioethics.org/children).</w:t>
      </w:r>
    </w:p>
    <w:p w:rsidR="00236CC1" w:rsidRPr="00B27B9A" w:rsidRDefault="00236CC1" w:rsidP="00ED154D">
      <w:pPr>
        <w:spacing w:line="360" w:lineRule="auto"/>
        <w:rPr>
          <w:u w:val="single"/>
        </w:rPr>
      </w:pPr>
      <w:proofErr w:type="gramStart"/>
      <w:r w:rsidRPr="00B27B9A">
        <w:rPr>
          <w:u w:val="single"/>
        </w:rPr>
        <w:t>Research Priorities for children and young people.</w:t>
      </w:r>
      <w:proofErr w:type="gramEnd"/>
    </w:p>
    <w:p w:rsidR="00495B37" w:rsidRPr="00B27B9A" w:rsidRDefault="00A52005" w:rsidP="00ED154D">
      <w:pPr>
        <w:spacing w:line="360" w:lineRule="auto"/>
      </w:pPr>
      <w:r w:rsidRPr="00B27B9A">
        <w:t>The Nuffield Report</w:t>
      </w:r>
      <w:r w:rsidR="002379D5" w:rsidRPr="00B27B9A">
        <w:t xml:space="preserve"> goes on to argues</w:t>
      </w:r>
      <w:r w:rsidRPr="00B27B9A">
        <w:t xml:space="preserve"> to move away from researching ‘on’ children it is important to genuinely involve them (and t</w:t>
      </w:r>
      <w:r w:rsidR="00236CC1" w:rsidRPr="00B27B9A">
        <w:t>heir families) from the outset,</w:t>
      </w:r>
      <w:r w:rsidRPr="00B27B9A">
        <w:t xml:space="preserve"> starting with the issue of setting </w:t>
      </w:r>
      <w:r w:rsidRPr="00B27B9A">
        <w:lastRenderedPageBreak/>
        <w:t>research priorities.</w:t>
      </w:r>
      <w:r w:rsidR="00ED154D" w:rsidRPr="00B27B9A">
        <w:t xml:space="preserve"> </w:t>
      </w:r>
      <w:r w:rsidR="00217B0F" w:rsidRPr="00B27B9A">
        <w:t xml:space="preserve">A survey by the James Lind alliance (JLA) in 2008 showed that most research funders at the time “operated in a responsive mode”, relying on researchers to submit ideas. The JLA themselves </w:t>
      </w:r>
      <w:r w:rsidR="00793B2D" w:rsidRPr="00B27B9A">
        <w:t xml:space="preserve">have led the way in developing ‘priority-setting partnership’ involving </w:t>
      </w:r>
      <w:r w:rsidR="00217B0F" w:rsidRPr="00B27B9A">
        <w:t>patients, carers and clinicians together to identify priorities</w:t>
      </w:r>
      <w:r w:rsidR="00793B2D" w:rsidRPr="00B27B9A">
        <w:t xml:space="preserve"> for research. This approach has led to inclusive partnerships exploring research priorities </w:t>
      </w:r>
      <w:r w:rsidR="00217B0F" w:rsidRPr="00B27B9A">
        <w:t>for improving the care of preterm babies</w:t>
      </w:r>
      <w:r w:rsidR="00C71780" w:rsidRPr="00B27B9A">
        <w:t xml:space="preserve"> [4</w:t>
      </w:r>
      <w:r w:rsidR="00ED154D" w:rsidRPr="00B27B9A">
        <w:t>]</w:t>
      </w:r>
      <w:r w:rsidR="00217B0F" w:rsidRPr="00B27B9A">
        <w:t xml:space="preserve"> and </w:t>
      </w:r>
      <w:r w:rsidR="00E17CF7" w:rsidRPr="00B27B9A">
        <w:t>teenagers with cancer</w:t>
      </w:r>
      <w:proofErr w:type="gramStart"/>
      <w:r w:rsidR="00C71780" w:rsidRPr="00B27B9A">
        <w:t>.[</w:t>
      </w:r>
      <w:proofErr w:type="gramEnd"/>
      <w:r w:rsidR="00C71780" w:rsidRPr="00B27B9A">
        <w:t>5</w:t>
      </w:r>
      <w:r w:rsidR="00ED154D" w:rsidRPr="00B27B9A">
        <w:t>]</w:t>
      </w:r>
      <w:r w:rsidR="00217B0F" w:rsidRPr="00B27B9A">
        <w:t xml:space="preserve"> </w:t>
      </w:r>
      <w:r w:rsidR="002F5ED5" w:rsidRPr="00B27B9A">
        <w:t xml:space="preserve">This has been achieved with what would </w:t>
      </w:r>
      <w:r w:rsidR="00217B0F" w:rsidRPr="00B27B9A">
        <w:t>traditionally be considered very vulnerable populations</w:t>
      </w:r>
      <w:r w:rsidR="00E17CF7" w:rsidRPr="00B27B9A">
        <w:t>.</w:t>
      </w:r>
    </w:p>
    <w:p w:rsidR="005D11BF" w:rsidRPr="00B27B9A" w:rsidRDefault="006B46E1" w:rsidP="00ED154D">
      <w:pPr>
        <w:spacing w:line="360" w:lineRule="auto"/>
        <w:rPr>
          <w:u w:val="single"/>
        </w:rPr>
      </w:pPr>
      <w:r w:rsidRPr="00B27B9A">
        <w:rPr>
          <w:u w:val="single"/>
        </w:rPr>
        <w:t>Partnership</w:t>
      </w:r>
      <w:r w:rsidR="00AB5997" w:rsidRPr="00B27B9A">
        <w:rPr>
          <w:u w:val="single"/>
        </w:rPr>
        <w:t xml:space="preserve"> and </w:t>
      </w:r>
      <w:r w:rsidRPr="00B27B9A">
        <w:rPr>
          <w:u w:val="single"/>
        </w:rPr>
        <w:t>review of research</w:t>
      </w:r>
    </w:p>
    <w:p w:rsidR="00495B37" w:rsidRPr="00B27B9A" w:rsidRDefault="002F5ED5" w:rsidP="00ED154D">
      <w:pPr>
        <w:spacing w:line="360" w:lineRule="auto"/>
      </w:pPr>
      <w:r w:rsidRPr="00B27B9A">
        <w:t xml:space="preserve">Further change will only occur if it is accompanied by a significant shift </w:t>
      </w:r>
      <w:r w:rsidR="00ED154D" w:rsidRPr="00B27B9A">
        <w:t xml:space="preserve">in attitude </w:t>
      </w:r>
      <w:r w:rsidRPr="00B27B9A">
        <w:t xml:space="preserve">of those involved in paediatric medicine and research. </w:t>
      </w:r>
      <w:r w:rsidR="00495B37" w:rsidRPr="00B27B9A">
        <w:t>Many studies struggle to recruit sufficient participants –</w:t>
      </w:r>
      <w:r w:rsidRPr="00B27B9A">
        <w:t xml:space="preserve">which </w:t>
      </w:r>
      <w:r w:rsidR="00495B37" w:rsidRPr="00B27B9A">
        <w:t xml:space="preserve">has sometimes been assumed </w:t>
      </w:r>
      <w:r w:rsidRPr="00B27B9A">
        <w:t xml:space="preserve">to </w:t>
      </w:r>
      <w:r w:rsidR="00495B37" w:rsidRPr="00B27B9A">
        <w:t>reflect patients’ reluctance towards research</w:t>
      </w:r>
      <w:proofErr w:type="gramStart"/>
      <w:r w:rsidR="00495B37" w:rsidRPr="00B27B9A">
        <w:t>.</w:t>
      </w:r>
      <w:r w:rsidR="00C71780" w:rsidRPr="00B27B9A">
        <w:t>[</w:t>
      </w:r>
      <w:proofErr w:type="gramEnd"/>
      <w:r w:rsidR="00C71780" w:rsidRPr="00B27B9A">
        <w:t>6</w:t>
      </w:r>
      <w:r w:rsidR="00ED154D" w:rsidRPr="00B27B9A">
        <w:t>]</w:t>
      </w:r>
      <w:r w:rsidR="00495B37" w:rsidRPr="00B27B9A">
        <w:t xml:space="preserve"> However, </w:t>
      </w:r>
      <w:r w:rsidR="00CE0591" w:rsidRPr="00B27B9A">
        <w:t xml:space="preserve">there is evidence that it is </w:t>
      </w:r>
      <w:r w:rsidR="00495B37" w:rsidRPr="00B27B9A">
        <w:t>clinicians</w:t>
      </w:r>
      <w:r w:rsidR="00CE0591" w:rsidRPr="00B27B9A">
        <w:t>, rather than patients, who a</w:t>
      </w:r>
      <w:r w:rsidR="00495B37" w:rsidRPr="00B27B9A">
        <w:t xml:space="preserve">re </w:t>
      </w:r>
      <w:r w:rsidR="004936C8" w:rsidRPr="00B27B9A">
        <w:t xml:space="preserve">the ones </w:t>
      </w:r>
      <w:r w:rsidR="005D11BF" w:rsidRPr="00B27B9A">
        <w:t>who</w:t>
      </w:r>
      <w:r w:rsidR="004936C8" w:rsidRPr="00B27B9A">
        <w:t xml:space="preserve"> are </w:t>
      </w:r>
      <w:r w:rsidR="00495B37" w:rsidRPr="00B27B9A">
        <w:t>reluctant.</w:t>
      </w:r>
      <w:r w:rsidR="00C71780" w:rsidRPr="00B27B9A">
        <w:t>[7</w:t>
      </w:r>
      <w:r w:rsidR="009D6D8D" w:rsidRPr="00B27B9A">
        <w:t>]</w:t>
      </w:r>
      <w:r w:rsidR="00495B37" w:rsidRPr="00B27B9A">
        <w:t xml:space="preserve"> One study</w:t>
      </w:r>
      <w:r w:rsidR="005D11BF" w:rsidRPr="00B27B9A">
        <w:t>, for example,</w:t>
      </w:r>
      <w:r w:rsidR="00495B37" w:rsidRPr="00B27B9A">
        <w:t xml:space="preserve"> found that some clinicians were uncomfortable discussing research with families</w:t>
      </w:r>
      <w:r w:rsidR="005D11BF" w:rsidRPr="00B27B9A">
        <w:t>,</w:t>
      </w:r>
      <w:r w:rsidR="00495B37" w:rsidRPr="00B27B9A">
        <w:t xml:space="preserve"> and many tended to worry that they were burdening children and families just by inviting them to consider taking part in a study. But far from seeing research invitations as a burden or imposition, families </w:t>
      </w:r>
      <w:r w:rsidR="005D11BF" w:rsidRPr="00B27B9A">
        <w:t>have been found to be</w:t>
      </w:r>
      <w:r w:rsidR="00495B37" w:rsidRPr="00B27B9A">
        <w:t xml:space="preserve"> enthusiastic about taking part in research </w:t>
      </w:r>
      <w:r w:rsidR="009D6D8D" w:rsidRPr="00B27B9A">
        <w:t xml:space="preserve">and wanted their clinicians </w:t>
      </w:r>
      <w:r w:rsidR="00495B37" w:rsidRPr="00B27B9A">
        <w:t>to tell them if there was a suitable study available</w:t>
      </w:r>
      <w:proofErr w:type="gramStart"/>
      <w:r w:rsidR="00495B37" w:rsidRPr="00B27B9A">
        <w:t>.</w:t>
      </w:r>
      <w:r w:rsidR="00C71780" w:rsidRPr="00B27B9A">
        <w:t>[</w:t>
      </w:r>
      <w:proofErr w:type="gramEnd"/>
      <w:r w:rsidR="00C71780" w:rsidRPr="00B27B9A">
        <w:t>8,9</w:t>
      </w:r>
      <w:r w:rsidR="009D6D8D" w:rsidRPr="00B27B9A">
        <w:t>]</w:t>
      </w:r>
    </w:p>
    <w:p w:rsidR="009D6D8D" w:rsidRPr="00B27B9A" w:rsidRDefault="009D6D8D" w:rsidP="00ED154D">
      <w:pPr>
        <w:spacing w:line="360" w:lineRule="auto"/>
      </w:pPr>
    </w:p>
    <w:p w:rsidR="00D0465B" w:rsidRPr="00B27B9A" w:rsidRDefault="002F5ED5" w:rsidP="00ED154D">
      <w:pPr>
        <w:spacing w:line="360" w:lineRule="auto"/>
      </w:pPr>
      <w:r w:rsidRPr="00B27B9A">
        <w:t xml:space="preserve">To meet the concern of clinicians and parents and thereby avert undue hesitancy in inviting participation </w:t>
      </w:r>
      <w:r w:rsidR="003A36E5" w:rsidRPr="00B27B9A">
        <w:t xml:space="preserve">the </w:t>
      </w:r>
      <w:r w:rsidR="00495B37" w:rsidRPr="00B27B9A">
        <w:t xml:space="preserve">Nuffield </w:t>
      </w:r>
      <w:r w:rsidR="003A36E5" w:rsidRPr="00B27B9A">
        <w:t xml:space="preserve">report </w:t>
      </w:r>
      <w:r w:rsidRPr="00B27B9A">
        <w:t xml:space="preserve">developed </w:t>
      </w:r>
      <w:r w:rsidR="004D0BE2" w:rsidRPr="00B27B9A">
        <w:t xml:space="preserve">the </w:t>
      </w:r>
      <w:r w:rsidR="005A6BB8" w:rsidRPr="00B27B9A">
        <w:t xml:space="preserve">idea </w:t>
      </w:r>
      <w:r w:rsidR="00E17CF7" w:rsidRPr="00B27B9A">
        <w:t xml:space="preserve">that an invitation to participate in research should constitute </w:t>
      </w:r>
      <w:r w:rsidR="004D0BE2" w:rsidRPr="00B27B9A">
        <w:t>a “fair offer” to children and their families. This was seen to start with the fundamental role of the ethics committee</w:t>
      </w:r>
      <w:r w:rsidR="003F374D" w:rsidRPr="00B27B9A">
        <w:t xml:space="preserve"> (REC)</w:t>
      </w:r>
      <w:r w:rsidR="004D0BE2" w:rsidRPr="00B27B9A">
        <w:t xml:space="preserve"> and their review of the value of the research and its likely risks, benefits and burdens. The</w:t>
      </w:r>
      <w:r w:rsidR="003F374D" w:rsidRPr="00B27B9A">
        <w:t xml:space="preserve"> RECs</w:t>
      </w:r>
      <w:r w:rsidR="004D0BE2" w:rsidRPr="00B27B9A">
        <w:t xml:space="preserve"> role should be one of assurance for the public. They should not only confirm that</w:t>
      </w:r>
      <w:r w:rsidR="00A8598D" w:rsidRPr="00B27B9A">
        <w:t xml:space="preserve"> the</w:t>
      </w:r>
      <w:r w:rsidR="004D0BE2" w:rsidRPr="00B27B9A">
        <w:t xml:space="preserve"> quality of the information given to parents, children and young people </w:t>
      </w:r>
      <w:r w:rsidR="003F374D" w:rsidRPr="00B27B9A">
        <w:t xml:space="preserve">is good but also make a judgement on the reasonableness of the </w:t>
      </w:r>
      <w:r w:rsidR="00E17CF7" w:rsidRPr="00B27B9A">
        <w:t>'</w:t>
      </w:r>
      <w:r w:rsidR="003F374D" w:rsidRPr="00B27B9A">
        <w:t>offer</w:t>
      </w:r>
      <w:r w:rsidR="00E17CF7" w:rsidRPr="00B27B9A">
        <w:t>'</w:t>
      </w:r>
      <w:r w:rsidR="003F374D" w:rsidRPr="00B27B9A">
        <w:t xml:space="preserve"> presented. This </w:t>
      </w:r>
      <w:r w:rsidRPr="00B27B9A">
        <w:t xml:space="preserve">role requires </w:t>
      </w:r>
      <w:r w:rsidR="003F374D" w:rsidRPr="00B27B9A">
        <w:t xml:space="preserve">the continued participation of experts in </w:t>
      </w:r>
      <w:r w:rsidR="005A6BB8" w:rsidRPr="00B27B9A">
        <w:t xml:space="preserve">relevant clinical </w:t>
      </w:r>
      <w:r w:rsidR="003F374D" w:rsidRPr="00B27B9A">
        <w:t>fields within our RECs</w:t>
      </w:r>
      <w:r w:rsidR="005A6BB8" w:rsidRPr="00B27B9A">
        <w:t>,</w:t>
      </w:r>
      <w:r w:rsidR="003F374D" w:rsidRPr="00B27B9A">
        <w:t xml:space="preserve"> and time needs to be given for </w:t>
      </w:r>
      <w:r w:rsidR="00E54D72" w:rsidRPr="00B27B9A">
        <w:t xml:space="preserve">experts to fulfil </w:t>
      </w:r>
      <w:r w:rsidR="003F374D" w:rsidRPr="00B27B9A">
        <w:t>these roles.</w:t>
      </w:r>
      <w:r w:rsidR="005F3432" w:rsidRPr="00B27B9A">
        <w:t xml:space="preserve"> This need to be recognised as a core NHS duty</w:t>
      </w:r>
      <w:r w:rsidR="009E7398" w:rsidRPr="00B27B9A">
        <w:t xml:space="preserve"> and this will be a challenge in the current financial climate</w:t>
      </w:r>
      <w:r w:rsidR="005F3432" w:rsidRPr="00B27B9A">
        <w:t>.</w:t>
      </w:r>
      <w:r w:rsidR="00E17CF7" w:rsidRPr="00B27B9A">
        <w:t xml:space="preserve"> A</w:t>
      </w:r>
      <w:r w:rsidR="003F374D" w:rsidRPr="00B27B9A">
        <w:t xml:space="preserve"> pool of </w:t>
      </w:r>
      <w:r w:rsidR="005A6BB8" w:rsidRPr="00B27B9A">
        <w:t xml:space="preserve">additional </w:t>
      </w:r>
      <w:r w:rsidR="003F374D" w:rsidRPr="00B27B9A">
        <w:t xml:space="preserve">experts </w:t>
      </w:r>
      <w:r w:rsidR="00E17CF7" w:rsidRPr="00B27B9A">
        <w:t>willing to advise</w:t>
      </w:r>
      <w:r w:rsidR="003F374D" w:rsidRPr="00B27B9A">
        <w:t xml:space="preserve"> NRES REC</w:t>
      </w:r>
      <w:r w:rsidR="00E17CF7" w:rsidRPr="00B27B9A">
        <w:t>s on an ad hoc basis</w:t>
      </w:r>
      <w:r w:rsidR="003F374D" w:rsidRPr="00B27B9A">
        <w:t xml:space="preserve"> could be further created to help with this</w:t>
      </w:r>
      <w:r w:rsidR="005A6BB8" w:rsidRPr="00B27B9A">
        <w:t>, especially where the subject of the study falls outside the specialist expertise of REC members</w:t>
      </w:r>
      <w:r w:rsidR="003F374D" w:rsidRPr="00B27B9A">
        <w:t xml:space="preserve">. </w:t>
      </w:r>
    </w:p>
    <w:p w:rsidR="009D6D8D" w:rsidRPr="00B27B9A" w:rsidRDefault="009D6D8D" w:rsidP="00ED154D">
      <w:pPr>
        <w:spacing w:line="360" w:lineRule="auto"/>
      </w:pPr>
    </w:p>
    <w:p w:rsidR="003F374D" w:rsidRPr="00B27B9A" w:rsidRDefault="00942F0C" w:rsidP="00ED154D">
      <w:pPr>
        <w:spacing w:line="360" w:lineRule="auto"/>
      </w:pPr>
      <w:r w:rsidRPr="00B27B9A">
        <w:lastRenderedPageBreak/>
        <w:t>RECs</w:t>
      </w:r>
      <w:r w:rsidR="003F374D" w:rsidRPr="00B27B9A">
        <w:t xml:space="preserve"> should also routinely expect researchers to have involved children, young </w:t>
      </w:r>
      <w:r w:rsidR="00E17CF7" w:rsidRPr="00B27B9A">
        <w:t xml:space="preserve">people </w:t>
      </w:r>
      <w:r w:rsidR="003F374D" w:rsidRPr="00B27B9A">
        <w:t>and their parents</w:t>
      </w:r>
      <w:r w:rsidR="004D0BE2" w:rsidRPr="00B27B9A">
        <w:t xml:space="preserve"> </w:t>
      </w:r>
      <w:r w:rsidR="003F374D" w:rsidRPr="00B27B9A">
        <w:t>in the design of their studies</w:t>
      </w:r>
      <w:r w:rsidRPr="00B27B9A">
        <w:t xml:space="preserve"> as they will be</w:t>
      </w:r>
      <w:r w:rsidR="00E17CF7" w:rsidRPr="00B27B9A">
        <w:t xml:space="preserve"> </w:t>
      </w:r>
      <w:r w:rsidR="00E54D72" w:rsidRPr="00B27B9A">
        <w:t>well</w:t>
      </w:r>
      <w:r w:rsidR="00E17CF7" w:rsidRPr="00B27B9A">
        <w:t xml:space="preserve"> placed to comment on the many practical features of research involvement, such as</w:t>
      </w:r>
      <w:r w:rsidR="003F374D" w:rsidRPr="00B27B9A">
        <w:t xml:space="preserve"> the number of visits, procedures planned (such as blood tests) and timings around the child’s school day and social interactions. </w:t>
      </w:r>
      <w:r w:rsidR="005A23FB" w:rsidRPr="00B27B9A">
        <w:t>At a basic level t</w:t>
      </w:r>
      <w:r w:rsidR="003F374D" w:rsidRPr="00B27B9A">
        <w:t>he</w:t>
      </w:r>
      <w:r w:rsidR="00E17CF7" w:rsidRPr="00B27B9A">
        <w:t>ir input on the</w:t>
      </w:r>
      <w:r w:rsidR="003F374D" w:rsidRPr="00B27B9A">
        <w:t xml:space="preserve"> comprehensibility of the study information </w:t>
      </w:r>
      <w:r w:rsidR="005A23FB" w:rsidRPr="00B27B9A">
        <w:t xml:space="preserve">is crucial. However, families are also well placed to </w:t>
      </w:r>
      <w:proofErr w:type="gramStart"/>
      <w:r w:rsidR="005A23FB" w:rsidRPr="00B27B9A">
        <w:t>advise</w:t>
      </w:r>
      <w:proofErr w:type="gramEnd"/>
      <w:r w:rsidR="005A23FB" w:rsidRPr="00B27B9A">
        <w:t xml:space="preserve"> on how to </w:t>
      </w:r>
      <w:r w:rsidR="003F374D" w:rsidRPr="00B27B9A">
        <w:t>minimis</w:t>
      </w:r>
      <w:r w:rsidR="005A23FB" w:rsidRPr="00B27B9A">
        <w:t xml:space="preserve">e the burdens of research </w:t>
      </w:r>
      <w:r w:rsidR="00CF0F22" w:rsidRPr="00B27B9A">
        <w:t>for participants</w:t>
      </w:r>
      <w:r w:rsidR="005D11BF" w:rsidRPr="00B27B9A">
        <w:t>,</w:t>
      </w:r>
      <w:r w:rsidR="00CF0F22" w:rsidRPr="00B27B9A">
        <w:t xml:space="preserve"> </w:t>
      </w:r>
      <w:r w:rsidR="003F374D" w:rsidRPr="00B27B9A">
        <w:t xml:space="preserve">and </w:t>
      </w:r>
      <w:r w:rsidR="005A23FB" w:rsidRPr="00B27B9A">
        <w:t xml:space="preserve">how to explain any </w:t>
      </w:r>
      <w:r w:rsidR="003F374D" w:rsidRPr="00B27B9A">
        <w:t xml:space="preserve">risks </w:t>
      </w:r>
      <w:r w:rsidR="005A23FB" w:rsidRPr="00B27B9A">
        <w:t xml:space="preserve">clearly </w:t>
      </w:r>
      <w:r w:rsidR="003F374D" w:rsidRPr="00B27B9A">
        <w:t xml:space="preserve">and </w:t>
      </w:r>
      <w:r w:rsidR="005A23FB" w:rsidRPr="00B27B9A">
        <w:t>concisely</w:t>
      </w:r>
      <w:r w:rsidR="003F374D" w:rsidRPr="00B27B9A">
        <w:t xml:space="preserve">. Researchers who have not </w:t>
      </w:r>
      <w:r w:rsidR="00E17CF7" w:rsidRPr="00B27B9A">
        <w:t xml:space="preserve">obtained </w:t>
      </w:r>
      <w:r w:rsidR="003F374D" w:rsidRPr="00B27B9A">
        <w:t xml:space="preserve">this input should now </w:t>
      </w:r>
      <w:r w:rsidR="005A6BB8" w:rsidRPr="00B27B9A">
        <w:t xml:space="preserve">be asked to </w:t>
      </w:r>
      <w:r w:rsidR="003F374D" w:rsidRPr="00B27B9A">
        <w:t xml:space="preserve">justify why this has not </w:t>
      </w:r>
      <w:r w:rsidR="00D0465B" w:rsidRPr="00B27B9A">
        <w:t>been possible or appropriate</w:t>
      </w:r>
      <w:r w:rsidR="002F5ED5" w:rsidRPr="00B27B9A">
        <w:t xml:space="preserve"> and demonstrate how they have informed their research design in other ways</w:t>
      </w:r>
      <w:r w:rsidR="003F374D" w:rsidRPr="00B27B9A">
        <w:t xml:space="preserve">. </w:t>
      </w:r>
      <w:r w:rsidRPr="00B27B9A">
        <w:t>Groups such as t</w:t>
      </w:r>
      <w:r w:rsidR="003F374D" w:rsidRPr="00B27B9A">
        <w:t xml:space="preserve">he Young </w:t>
      </w:r>
      <w:r w:rsidR="00E17CF7" w:rsidRPr="00B27B9A">
        <w:t>P</w:t>
      </w:r>
      <w:r w:rsidR="003F374D" w:rsidRPr="00B27B9A">
        <w:t>ersons</w:t>
      </w:r>
      <w:r w:rsidR="005A6BB8" w:rsidRPr="00B27B9A">
        <w:t>'</w:t>
      </w:r>
      <w:r w:rsidR="003F374D" w:rsidRPr="00B27B9A">
        <w:t xml:space="preserve"> </w:t>
      </w:r>
      <w:r w:rsidR="00E17CF7" w:rsidRPr="00B27B9A">
        <w:t>A</w:t>
      </w:r>
      <w:r w:rsidR="003F374D" w:rsidRPr="00B27B9A">
        <w:t xml:space="preserve">dvisory </w:t>
      </w:r>
      <w:r w:rsidR="00E17CF7" w:rsidRPr="00B27B9A">
        <w:t>G</w:t>
      </w:r>
      <w:r w:rsidR="003F374D" w:rsidRPr="00B27B9A">
        <w:t>roups (YPAG</w:t>
      </w:r>
      <w:r w:rsidR="005A6BB8" w:rsidRPr="00B27B9A">
        <w:t>s</w:t>
      </w:r>
      <w:r w:rsidR="003F374D" w:rsidRPr="00B27B9A">
        <w:t>)</w:t>
      </w:r>
      <w:r w:rsidR="00E17CF7" w:rsidRPr="00B27B9A">
        <w:t xml:space="preserve"> that have developed alongside the NIHR's Clinical Research Network: Children</w:t>
      </w:r>
      <w:r w:rsidR="003F374D" w:rsidRPr="00B27B9A">
        <w:t xml:space="preserve"> can play a key role in helping in this process and are an invaluable res</w:t>
      </w:r>
      <w:r w:rsidR="005A23FB" w:rsidRPr="00B27B9A">
        <w:t>ource</w:t>
      </w:r>
      <w:r w:rsidR="003F374D" w:rsidRPr="00B27B9A">
        <w:t xml:space="preserve"> that should be supported in the long term.</w:t>
      </w:r>
    </w:p>
    <w:p w:rsidR="003F374D" w:rsidRPr="00B27B9A" w:rsidRDefault="006B46E1" w:rsidP="00ED154D">
      <w:pPr>
        <w:spacing w:line="360" w:lineRule="auto"/>
      </w:pPr>
      <w:r w:rsidRPr="00B27B9A">
        <w:rPr>
          <w:u w:val="single"/>
        </w:rPr>
        <w:t>Consent and Assent</w:t>
      </w:r>
    </w:p>
    <w:p w:rsidR="006B46E1" w:rsidRPr="00B27B9A" w:rsidRDefault="009D6D8D" w:rsidP="00ED154D">
      <w:pPr>
        <w:spacing w:line="360" w:lineRule="auto"/>
      </w:pPr>
      <w:r w:rsidRPr="00B27B9A">
        <w:t>Throughout</w:t>
      </w:r>
      <w:r w:rsidR="0083054B" w:rsidRPr="00B27B9A">
        <w:t xml:space="preserve"> the Nuffield report the issue </w:t>
      </w:r>
      <w:r w:rsidR="00EA0AA5" w:rsidRPr="00B27B9A">
        <w:t>of partnership is key</w:t>
      </w:r>
      <w:r w:rsidR="00942F0C" w:rsidRPr="00B27B9A">
        <w:t>,</w:t>
      </w:r>
      <w:r w:rsidR="00EA0AA5" w:rsidRPr="00B27B9A">
        <w:t xml:space="preserve"> and it is</w:t>
      </w:r>
      <w:r w:rsidR="005A6BB8" w:rsidRPr="00B27B9A">
        <w:t xml:space="preserve"> </w:t>
      </w:r>
      <w:r w:rsidR="0083054B" w:rsidRPr="00B27B9A">
        <w:t xml:space="preserve">seen as </w:t>
      </w:r>
      <w:r w:rsidR="005A6BB8" w:rsidRPr="00B27B9A">
        <w:t xml:space="preserve">particularly crucial </w:t>
      </w:r>
      <w:r w:rsidR="00D0465B" w:rsidRPr="00B27B9A">
        <w:t xml:space="preserve">at the point </w:t>
      </w:r>
      <w:r w:rsidR="005A6BB8" w:rsidRPr="00B27B9A">
        <w:t>when researchers approach children and their families with an invitation to consider taking part in a particular study. Wherever possible, researchers should seek to encourage shared decision-maki</w:t>
      </w:r>
      <w:r w:rsidR="00D0465B" w:rsidRPr="00B27B9A">
        <w:t>ng: both with respect to the process</w:t>
      </w:r>
      <w:r w:rsidR="00CF0F22" w:rsidRPr="00B27B9A">
        <w:t xml:space="preserve"> and design of research</w:t>
      </w:r>
      <w:r w:rsidR="00D0465B" w:rsidRPr="00B27B9A">
        <w:t xml:space="preserve">, and to the decision </w:t>
      </w:r>
      <w:r w:rsidR="00CF0F22" w:rsidRPr="00B27B9A">
        <w:t xml:space="preserve">about research participation </w:t>
      </w:r>
      <w:r w:rsidR="00D0465B" w:rsidRPr="00B27B9A">
        <w:t xml:space="preserve">itself. Young people in Case 3 have sufficient understanding and maturity to make their own decisions about participation, but will generally still rely on, and value parental support. Parents likewise still have a responsibility with respect to the welfare of their 'competent' child while they are still minors. Ethically, consent should thus be sought from both young person and their parent(s), even if in law parental consent is sufficient to authorise participation. </w:t>
      </w:r>
      <w:r w:rsidR="006B46E1" w:rsidRPr="00B27B9A">
        <w:t>Where the nature of the research is such that parental involvement is believed to be inappropriate, or might undermine the research objective or even threaten a young person’s well-being, it may be ethically acceptable to approach children and young people in Case Three without parental knowledge or involvement. However, such approaches should be subject to specific review by a REC.</w:t>
      </w:r>
    </w:p>
    <w:p w:rsidR="006B46E1" w:rsidRPr="00B27B9A" w:rsidRDefault="006B46E1" w:rsidP="00ED154D">
      <w:pPr>
        <w:spacing w:line="360" w:lineRule="auto"/>
      </w:pPr>
    </w:p>
    <w:p w:rsidR="005A6BB8" w:rsidRPr="00B27B9A" w:rsidRDefault="00D0465B" w:rsidP="00ED154D">
      <w:pPr>
        <w:spacing w:line="360" w:lineRule="auto"/>
      </w:pPr>
      <w:r w:rsidRPr="00B27B9A">
        <w:t xml:space="preserve">Where children and young people are in Case 2, they are not able to make their own decisions but </w:t>
      </w:r>
      <w:r w:rsidRPr="00B27B9A">
        <w:rPr>
          <w:i/>
        </w:rPr>
        <w:t>will</w:t>
      </w:r>
      <w:r w:rsidRPr="00B27B9A">
        <w:t xml:space="preserve"> want to have a 'say' (in many cases a very strong say) in what affects them so directly.  The Nuffield report suggests that the much contested requirement</w:t>
      </w:r>
      <w:r w:rsidR="006B46E1" w:rsidRPr="00B27B9A">
        <w:t>,</w:t>
      </w:r>
      <w:r w:rsidR="00AB5997" w:rsidRPr="00B27B9A">
        <w:t xml:space="preserve"> in international and national guidance</w:t>
      </w:r>
      <w:r w:rsidR="006B46E1" w:rsidRPr="00B27B9A">
        <w:t xml:space="preserve"> [10]</w:t>
      </w:r>
      <w:r w:rsidR="00AB5997" w:rsidRPr="00B27B9A">
        <w:t>,</w:t>
      </w:r>
      <w:r w:rsidRPr="00B27B9A">
        <w:t xml:space="preserve"> that children should 'assent' to research</w:t>
      </w:r>
      <w:r w:rsidR="00AB5997" w:rsidRPr="00B27B9A">
        <w:t>,</w:t>
      </w:r>
      <w:r w:rsidRPr="00B27B9A">
        <w:t xml:space="preserve"> should be understood as requiring researchers to </w:t>
      </w:r>
      <w:r w:rsidRPr="00B27B9A">
        <w:rPr>
          <w:i/>
          <w:iCs/>
        </w:rPr>
        <w:t>involve</w:t>
      </w:r>
      <w:r w:rsidRPr="00B27B9A">
        <w:t xml:space="preserve"> each child in Case 2 in the decision about research participation, as much as </w:t>
      </w:r>
      <w:r w:rsidR="005D11BF" w:rsidRPr="00B27B9A">
        <w:t>each</w:t>
      </w:r>
      <w:r w:rsidRPr="00B27B9A">
        <w:t xml:space="preserve"> child wants, and is able, to do. </w:t>
      </w:r>
      <w:r w:rsidR="006B46E1" w:rsidRPr="00B27B9A">
        <w:t>It is not a legal</w:t>
      </w:r>
      <w:r w:rsidR="004B3A07" w:rsidRPr="00B27B9A">
        <w:t xml:space="preserve"> requirement </w:t>
      </w:r>
      <w:r w:rsidR="004E1A10" w:rsidRPr="00B27B9A">
        <w:t xml:space="preserve">in European and UK law but is </w:t>
      </w:r>
      <w:r w:rsidR="004E1A10" w:rsidRPr="00B27B9A">
        <w:lastRenderedPageBreak/>
        <w:t xml:space="preserve">quoted in most of the international and national guidance frameworks (NRES guidance- </w:t>
      </w:r>
      <w:hyperlink r:id="rId10" w:history="1">
        <w:r w:rsidR="004E1A10" w:rsidRPr="00B27B9A">
          <w:rPr>
            <w:rStyle w:val="Hyperlink"/>
            <w:color w:val="auto"/>
          </w:rPr>
          <w:t>http://www.hra-decisiontools.org.uk/consent/principles-children.html</w:t>
        </w:r>
      </w:hyperlink>
      <w:r w:rsidR="004E1A10" w:rsidRPr="00B27B9A">
        <w:t xml:space="preserve">). </w:t>
      </w:r>
      <w:r w:rsidRPr="00B27B9A">
        <w:t xml:space="preserve">How that process is subsequently documented (whether in an 'assent' form or in a range of other ways) is much less important than the child's own feeling </w:t>
      </w:r>
      <w:r w:rsidR="00215453" w:rsidRPr="00B27B9A">
        <w:t xml:space="preserve">that they have had a stake in the decision, and </w:t>
      </w:r>
      <w:r w:rsidR="00CF0F22" w:rsidRPr="00B27B9A">
        <w:t xml:space="preserve">have </w:t>
      </w:r>
      <w:r w:rsidR="00215453" w:rsidRPr="00B27B9A">
        <w:t>been treated as an individual who matters.</w:t>
      </w:r>
      <w:r w:rsidR="00AB5997" w:rsidRPr="00B27B9A">
        <w:t xml:space="preserve"> </w:t>
      </w:r>
    </w:p>
    <w:p w:rsidR="00EA0AA5" w:rsidRPr="00B27B9A" w:rsidRDefault="00EA0AA5" w:rsidP="00ED154D">
      <w:pPr>
        <w:spacing w:line="360" w:lineRule="auto"/>
      </w:pPr>
    </w:p>
    <w:p w:rsidR="005F3432" w:rsidRPr="00B27B9A" w:rsidRDefault="005F3432" w:rsidP="00ED154D">
      <w:pPr>
        <w:spacing w:line="360" w:lineRule="auto"/>
        <w:rPr>
          <w:u w:val="single"/>
        </w:rPr>
      </w:pPr>
      <w:r w:rsidRPr="00B27B9A">
        <w:rPr>
          <w:u w:val="single"/>
        </w:rPr>
        <w:t>In conclusion</w:t>
      </w:r>
    </w:p>
    <w:p w:rsidR="005F3432" w:rsidRPr="00B27B9A" w:rsidRDefault="005F3432" w:rsidP="005F3432">
      <w:pPr>
        <w:spacing w:line="360" w:lineRule="auto"/>
      </w:pPr>
      <w:r w:rsidRPr="00B27B9A">
        <w:t>B</w:t>
      </w:r>
      <w:r w:rsidR="0083054B" w:rsidRPr="00B27B9A">
        <w:t xml:space="preserve">ringing these various threads together it is possible to be sympathetic to those who have worried about researching </w:t>
      </w:r>
      <w:r w:rsidR="0083054B" w:rsidRPr="00B27B9A">
        <w:rPr>
          <w:i/>
        </w:rPr>
        <w:t>on</w:t>
      </w:r>
      <w:r w:rsidR="0083054B" w:rsidRPr="00B27B9A">
        <w:t xml:space="preserve"> children, whilst at the same time believing that there is an ethical imperative to push forward high quality ethically robust research </w:t>
      </w:r>
      <w:r w:rsidR="0083054B" w:rsidRPr="00B27B9A">
        <w:rPr>
          <w:i/>
        </w:rPr>
        <w:t>with</w:t>
      </w:r>
      <w:r w:rsidR="0083054B" w:rsidRPr="00B27B9A">
        <w:t xml:space="preserve"> children and their families. Clinicians, researchers and ethics committees can work with children and young people to minimise the burdens of research, whilst at the same time maximising the sense of engagement and involvement in the process. By carefully crafting a ‘fair offer’ and empowering children and their families to consider that offer as it relates to their own circums</w:t>
      </w:r>
      <w:r w:rsidR="004E1A10" w:rsidRPr="00B27B9A">
        <w:t>tances</w:t>
      </w:r>
      <w:r w:rsidR="0083054B" w:rsidRPr="00B27B9A">
        <w:t xml:space="preserve"> can</w:t>
      </w:r>
      <w:r w:rsidR="004E1A10" w:rsidRPr="00B27B9A">
        <w:t xml:space="preserve"> help</w:t>
      </w:r>
      <w:r w:rsidR="0083054B" w:rsidRPr="00B27B9A">
        <w:t xml:space="preserve"> move on from a narrative of vulnerability  towards one of partnership. In turn</w:t>
      </w:r>
      <w:r w:rsidR="004E1A10" w:rsidRPr="00B27B9A">
        <w:t>,</w:t>
      </w:r>
      <w:r w:rsidR="0083054B" w:rsidRPr="00B27B9A">
        <w:t xml:space="preserve"> children and young people</w:t>
      </w:r>
      <w:r w:rsidR="004E1A10" w:rsidRPr="00B27B9A">
        <w:t xml:space="preserve"> should</w:t>
      </w:r>
      <w:r w:rsidR="0083054B" w:rsidRPr="00B27B9A">
        <w:t xml:space="preserve"> no longer</w:t>
      </w:r>
      <w:r w:rsidR="004E1A10" w:rsidRPr="00B27B9A">
        <w:t xml:space="preserve"> be</w:t>
      </w:r>
      <w:r w:rsidR="0083054B" w:rsidRPr="00B27B9A">
        <w:t xml:space="preserve"> left vulnerable to the host of harms associated with under-researched therapies and </w:t>
      </w:r>
      <w:r w:rsidR="00942F0C" w:rsidRPr="00B27B9A">
        <w:t>over-precautionary attitudes to research involvement</w:t>
      </w:r>
      <w:r w:rsidR="0083054B" w:rsidRPr="00B27B9A">
        <w:t>.</w:t>
      </w:r>
      <w:r w:rsidRPr="00B27B9A">
        <w:t xml:space="preserve"> Since the report</w:t>
      </w:r>
      <w:r w:rsidR="00C00AB7">
        <w:t>’</w:t>
      </w:r>
      <w:r w:rsidRPr="00B27B9A">
        <w:t>s publication in 2015 it has been taken forward enthusiastically by RCPCH, the NIHR’s CRN Children &amp; their ‘</w:t>
      </w:r>
      <w:proofErr w:type="spellStart"/>
      <w:r w:rsidRPr="00B27B9A">
        <w:t>GenerationR</w:t>
      </w:r>
      <w:proofErr w:type="spellEnd"/>
      <w:r w:rsidRPr="00B27B9A">
        <w:t>’ young people’s groups.</w:t>
      </w:r>
      <w:r w:rsidR="004E1A10" w:rsidRPr="00B27B9A">
        <w:t xml:space="preserve"> The practical resources c</w:t>
      </w:r>
      <w:r w:rsidR="002964C0" w:rsidRPr="00B27B9A">
        <w:t>reated by the project are</w:t>
      </w:r>
      <w:r w:rsidR="004E1A10" w:rsidRPr="00B27B9A">
        <w:t xml:space="preserve"> the</w:t>
      </w:r>
      <w:r w:rsidR="002964C0" w:rsidRPr="00B27B9A">
        <w:t xml:space="preserve"> freely available, including an animation in English and Spanish </w:t>
      </w:r>
      <w:r w:rsidR="004E1A10" w:rsidRPr="00B27B9A">
        <w:t>explaining research participation</w:t>
      </w:r>
      <w:r w:rsidR="002964C0" w:rsidRPr="00B27B9A">
        <w:t>- Health research making the right decision for me. [2]</w:t>
      </w:r>
      <w:r w:rsidRPr="00B27B9A">
        <w:t xml:space="preserve"> It is hoped that by stimulating debate surround</w:t>
      </w:r>
      <w:r w:rsidR="009E7398" w:rsidRPr="00B27B9A">
        <w:t xml:space="preserve"> these</w:t>
      </w:r>
      <w:r w:rsidRPr="00B27B9A">
        <w:t xml:space="preserve"> issues</w:t>
      </w:r>
      <w:r w:rsidR="009E7398" w:rsidRPr="00B27B9A">
        <w:t>,</w:t>
      </w:r>
      <w:r w:rsidRPr="00B27B9A">
        <w:t xml:space="preserve"> research </w:t>
      </w:r>
      <w:r w:rsidRPr="00B27B9A">
        <w:rPr>
          <w:i/>
        </w:rPr>
        <w:t>with</w:t>
      </w:r>
      <w:r w:rsidRPr="00B27B9A">
        <w:t xml:space="preserve"> children and young people can move forward. </w:t>
      </w:r>
    </w:p>
    <w:p w:rsidR="00215453" w:rsidRPr="00B27B9A" w:rsidRDefault="00215453" w:rsidP="00ED154D">
      <w:pPr>
        <w:spacing w:line="360" w:lineRule="auto"/>
      </w:pPr>
    </w:p>
    <w:p w:rsidR="00070B1F" w:rsidRPr="00B27B9A" w:rsidRDefault="00070B1F" w:rsidP="00ED154D">
      <w:pPr>
        <w:spacing w:line="360" w:lineRule="auto"/>
      </w:pPr>
    </w:p>
    <w:p w:rsidR="00C70CD9" w:rsidRPr="00B27B9A" w:rsidRDefault="00C71780" w:rsidP="00ED154D">
      <w:pPr>
        <w:spacing w:line="360" w:lineRule="auto"/>
      </w:pPr>
      <w:r w:rsidRPr="00B27B9A">
        <w:t xml:space="preserve">Acknowledgements: </w:t>
      </w:r>
      <w:r w:rsidR="00EB27DD" w:rsidRPr="00B27B9A">
        <w:t>Katharine Wright, Assistant Director of the Nuffield Council on Bioethics was responsible for establishing, steering and supporting the working party which produced the 2015 report Children and clinical research:</w:t>
      </w:r>
      <w:r w:rsidR="00E94E8D" w:rsidRPr="00B27B9A">
        <w:t xml:space="preserve"> </w:t>
      </w:r>
      <w:r w:rsidR="00EB27DD" w:rsidRPr="00B27B9A">
        <w:t xml:space="preserve">ethical issues. </w:t>
      </w:r>
      <w:r w:rsidR="00942F0C" w:rsidRPr="00B27B9A">
        <w:t xml:space="preserve"> Helen Sammons and Bridget Young</w:t>
      </w:r>
      <w:r w:rsidR="00EB27DD" w:rsidRPr="00B27B9A">
        <w:t xml:space="preserve"> were members of the working party which was chaired by Bobbie </w:t>
      </w:r>
      <w:proofErr w:type="spellStart"/>
      <w:r w:rsidR="00EB27DD" w:rsidRPr="00B27B9A">
        <w:t>Farsides</w:t>
      </w:r>
      <w:proofErr w:type="spellEnd"/>
      <w:r w:rsidR="00E94E8D" w:rsidRPr="00B27B9A">
        <w:t>.</w:t>
      </w:r>
      <w:r w:rsidR="00EB27DD" w:rsidRPr="00B27B9A">
        <w:t xml:space="preserve"> The authors would like to thank all those who contributed to the process of creating the report and accompanying materials, particularly the children and young people who gave so much to the project.</w:t>
      </w:r>
    </w:p>
    <w:p w:rsidR="00C71780" w:rsidRPr="00B27B9A" w:rsidRDefault="00C71780" w:rsidP="00C71780">
      <w:pPr>
        <w:spacing w:line="360" w:lineRule="auto"/>
      </w:pPr>
      <w:r w:rsidRPr="00B27B9A">
        <w:lastRenderedPageBreak/>
        <w:t>Contributor statement: All authors contributed to the writing of this manuscript and approved the final version.</w:t>
      </w:r>
    </w:p>
    <w:p w:rsidR="00C71780" w:rsidRPr="00B27B9A" w:rsidRDefault="00C71780" w:rsidP="00C71780">
      <w:pPr>
        <w:spacing w:line="360" w:lineRule="auto"/>
      </w:pPr>
      <w:r w:rsidRPr="00B27B9A">
        <w:t xml:space="preserve">Competing Interests: None </w:t>
      </w:r>
    </w:p>
    <w:p w:rsidR="00C70CD9" w:rsidRPr="00B27B9A" w:rsidRDefault="00C71780" w:rsidP="00C71780">
      <w:pPr>
        <w:spacing w:line="360" w:lineRule="auto"/>
      </w:pPr>
      <w:r w:rsidRPr="00B27B9A">
        <w:t>Funding: None</w:t>
      </w:r>
    </w:p>
    <w:p w:rsidR="00C70CD9" w:rsidRPr="00B27B9A" w:rsidRDefault="00C70CD9" w:rsidP="00ED154D">
      <w:pPr>
        <w:spacing w:line="360" w:lineRule="auto"/>
      </w:pPr>
    </w:p>
    <w:p w:rsidR="00C70CD9" w:rsidRPr="00B27B9A" w:rsidRDefault="00C70CD9" w:rsidP="00ED154D">
      <w:pPr>
        <w:spacing w:line="360" w:lineRule="auto"/>
      </w:pPr>
    </w:p>
    <w:p w:rsidR="00C70CD9" w:rsidRPr="00B27B9A" w:rsidRDefault="00C70CD9" w:rsidP="00ED154D">
      <w:pPr>
        <w:spacing w:line="360" w:lineRule="auto"/>
      </w:pPr>
      <w:r w:rsidRPr="00B27B9A">
        <w:t>Image legend</w:t>
      </w:r>
    </w:p>
    <w:p w:rsidR="00C70CD9" w:rsidRPr="00B27B9A" w:rsidRDefault="00C70CD9" w:rsidP="00ED154D">
      <w:pPr>
        <w:spacing w:line="360" w:lineRule="auto"/>
      </w:pPr>
      <w:r w:rsidRPr="00B27B9A">
        <w:t xml:space="preserve">Figure 1: </w:t>
      </w:r>
      <w:r w:rsidR="00EA0AA5" w:rsidRPr="00B27B9A">
        <w:t>Paradigm cases for roles of child and parental input into the decision to take part in research.</w:t>
      </w:r>
    </w:p>
    <w:p w:rsidR="002964C0" w:rsidRPr="00B27B9A" w:rsidRDefault="002964C0" w:rsidP="00ED154D">
      <w:pPr>
        <w:spacing w:line="360" w:lineRule="auto"/>
      </w:pPr>
    </w:p>
    <w:p w:rsidR="003A36E5" w:rsidRPr="00B27B9A" w:rsidRDefault="0034766D" w:rsidP="00ED154D">
      <w:pPr>
        <w:spacing w:line="360" w:lineRule="auto"/>
      </w:pPr>
      <w:r w:rsidRPr="00B27B9A">
        <w:t>References</w:t>
      </w:r>
      <w:r w:rsidR="00C70CD9" w:rsidRPr="00B27B9A">
        <w:t>:</w:t>
      </w:r>
    </w:p>
    <w:p w:rsidR="00C71780" w:rsidRPr="00B27B9A" w:rsidRDefault="00C71780" w:rsidP="00C71780">
      <w:pPr>
        <w:pStyle w:val="ListParagraph"/>
        <w:numPr>
          <w:ilvl w:val="0"/>
          <w:numId w:val="2"/>
        </w:numPr>
        <w:spacing w:line="360" w:lineRule="auto"/>
      </w:pPr>
      <w:r w:rsidRPr="00B27B9A">
        <w:t xml:space="preserve">Modi N, Vohra J, Preston J et al. Guidance on clinical research involving infants, children and young people: an update for researchers and research ethics committees. </w:t>
      </w:r>
      <w:r w:rsidRPr="00B27B9A">
        <w:rPr>
          <w:i/>
        </w:rPr>
        <w:t>Arch Dis Child</w:t>
      </w:r>
      <w:r w:rsidRPr="00B27B9A">
        <w:t xml:space="preserve">   doi</w:t>
      </w:r>
      <w:proofErr w:type="gramStart"/>
      <w:r w:rsidRPr="00B27B9A">
        <w:t>:10.1136</w:t>
      </w:r>
      <w:proofErr w:type="gramEnd"/>
      <w:r w:rsidRPr="00B27B9A">
        <w:t>/archdischild-2014-306444.</w:t>
      </w:r>
    </w:p>
    <w:p w:rsidR="00C70CD9" w:rsidRPr="00B27B9A" w:rsidRDefault="00C70CD9" w:rsidP="00ED154D">
      <w:pPr>
        <w:pStyle w:val="ListParagraph"/>
        <w:numPr>
          <w:ilvl w:val="0"/>
          <w:numId w:val="2"/>
        </w:numPr>
        <w:spacing w:line="360" w:lineRule="auto"/>
      </w:pPr>
      <w:r w:rsidRPr="00B27B9A">
        <w:t xml:space="preserve">Nuffield Council on Bioethics (2015) Children and clinical research: ethical issues (London: Nuffield Council on Bioethics), available at </w:t>
      </w:r>
      <w:hyperlink r:id="rId11" w:history="1">
        <w:r w:rsidRPr="00B27B9A">
          <w:rPr>
            <w:rStyle w:val="Hyperlink"/>
            <w:color w:val="auto"/>
          </w:rPr>
          <w:t>www.nuffieldbioethics.org/children.</w:t>
        </w:r>
      </w:hyperlink>
      <w:r w:rsidRPr="00B27B9A">
        <w:t xml:space="preserve">   (Accessed Nov 2015)</w:t>
      </w:r>
    </w:p>
    <w:p w:rsidR="00C70CD9" w:rsidRPr="00B27B9A" w:rsidRDefault="00ED154D" w:rsidP="00ED154D">
      <w:pPr>
        <w:pStyle w:val="ListParagraph"/>
        <w:numPr>
          <w:ilvl w:val="0"/>
          <w:numId w:val="2"/>
        </w:numPr>
        <w:spacing w:line="360" w:lineRule="auto"/>
      </w:pPr>
      <w:r w:rsidRPr="00B27B9A">
        <w:t>World Medical Association (2013) WMA Declaration of Helsinki - ethical principles for medical research involving human subjects, available at: http://www.wma.net/en/30publications/10policies/b3/index.html, paragraph 19. (Accessed Nov 2015)</w:t>
      </w:r>
    </w:p>
    <w:p w:rsidR="00ED154D" w:rsidRPr="00B27B9A" w:rsidRDefault="00ED154D" w:rsidP="00631F17">
      <w:pPr>
        <w:pStyle w:val="ListParagraph"/>
        <w:numPr>
          <w:ilvl w:val="0"/>
          <w:numId w:val="2"/>
        </w:numPr>
        <w:spacing w:line="360" w:lineRule="auto"/>
      </w:pPr>
      <w:r w:rsidRPr="00B27B9A">
        <w:t>Gale C (2014)  Preterm birth priority set</w:t>
      </w:r>
      <w:r w:rsidR="00631F17" w:rsidRPr="00B27B9A">
        <w:t xml:space="preserve">ting partnership, </w:t>
      </w:r>
      <w:hyperlink r:id="rId12" w:history="1">
        <w:r w:rsidR="00631F17" w:rsidRPr="00B27B9A">
          <w:rPr>
            <w:rStyle w:val="Hyperlink"/>
            <w:color w:val="auto"/>
          </w:rPr>
          <w:t>https://www.crn.nihr.ac.uk/wp-content/uploads/children/4_CG_Imperial%20Preterm%20PSP%20140514.pdf</w:t>
        </w:r>
      </w:hyperlink>
      <w:r w:rsidR="00631F17" w:rsidRPr="00B27B9A">
        <w:t xml:space="preserve"> (Accessed Nov 2015)</w:t>
      </w:r>
    </w:p>
    <w:p w:rsidR="00ED154D" w:rsidRPr="00B27B9A" w:rsidRDefault="00ED154D" w:rsidP="00ED154D">
      <w:pPr>
        <w:pStyle w:val="ListParagraph"/>
        <w:numPr>
          <w:ilvl w:val="0"/>
          <w:numId w:val="2"/>
        </w:numPr>
        <w:spacing w:line="360" w:lineRule="auto"/>
      </w:pPr>
      <w:r w:rsidRPr="00B27B9A">
        <w:t xml:space="preserve">Teenagers and Young Adults with Cancer (2014) Working together: a celebration of TYAC’s first decade 2004-2014, available at: </w:t>
      </w:r>
      <w:hyperlink r:id="rId13" w:history="1">
        <w:r w:rsidRPr="00B27B9A">
          <w:rPr>
            <w:rStyle w:val="Hyperlink"/>
            <w:color w:val="auto"/>
          </w:rPr>
          <w:t>http://www.tyac.org.uk/utilities/download.FA0CFB7B-A712-417D-A43A2C1965FA7301.html</w:t>
        </w:r>
      </w:hyperlink>
      <w:r w:rsidRPr="00B27B9A">
        <w:t>. (Accessed p23 Nov 2015)</w:t>
      </w:r>
    </w:p>
    <w:p w:rsidR="009D6D8D" w:rsidRPr="00B27B9A" w:rsidRDefault="009D6D8D" w:rsidP="009D6D8D">
      <w:pPr>
        <w:pStyle w:val="ListParagraph"/>
        <w:numPr>
          <w:ilvl w:val="0"/>
          <w:numId w:val="2"/>
        </w:numPr>
        <w:spacing w:line="360" w:lineRule="auto"/>
      </w:pPr>
      <w:r w:rsidRPr="00B27B9A">
        <w:t xml:space="preserve">Sully, B. G., </w:t>
      </w:r>
      <w:proofErr w:type="spellStart"/>
      <w:r w:rsidRPr="00B27B9A">
        <w:t>Julious</w:t>
      </w:r>
      <w:proofErr w:type="spellEnd"/>
      <w:r w:rsidRPr="00B27B9A">
        <w:t xml:space="preserve">, S. A., &amp; Nicholl, J. A reinvestigation of recruitment to randomised, controlled, </w:t>
      </w:r>
      <w:proofErr w:type="spellStart"/>
      <w:r w:rsidRPr="00B27B9A">
        <w:t>multicenter</w:t>
      </w:r>
      <w:proofErr w:type="spellEnd"/>
      <w:r w:rsidRPr="00B27B9A">
        <w:t xml:space="preserve"> trials: a review of trials funded by two UK funding agencies. </w:t>
      </w:r>
      <w:r w:rsidRPr="00B27B9A">
        <w:rPr>
          <w:i/>
        </w:rPr>
        <w:t>Trials 2103</w:t>
      </w:r>
      <w:proofErr w:type="gramStart"/>
      <w:r w:rsidRPr="00B27B9A">
        <w:t>;14</w:t>
      </w:r>
      <w:proofErr w:type="gramEnd"/>
      <w:r w:rsidRPr="00B27B9A">
        <w:t>(1):166.</w:t>
      </w:r>
    </w:p>
    <w:p w:rsidR="009D6D8D" w:rsidRPr="00B27B9A" w:rsidRDefault="009D6D8D" w:rsidP="009D6D8D">
      <w:pPr>
        <w:pStyle w:val="ListParagraph"/>
        <w:numPr>
          <w:ilvl w:val="0"/>
          <w:numId w:val="2"/>
        </w:numPr>
        <w:spacing w:line="360" w:lineRule="auto"/>
      </w:pPr>
      <w:r w:rsidRPr="00B27B9A">
        <w:lastRenderedPageBreak/>
        <w:t xml:space="preserve">Richards, D. A., Ross, S., </w:t>
      </w:r>
      <w:proofErr w:type="spellStart"/>
      <w:r w:rsidRPr="00B27B9A">
        <w:t>Robens</w:t>
      </w:r>
      <w:proofErr w:type="spellEnd"/>
      <w:r w:rsidRPr="00B27B9A">
        <w:t xml:space="preserve">, S., &amp; </w:t>
      </w:r>
      <w:proofErr w:type="spellStart"/>
      <w:r w:rsidRPr="00B27B9A">
        <w:t>Borglin</w:t>
      </w:r>
      <w:proofErr w:type="spellEnd"/>
      <w:r w:rsidRPr="00B27B9A">
        <w:t xml:space="preserve">, G. The </w:t>
      </w:r>
      <w:proofErr w:type="spellStart"/>
      <w:r w:rsidRPr="00B27B9A">
        <w:t>DiReCT</w:t>
      </w:r>
      <w:proofErr w:type="spellEnd"/>
      <w:r w:rsidRPr="00B27B9A">
        <w:t xml:space="preserve"> study-improving recruitment into clinical trials: a mixed methods study investigating the ethical acceptability, feasibility and recruitment yield of the cohort multiple randomised controlled trials design. </w:t>
      </w:r>
      <w:r w:rsidRPr="00B27B9A">
        <w:rPr>
          <w:i/>
        </w:rPr>
        <w:t>Trials 2014</w:t>
      </w:r>
      <w:r w:rsidRPr="00B27B9A">
        <w:t>; 15(1):398.</w:t>
      </w:r>
    </w:p>
    <w:p w:rsidR="009D6D8D" w:rsidRPr="00B27B9A" w:rsidRDefault="009D6D8D" w:rsidP="009D6D8D">
      <w:pPr>
        <w:pStyle w:val="ListParagraph"/>
        <w:numPr>
          <w:ilvl w:val="0"/>
          <w:numId w:val="2"/>
        </w:numPr>
        <w:spacing w:line="360" w:lineRule="auto"/>
      </w:pPr>
      <w:r w:rsidRPr="00B27B9A">
        <w:t xml:space="preserve">Shilling V, Williamson PR, Hickey H, Sowden E, Beresford MW, Smyth RL, Young B (2011a). Communication about children’s clinical trials as observed and experienced: qualitative study of parents and practitioners. </w:t>
      </w:r>
      <w:proofErr w:type="spellStart"/>
      <w:r w:rsidRPr="00B27B9A">
        <w:rPr>
          <w:i/>
        </w:rPr>
        <w:t>PLoS</w:t>
      </w:r>
      <w:proofErr w:type="spellEnd"/>
      <w:r w:rsidRPr="00B27B9A">
        <w:rPr>
          <w:i/>
        </w:rPr>
        <w:t xml:space="preserve"> One 2011</w:t>
      </w:r>
      <w:proofErr w:type="gramStart"/>
      <w:r w:rsidRPr="00B27B9A">
        <w:t>;6</w:t>
      </w:r>
      <w:proofErr w:type="gramEnd"/>
      <w:r w:rsidRPr="00B27B9A">
        <w:t xml:space="preserve">(7):e21604. </w:t>
      </w:r>
    </w:p>
    <w:p w:rsidR="009D6D8D" w:rsidRPr="00B27B9A" w:rsidRDefault="009D6D8D" w:rsidP="00C71780">
      <w:pPr>
        <w:pStyle w:val="ListParagraph"/>
        <w:numPr>
          <w:ilvl w:val="0"/>
          <w:numId w:val="2"/>
        </w:numPr>
        <w:spacing w:line="360" w:lineRule="auto"/>
      </w:pPr>
      <w:r w:rsidRPr="00B27B9A">
        <w:t>Shilling V, Williamson PR, Hickey H, Sowden E, Smyth RL, Young B. Processes in recruitment to randomised controlled trials of medicines for children (RECRUIT): a qualitative study.  Health Technology Assessment 2011</w:t>
      </w:r>
      <w:proofErr w:type="gramStart"/>
      <w:r w:rsidRPr="00B27B9A">
        <w:t>;15</w:t>
      </w:r>
      <w:proofErr w:type="gramEnd"/>
      <w:r w:rsidRPr="00B27B9A">
        <w:t xml:space="preserve">(15). </w:t>
      </w:r>
    </w:p>
    <w:p w:rsidR="004608C3" w:rsidRPr="00B27B9A" w:rsidRDefault="004608C3" w:rsidP="004608C3">
      <w:pPr>
        <w:pStyle w:val="ListParagraph"/>
        <w:numPr>
          <w:ilvl w:val="0"/>
          <w:numId w:val="2"/>
        </w:numPr>
        <w:spacing w:line="360" w:lineRule="auto"/>
      </w:pPr>
      <w:r w:rsidRPr="00B27B9A">
        <w:t xml:space="preserve">Baines P. Assent for children's participation in research is incoherent and wrong. </w:t>
      </w:r>
      <w:r w:rsidRPr="00B27B9A">
        <w:rPr>
          <w:i/>
        </w:rPr>
        <w:t>Arch Dis Child 2011</w:t>
      </w:r>
      <w:proofErr w:type="gramStart"/>
      <w:r w:rsidRPr="00B27B9A">
        <w:t>;96:10</w:t>
      </w:r>
      <w:proofErr w:type="gramEnd"/>
      <w:r w:rsidRPr="00B27B9A">
        <w:t xml:space="preserve"> 960-962.</w:t>
      </w:r>
    </w:p>
    <w:p w:rsidR="00F45AC2" w:rsidRPr="00B27B9A" w:rsidRDefault="004608C3" w:rsidP="00ED154D">
      <w:pPr>
        <w:spacing w:line="360" w:lineRule="auto"/>
      </w:pPr>
      <w:r w:rsidRPr="00B27B9A">
        <w:t xml:space="preserve"> </w:t>
      </w:r>
    </w:p>
    <w:sectPr w:rsidR="00F45AC2" w:rsidRPr="00B27B9A" w:rsidSect="002618E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CC1" w:rsidRDefault="00236CC1" w:rsidP="00236CC1">
      <w:pPr>
        <w:spacing w:after="0" w:line="240" w:lineRule="auto"/>
      </w:pPr>
      <w:r>
        <w:separator/>
      </w:r>
    </w:p>
  </w:endnote>
  <w:endnote w:type="continuationSeparator" w:id="0">
    <w:p w:rsidR="00236CC1" w:rsidRDefault="00236CC1" w:rsidP="00236C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CC1" w:rsidRDefault="00236CC1" w:rsidP="00236CC1">
      <w:pPr>
        <w:spacing w:after="0" w:line="240" w:lineRule="auto"/>
      </w:pPr>
      <w:r>
        <w:separator/>
      </w:r>
    </w:p>
  </w:footnote>
  <w:footnote w:type="continuationSeparator" w:id="0">
    <w:p w:rsidR="00236CC1" w:rsidRDefault="00236CC1" w:rsidP="00236C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8A63F6"/>
    <w:multiLevelType w:val="hybridMultilevel"/>
    <w:tmpl w:val="4B1830C6"/>
    <w:lvl w:ilvl="0" w:tplc="3732CC7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3B25FB1"/>
    <w:multiLevelType w:val="hybridMultilevel"/>
    <w:tmpl w:val="9DCAE6CE"/>
    <w:lvl w:ilvl="0" w:tplc="3732CC7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8FB"/>
    <w:rsid w:val="000001D4"/>
    <w:rsid w:val="0005295E"/>
    <w:rsid w:val="00055D60"/>
    <w:rsid w:val="00070B1F"/>
    <w:rsid w:val="000D2AAA"/>
    <w:rsid w:val="000F35D9"/>
    <w:rsid w:val="00120E21"/>
    <w:rsid w:val="00176D78"/>
    <w:rsid w:val="001E0BE7"/>
    <w:rsid w:val="00215453"/>
    <w:rsid w:val="00217B0F"/>
    <w:rsid w:val="00236CC1"/>
    <w:rsid w:val="002379D5"/>
    <w:rsid w:val="002452BE"/>
    <w:rsid w:val="002618E9"/>
    <w:rsid w:val="00280E0A"/>
    <w:rsid w:val="002964C0"/>
    <w:rsid w:val="002F1FFC"/>
    <w:rsid w:val="002F3161"/>
    <w:rsid w:val="002F3F41"/>
    <w:rsid w:val="002F5ED5"/>
    <w:rsid w:val="002F791E"/>
    <w:rsid w:val="00304CBD"/>
    <w:rsid w:val="0031483D"/>
    <w:rsid w:val="00336856"/>
    <w:rsid w:val="00347439"/>
    <w:rsid w:val="0034766D"/>
    <w:rsid w:val="00392E67"/>
    <w:rsid w:val="003A36E5"/>
    <w:rsid w:val="003D21FE"/>
    <w:rsid w:val="003F374D"/>
    <w:rsid w:val="00435AB8"/>
    <w:rsid w:val="00437ABD"/>
    <w:rsid w:val="004608C3"/>
    <w:rsid w:val="004936C8"/>
    <w:rsid w:val="00495B37"/>
    <w:rsid w:val="004B3A07"/>
    <w:rsid w:val="004D0BE2"/>
    <w:rsid w:val="004E1A10"/>
    <w:rsid w:val="00502A91"/>
    <w:rsid w:val="005136B2"/>
    <w:rsid w:val="0054023E"/>
    <w:rsid w:val="005A23FB"/>
    <w:rsid w:val="005A6BB8"/>
    <w:rsid w:val="005D11BF"/>
    <w:rsid w:val="005F3432"/>
    <w:rsid w:val="00610141"/>
    <w:rsid w:val="00620EAB"/>
    <w:rsid w:val="00631F17"/>
    <w:rsid w:val="00640E3C"/>
    <w:rsid w:val="006B46E1"/>
    <w:rsid w:val="006D3E1A"/>
    <w:rsid w:val="0071611F"/>
    <w:rsid w:val="00793B2D"/>
    <w:rsid w:val="007A0FB8"/>
    <w:rsid w:val="007A5776"/>
    <w:rsid w:val="007C470E"/>
    <w:rsid w:val="007D34AD"/>
    <w:rsid w:val="007E38FB"/>
    <w:rsid w:val="007E61C5"/>
    <w:rsid w:val="0083054B"/>
    <w:rsid w:val="00832F7C"/>
    <w:rsid w:val="00901C91"/>
    <w:rsid w:val="00905FD3"/>
    <w:rsid w:val="00910715"/>
    <w:rsid w:val="00921BBF"/>
    <w:rsid w:val="00927706"/>
    <w:rsid w:val="00934665"/>
    <w:rsid w:val="00942F0C"/>
    <w:rsid w:val="009818F3"/>
    <w:rsid w:val="009D6D8D"/>
    <w:rsid w:val="009E1F7A"/>
    <w:rsid w:val="009E7398"/>
    <w:rsid w:val="00A02D75"/>
    <w:rsid w:val="00A0539A"/>
    <w:rsid w:val="00A2448C"/>
    <w:rsid w:val="00A34FCC"/>
    <w:rsid w:val="00A46269"/>
    <w:rsid w:val="00A52005"/>
    <w:rsid w:val="00A8598D"/>
    <w:rsid w:val="00AA6342"/>
    <w:rsid w:val="00AB5997"/>
    <w:rsid w:val="00AD1932"/>
    <w:rsid w:val="00AF0C97"/>
    <w:rsid w:val="00AF2810"/>
    <w:rsid w:val="00AF7161"/>
    <w:rsid w:val="00B27B9A"/>
    <w:rsid w:val="00B9528B"/>
    <w:rsid w:val="00BB42D8"/>
    <w:rsid w:val="00C00AB7"/>
    <w:rsid w:val="00C05D4E"/>
    <w:rsid w:val="00C1522F"/>
    <w:rsid w:val="00C34F15"/>
    <w:rsid w:val="00C57C92"/>
    <w:rsid w:val="00C61A7B"/>
    <w:rsid w:val="00C70CD9"/>
    <w:rsid w:val="00C71780"/>
    <w:rsid w:val="00C875BF"/>
    <w:rsid w:val="00CE0591"/>
    <w:rsid w:val="00CF0F22"/>
    <w:rsid w:val="00D0465B"/>
    <w:rsid w:val="00D355DB"/>
    <w:rsid w:val="00D42F30"/>
    <w:rsid w:val="00DB0BCD"/>
    <w:rsid w:val="00DC670C"/>
    <w:rsid w:val="00DD38E3"/>
    <w:rsid w:val="00DD4733"/>
    <w:rsid w:val="00DF2D27"/>
    <w:rsid w:val="00DF3C52"/>
    <w:rsid w:val="00E17CF7"/>
    <w:rsid w:val="00E54D72"/>
    <w:rsid w:val="00E94E8D"/>
    <w:rsid w:val="00EA0AA5"/>
    <w:rsid w:val="00EB199A"/>
    <w:rsid w:val="00EB27DD"/>
    <w:rsid w:val="00EC1678"/>
    <w:rsid w:val="00ED154D"/>
    <w:rsid w:val="00F45AC2"/>
    <w:rsid w:val="00F5031A"/>
    <w:rsid w:val="00FE240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A36E5"/>
    <w:rPr>
      <w:sz w:val="16"/>
      <w:szCs w:val="16"/>
    </w:rPr>
  </w:style>
  <w:style w:type="paragraph" w:styleId="CommentText">
    <w:name w:val="annotation text"/>
    <w:basedOn w:val="Normal"/>
    <w:link w:val="CommentTextChar"/>
    <w:uiPriority w:val="99"/>
    <w:semiHidden/>
    <w:unhideWhenUsed/>
    <w:rsid w:val="003A36E5"/>
    <w:pPr>
      <w:spacing w:line="240" w:lineRule="auto"/>
    </w:pPr>
    <w:rPr>
      <w:sz w:val="20"/>
      <w:szCs w:val="20"/>
    </w:rPr>
  </w:style>
  <w:style w:type="character" w:customStyle="1" w:styleId="CommentTextChar">
    <w:name w:val="Comment Text Char"/>
    <w:basedOn w:val="DefaultParagraphFont"/>
    <w:link w:val="CommentText"/>
    <w:uiPriority w:val="99"/>
    <w:semiHidden/>
    <w:rsid w:val="003A36E5"/>
    <w:rPr>
      <w:sz w:val="20"/>
      <w:szCs w:val="20"/>
    </w:rPr>
  </w:style>
  <w:style w:type="paragraph" w:styleId="CommentSubject">
    <w:name w:val="annotation subject"/>
    <w:basedOn w:val="CommentText"/>
    <w:next w:val="CommentText"/>
    <w:link w:val="CommentSubjectChar"/>
    <w:uiPriority w:val="99"/>
    <w:semiHidden/>
    <w:unhideWhenUsed/>
    <w:rsid w:val="003A36E5"/>
    <w:rPr>
      <w:b/>
      <w:bCs/>
    </w:rPr>
  </w:style>
  <w:style w:type="character" w:customStyle="1" w:styleId="CommentSubjectChar">
    <w:name w:val="Comment Subject Char"/>
    <w:basedOn w:val="CommentTextChar"/>
    <w:link w:val="CommentSubject"/>
    <w:uiPriority w:val="99"/>
    <w:semiHidden/>
    <w:rsid w:val="003A36E5"/>
    <w:rPr>
      <w:b/>
      <w:bCs/>
      <w:sz w:val="20"/>
      <w:szCs w:val="20"/>
    </w:rPr>
  </w:style>
  <w:style w:type="paragraph" w:styleId="BalloonText">
    <w:name w:val="Balloon Text"/>
    <w:basedOn w:val="Normal"/>
    <w:link w:val="BalloonTextChar"/>
    <w:uiPriority w:val="99"/>
    <w:semiHidden/>
    <w:unhideWhenUsed/>
    <w:rsid w:val="003A36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36E5"/>
    <w:rPr>
      <w:rFonts w:ascii="Tahoma" w:hAnsi="Tahoma" w:cs="Tahoma"/>
      <w:sz w:val="16"/>
      <w:szCs w:val="16"/>
    </w:rPr>
  </w:style>
  <w:style w:type="paragraph" w:styleId="Revision">
    <w:name w:val="Revision"/>
    <w:hidden/>
    <w:uiPriority w:val="99"/>
    <w:semiHidden/>
    <w:rsid w:val="00A0539A"/>
    <w:pPr>
      <w:spacing w:after="0" w:line="240" w:lineRule="auto"/>
    </w:pPr>
  </w:style>
  <w:style w:type="character" w:styleId="Hyperlink">
    <w:name w:val="Hyperlink"/>
    <w:basedOn w:val="DefaultParagraphFont"/>
    <w:uiPriority w:val="99"/>
    <w:unhideWhenUsed/>
    <w:rsid w:val="00F45AC2"/>
    <w:rPr>
      <w:color w:val="0000FF" w:themeColor="hyperlink"/>
      <w:u w:val="single"/>
    </w:rPr>
  </w:style>
  <w:style w:type="paragraph" w:styleId="ListParagraph">
    <w:name w:val="List Paragraph"/>
    <w:basedOn w:val="Normal"/>
    <w:uiPriority w:val="34"/>
    <w:qFormat/>
    <w:rsid w:val="001E0BE7"/>
    <w:pPr>
      <w:ind w:left="720"/>
      <w:contextualSpacing/>
    </w:pPr>
  </w:style>
  <w:style w:type="character" w:styleId="FollowedHyperlink">
    <w:name w:val="FollowedHyperlink"/>
    <w:basedOn w:val="DefaultParagraphFont"/>
    <w:uiPriority w:val="99"/>
    <w:semiHidden/>
    <w:unhideWhenUsed/>
    <w:rsid w:val="00C70CD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A36E5"/>
    <w:rPr>
      <w:sz w:val="16"/>
      <w:szCs w:val="16"/>
    </w:rPr>
  </w:style>
  <w:style w:type="paragraph" w:styleId="CommentText">
    <w:name w:val="annotation text"/>
    <w:basedOn w:val="Normal"/>
    <w:link w:val="CommentTextChar"/>
    <w:uiPriority w:val="99"/>
    <w:semiHidden/>
    <w:unhideWhenUsed/>
    <w:rsid w:val="003A36E5"/>
    <w:pPr>
      <w:spacing w:line="240" w:lineRule="auto"/>
    </w:pPr>
    <w:rPr>
      <w:sz w:val="20"/>
      <w:szCs w:val="20"/>
    </w:rPr>
  </w:style>
  <w:style w:type="character" w:customStyle="1" w:styleId="CommentTextChar">
    <w:name w:val="Comment Text Char"/>
    <w:basedOn w:val="DefaultParagraphFont"/>
    <w:link w:val="CommentText"/>
    <w:uiPriority w:val="99"/>
    <w:semiHidden/>
    <w:rsid w:val="003A36E5"/>
    <w:rPr>
      <w:sz w:val="20"/>
      <w:szCs w:val="20"/>
    </w:rPr>
  </w:style>
  <w:style w:type="paragraph" w:styleId="CommentSubject">
    <w:name w:val="annotation subject"/>
    <w:basedOn w:val="CommentText"/>
    <w:next w:val="CommentText"/>
    <w:link w:val="CommentSubjectChar"/>
    <w:uiPriority w:val="99"/>
    <w:semiHidden/>
    <w:unhideWhenUsed/>
    <w:rsid w:val="003A36E5"/>
    <w:rPr>
      <w:b/>
      <w:bCs/>
    </w:rPr>
  </w:style>
  <w:style w:type="character" w:customStyle="1" w:styleId="CommentSubjectChar">
    <w:name w:val="Comment Subject Char"/>
    <w:basedOn w:val="CommentTextChar"/>
    <w:link w:val="CommentSubject"/>
    <w:uiPriority w:val="99"/>
    <w:semiHidden/>
    <w:rsid w:val="003A36E5"/>
    <w:rPr>
      <w:b/>
      <w:bCs/>
      <w:sz w:val="20"/>
      <w:szCs w:val="20"/>
    </w:rPr>
  </w:style>
  <w:style w:type="paragraph" w:styleId="BalloonText">
    <w:name w:val="Balloon Text"/>
    <w:basedOn w:val="Normal"/>
    <w:link w:val="BalloonTextChar"/>
    <w:uiPriority w:val="99"/>
    <w:semiHidden/>
    <w:unhideWhenUsed/>
    <w:rsid w:val="003A36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36E5"/>
    <w:rPr>
      <w:rFonts w:ascii="Tahoma" w:hAnsi="Tahoma" w:cs="Tahoma"/>
      <w:sz w:val="16"/>
      <w:szCs w:val="16"/>
    </w:rPr>
  </w:style>
  <w:style w:type="paragraph" w:styleId="Revision">
    <w:name w:val="Revision"/>
    <w:hidden/>
    <w:uiPriority w:val="99"/>
    <w:semiHidden/>
    <w:rsid w:val="00A0539A"/>
    <w:pPr>
      <w:spacing w:after="0" w:line="240" w:lineRule="auto"/>
    </w:pPr>
  </w:style>
  <w:style w:type="character" w:styleId="Hyperlink">
    <w:name w:val="Hyperlink"/>
    <w:basedOn w:val="DefaultParagraphFont"/>
    <w:uiPriority w:val="99"/>
    <w:unhideWhenUsed/>
    <w:rsid w:val="00F45AC2"/>
    <w:rPr>
      <w:color w:val="0000FF" w:themeColor="hyperlink"/>
      <w:u w:val="single"/>
    </w:rPr>
  </w:style>
  <w:style w:type="paragraph" w:styleId="ListParagraph">
    <w:name w:val="List Paragraph"/>
    <w:basedOn w:val="Normal"/>
    <w:uiPriority w:val="34"/>
    <w:qFormat/>
    <w:rsid w:val="001E0BE7"/>
    <w:pPr>
      <w:ind w:left="720"/>
      <w:contextualSpacing/>
    </w:pPr>
  </w:style>
  <w:style w:type="character" w:styleId="FollowedHyperlink">
    <w:name w:val="FollowedHyperlink"/>
    <w:basedOn w:val="DefaultParagraphFont"/>
    <w:uiPriority w:val="99"/>
    <w:semiHidden/>
    <w:unhideWhenUsed/>
    <w:rsid w:val="00C70CD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131671">
      <w:bodyDiv w:val="1"/>
      <w:marLeft w:val="0"/>
      <w:marRight w:val="0"/>
      <w:marTop w:val="0"/>
      <w:marBottom w:val="0"/>
      <w:divBdr>
        <w:top w:val="none" w:sz="0" w:space="0" w:color="auto"/>
        <w:left w:val="none" w:sz="0" w:space="0" w:color="auto"/>
        <w:bottom w:val="none" w:sz="0" w:space="0" w:color="auto"/>
        <w:right w:val="none" w:sz="0" w:space="0" w:color="auto"/>
      </w:divBdr>
      <w:divsChild>
        <w:div w:id="1860241143">
          <w:marLeft w:val="0"/>
          <w:marRight w:val="0"/>
          <w:marTop w:val="0"/>
          <w:marBottom w:val="0"/>
          <w:divBdr>
            <w:top w:val="none" w:sz="0" w:space="0" w:color="auto"/>
            <w:left w:val="none" w:sz="0" w:space="0" w:color="auto"/>
            <w:bottom w:val="none" w:sz="0" w:space="0" w:color="auto"/>
            <w:right w:val="none" w:sz="0" w:space="0" w:color="auto"/>
          </w:divBdr>
        </w:div>
        <w:div w:id="896890763">
          <w:marLeft w:val="0"/>
          <w:marRight w:val="0"/>
          <w:marTop w:val="0"/>
          <w:marBottom w:val="0"/>
          <w:divBdr>
            <w:top w:val="none" w:sz="0" w:space="0" w:color="auto"/>
            <w:left w:val="none" w:sz="0" w:space="0" w:color="auto"/>
            <w:bottom w:val="none" w:sz="0" w:space="0" w:color="auto"/>
            <w:right w:val="none" w:sz="0" w:space="0" w:color="auto"/>
          </w:divBdr>
        </w:div>
        <w:div w:id="1149205969">
          <w:marLeft w:val="0"/>
          <w:marRight w:val="0"/>
          <w:marTop w:val="0"/>
          <w:marBottom w:val="0"/>
          <w:divBdr>
            <w:top w:val="none" w:sz="0" w:space="0" w:color="auto"/>
            <w:left w:val="none" w:sz="0" w:space="0" w:color="auto"/>
            <w:bottom w:val="none" w:sz="0" w:space="0" w:color="auto"/>
            <w:right w:val="none" w:sz="0" w:space="0" w:color="auto"/>
          </w:divBdr>
        </w:div>
        <w:div w:id="1981879107">
          <w:marLeft w:val="0"/>
          <w:marRight w:val="0"/>
          <w:marTop w:val="0"/>
          <w:marBottom w:val="0"/>
          <w:divBdr>
            <w:top w:val="none" w:sz="0" w:space="0" w:color="auto"/>
            <w:left w:val="none" w:sz="0" w:space="0" w:color="auto"/>
            <w:bottom w:val="none" w:sz="0" w:space="0" w:color="auto"/>
            <w:right w:val="none" w:sz="0" w:space="0" w:color="auto"/>
          </w:divBdr>
        </w:div>
        <w:div w:id="214783663">
          <w:marLeft w:val="0"/>
          <w:marRight w:val="0"/>
          <w:marTop w:val="0"/>
          <w:marBottom w:val="0"/>
          <w:divBdr>
            <w:top w:val="none" w:sz="0" w:space="0" w:color="auto"/>
            <w:left w:val="none" w:sz="0" w:space="0" w:color="auto"/>
            <w:bottom w:val="none" w:sz="0" w:space="0" w:color="auto"/>
            <w:right w:val="none" w:sz="0" w:space="0" w:color="auto"/>
          </w:divBdr>
        </w:div>
        <w:div w:id="390690529">
          <w:marLeft w:val="0"/>
          <w:marRight w:val="0"/>
          <w:marTop w:val="0"/>
          <w:marBottom w:val="0"/>
          <w:divBdr>
            <w:top w:val="none" w:sz="0" w:space="0" w:color="auto"/>
            <w:left w:val="none" w:sz="0" w:space="0" w:color="auto"/>
            <w:bottom w:val="none" w:sz="0" w:space="0" w:color="auto"/>
            <w:right w:val="none" w:sz="0" w:space="0" w:color="auto"/>
          </w:divBdr>
        </w:div>
        <w:div w:id="829322355">
          <w:marLeft w:val="0"/>
          <w:marRight w:val="0"/>
          <w:marTop w:val="0"/>
          <w:marBottom w:val="0"/>
          <w:divBdr>
            <w:top w:val="none" w:sz="0" w:space="0" w:color="auto"/>
            <w:left w:val="none" w:sz="0" w:space="0" w:color="auto"/>
            <w:bottom w:val="none" w:sz="0" w:space="0" w:color="auto"/>
            <w:right w:val="none" w:sz="0" w:space="0" w:color="auto"/>
          </w:divBdr>
        </w:div>
        <w:div w:id="434714253">
          <w:marLeft w:val="0"/>
          <w:marRight w:val="0"/>
          <w:marTop w:val="0"/>
          <w:marBottom w:val="0"/>
          <w:divBdr>
            <w:top w:val="none" w:sz="0" w:space="0" w:color="auto"/>
            <w:left w:val="none" w:sz="0" w:space="0" w:color="auto"/>
            <w:bottom w:val="none" w:sz="0" w:space="0" w:color="auto"/>
            <w:right w:val="none" w:sz="0" w:space="0" w:color="auto"/>
          </w:divBdr>
        </w:div>
        <w:div w:id="1347515490">
          <w:marLeft w:val="0"/>
          <w:marRight w:val="0"/>
          <w:marTop w:val="0"/>
          <w:marBottom w:val="0"/>
          <w:divBdr>
            <w:top w:val="none" w:sz="0" w:space="0" w:color="auto"/>
            <w:left w:val="none" w:sz="0" w:space="0" w:color="auto"/>
            <w:bottom w:val="none" w:sz="0" w:space="0" w:color="auto"/>
            <w:right w:val="none" w:sz="0" w:space="0" w:color="auto"/>
          </w:divBdr>
        </w:div>
        <w:div w:id="1917201987">
          <w:marLeft w:val="0"/>
          <w:marRight w:val="0"/>
          <w:marTop w:val="0"/>
          <w:marBottom w:val="0"/>
          <w:divBdr>
            <w:top w:val="none" w:sz="0" w:space="0" w:color="auto"/>
            <w:left w:val="none" w:sz="0" w:space="0" w:color="auto"/>
            <w:bottom w:val="none" w:sz="0" w:space="0" w:color="auto"/>
            <w:right w:val="none" w:sz="0" w:space="0" w:color="auto"/>
          </w:divBdr>
        </w:div>
        <w:div w:id="1546406423">
          <w:marLeft w:val="0"/>
          <w:marRight w:val="0"/>
          <w:marTop w:val="0"/>
          <w:marBottom w:val="0"/>
          <w:divBdr>
            <w:top w:val="none" w:sz="0" w:space="0" w:color="auto"/>
            <w:left w:val="none" w:sz="0" w:space="0" w:color="auto"/>
            <w:bottom w:val="none" w:sz="0" w:space="0" w:color="auto"/>
            <w:right w:val="none" w:sz="0" w:space="0" w:color="auto"/>
          </w:divBdr>
        </w:div>
        <w:div w:id="28381525">
          <w:marLeft w:val="0"/>
          <w:marRight w:val="0"/>
          <w:marTop w:val="0"/>
          <w:marBottom w:val="0"/>
          <w:divBdr>
            <w:top w:val="none" w:sz="0" w:space="0" w:color="auto"/>
            <w:left w:val="none" w:sz="0" w:space="0" w:color="auto"/>
            <w:bottom w:val="none" w:sz="0" w:space="0" w:color="auto"/>
            <w:right w:val="none" w:sz="0" w:space="0" w:color="auto"/>
          </w:divBdr>
        </w:div>
        <w:div w:id="163084563">
          <w:marLeft w:val="0"/>
          <w:marRight w:val="0"/>
          <w:marTop w:val="0"/>
          <w:marBottom w:val="0"/>
          <w:divBdr>
            <w:top w:val="none" w:sz="0" w:space="0" w:color="auto"/>
            <w:left w:val="none" w:sz="0" w:space="0" w:color="auto"/>
            <w:bottom w:val="none" w:sz="0" w:space="0" w:color="auto"/>
            <w:right w:val="none" w:sz="0" w:space="0" w:color="auto"/>
          </w:divBdr>
        </w:div>
        <w:div w:id="163204499">
          <w:marLeft w:val="0"/>
          <w:marRight w:val="0"/>
          <w:marTop w:val="0"/>
          <w:marBottom w:val="0"/>
          <w:divBdr>
            <w:top w:val="none" w:sz="0" w:space="0" w:color="auto"/>
            <w:left w:val="none" w:sz="0" w:space="0" w:color="auto"/>
            <w:bottom w:val="none" w:sz="0" w:space="0" w:color="auto"/>
            <w:right w:val="none" w:sz="0" w:space="0" w:color="auto"/>
          </w:divBdr>
        </w:div>
        <w:div w:id="627510066">
          <w:marLeft w:val="0"/>
          <w:marRight w:val="0"/>
          <w:marTop w:val="0"/>
          <w:marBottom w:val="0"/>
          <w:divBdr>
            <w:top w:val="none" w:sz="0" w:space="0" w:color="auto"/>
            <w:left w:val="none" w:sz="0" w:space="0" w:color="auto"/>
            <w:bottom w:val="none" w:sz="0" w:space="0" w:color="auto"/>
            <w:right w:val="none" w:sz="0" w:space="0" w:color="auto"/>
          </w:divBdr>
        </w:div>
        <w:div w:id="354893845">
          <w:marLeft w:val="0"/>
          <w:marRight w:val="0"/>
          <w:marTop w:val="0"/>
          <w:marBottom w:val="0"/>
          <w:divBdr>
            <w:top w:val="none" w:sz="0" w:space="0" w:color="auto"/>
            <w:left w:val="none" w:sz="0" w:space="0" w:color="auto"/>
            <w:bottom w:val="none" w:sz="0" w:space="0" w:color="auto"/>
            <w:right w:val="none" w:sz="0" w:space="0" w:color="auto"/>
          </w:divBdr>
        </w:div>
        <w:div w:id="1962413348">
          <w:marLeft w:val="0"/>
          <w:marRight w:val="0"/>
          <w:marTop w:val="0"/>
          <w:marBottom w:val="0"/>
          <w:divBdr>
            <w:top w:val="none" w:sz="0" w:space="0" w:color="auto"/>
            <w:left w:val="none" w:sz="0" w:space="0" w:color="auto"/>
            <w:bottom w:val="none" w:sz="0" w:space="0" w:color="auto"/>
            <w:right w:val="none" w:sz="0" w:space="0" w:color="auto"/>
          </w:divBdr>
        </w:div>
        <w:div w:id="412973049">
          <w:marLeft w:val="0"/>
          <w:marRight w:val="0"/>
          <w:marTop w:val="0"/>
          <w:marBottom w:val="0"/>
          <w:divBdr>
            <w:top w:val="none" w:sz="0" w:space="0" w:color="auto"/>
            <w:left w:val="none" w:sz="0" w:space="0" w:color="auto"/>
            <w:bottom w:val="none" w:sz="0" w:space="0" w:color="auto"/>
            <w:right w:val="none" w:sz="0" w:space="0" w:color="auto"/>
          </w:divBdr>
        </w:div>
        <w:div w:id="1098596602">
          <w:marLeft w:val="0"/>
          <w:marRight w:val="0"/>
          <w:marTop w:val="0"/>
          <w:marBottom w:val="0"/>
          <w:divBdr>
            <w:top w:val="none" w:sz="0" w:space="0" w:color="auto"/>
            <w:left w:val="none" w:sz="0" w:space="0" w:color="auto"/>
            <w:bottom w:val="none" w:sz="0" w:space="0" w:color="auto"/>
            <w:right w:val="none" w:sz="0" w:space="0" w:color="auto"/>
          </w:divBdr>
        </w:div>
        <w:div w:id="1653365530">
          <w:marLeft w:val="0"/>
          <w:marRight w:val="0"/>
          <w:marTop w:val="0"/>
          <w:marBottom w:val="0"/>
          <w:divBdr>
            <w:top w:val="none" w:sz="0" w:space="0" w:color="auto"/>
            <w:left w:val="none" w:sz="0" w:space="0" w:color="auto"/>
            <w:bottom w:val="none" w:sz="0" w:space="0" w:color="auto"/>
            <w:right w:val="none" w:sz="0" w:space="0" w:color="auto"/>
          </w:divBdr>
        </w:div>
        <w:div w:id="595017628">
          <w:marLeft w:val="0"/>
          <w:marRight w:val="0"/>
          <w:marTop w:val="0"/>
          <w:marBottom w:val="0"/>
          <w:divBdr>
            <w:top w:val="none" w:sz="0" w:space="0" w:color="auto"/>
            <w:left w:val="none" w:sz="0" w:space="0" w:color="auto"/>
            <w:bottom w:val="none" w:sz="0" w:space="0" w:color="auto"/>
            <w:right w:val="none" w:sz="0" w:space="0" w:color="auto"/>
          </w:divBdr>
        </w:div>
        <w:div w:id="1656908619">
          <w:marLeft w:val="0"/>
          <w:marRight w:val="0"/>
          <w:marTop w:val="0"/>
          <w:marBottom w:val="0"/>
          <w:divBdr>
            <w:top w:val="none" w:sz="0" w:space="0" w:color="auto"/>
            <w:left w:val="none" w:sz="0" w:space="0" w:color="auto"/>
            <w:bottom w:val="none" w:sz="0" w:space="0" w:color="auto"/>
            <w:right w:val="none" w:sz="0" w:space="0" w:color="auto"/>
          </w:divBdr>
        </w:div>
        <w:div w:id="1362435853">
          <w:marLeft w:val="0"/>
          <w:marRight w:val="0"/>
          <w:marTop w:val="0"/>
          <w:marBottom w:val="0"/>
          <w:divBdr>
            <w:top w:val="none" w:sz="0" w:space="0" w:color="auto"/>
            <w:left w:val="none" w:sz="0" w:space="0" w:color="auto"/>
            <w:bottom w:val="none" w:sz="0" w:space="0" w:color="auto"/>
            <w:right w:val="none" w:sz="0" w:space="0" w:color="auto"/>
          </w:divBdr>
        </w:div>
        <w:div w:id="1202402648">
          <w:marLeft w:val="0"/>
          <w:marRight w:val="0"/>
          <w:marTop w:val="0"/>
          <w:marBottom w:val="0"/>
          <w:divBdr>
            <w:top w:val="none" w:sz="0" w:space="0" w:color="auto"/>
            <w:left w:val="none" w:sz="0" w:space="0" w:color="auto"/>
            <w:bottom w:val="none" w:sz="0" w:space="0" w:color="auto"/>
            <w:right w:val="none" w:sz="0" w:space="0" w:color="auto"/>
          </w:divBdr>
        </w:div>
      </w:divsChild>
    </w:div>
    <w:div w:id="848789450">
      <w:bodyDiv w:val="1"/>
      <w:marLeft w:val="0"/>
      <w:marRight w:val="0"/>
      <w:marTop w:val="0"/>
      <w:marBottom w:val="0"/>
      <w:divBdr>
        <w:top w:val="none" w:sz="0" w:space="0" w:color="auto"/>
        <w:left w:val="none" w:sz="0" w:space="0" w:color="auto"/>
        <w:bottom w:val="none" w:sz="0" w:space="0" w:color="auto"/>
        <w:right w:val="none" w:sz="0" w:space="0" w:color="auto"/>
      </w:divBdr>
      <w:divsChild>
        <w:div w:id="11076249">
          <w:marLeft w:val="0"/>
          <w:marRight w:val="0"/>
          <w:marTop w:val="0"/>
          <w:marBottom w:val="0"/>
          <w:divBdr>
            <w:top w:val="none" w:sz="0" w:space="0" w:color="auto"/>
            <w:left w:val="none" w:sz="0" w:space="0" w:color="auto"/>
            <w:bottom w:val="none" w:sz="0" w:space="0" w:color="auto"/>
            <w:right w:val="none" w:sz="0" w:space="0" w:color="auto"/>
          </w:divBdr>
          <w:divsChild>
            <w:div w:id="628558251">
              <w:marLeft w:val="0"/>
              <w:marRight w:val="0"/>
              <w:marTop w:val="0"/>
              <w:marBottom w:val="0"/>
              <w:divBdr>
                <w:top w:val="none" w:sz="0" w:space="0" w:color="auto"/>
                <w:left w:val="none" w:sz="0" w:space="0" w:color="auto"/>
                <w:bottom w:val="none" w:sz="0" w:space="0" w:color="auto"/>
                <w:right w:val="none" w:sz="0" w:space="0" w:color="auto"/>
              </w:divBdr>
              <w:divsChild>
                <w:div w:id="1771507651">
                  <w:marLeft w:val="0"/>
                  <w:marRight w:val="0"/>
                  <w:marTop w:val="0"/>
                  <w:marBottom w:val="0"/>
                  <w:divBdr>
                    <w:top w:val="none" w:sz="0" w:space="0" w:color="auto"/>
                    <w:left w:val="none" w:sz="0" w:space="0" w:color="auto"/>
                    <w:bottom w:val="none" w:sz="0" w:space="0" w:color="auto"/>
                    <w:right w:val="none" w:sz="0" w:space="0" w:color="auto"/>
                  </w:divBdr>
                  <w:divsChild>
                    <w:div w:id="517240139">
                      <w:marLeft w:val="0"/>
                      <w:marRight w:val="0"/>
                      <w:marTop w:val="0"/>
                      <w:marBottom w:val="0"/>
                      <w:divBdr>
                        <w:top w:val="none" w:sz="0" w:space="0" w:color="auto"/>
                        <w:left w:val="none" w:sz="0" w:space="0" w:color="auto"/>
                        <w:bottom w:val="none" w:sz="0" w:space="0" w:color="auto"/>
                        <w:right w:val="none" w:sz="0" w:space="0" w:color="auto"/>
                      </w:divBdr>
                      <w:divsChild>
                        <w:div w:id="2020960661">
                          <w:marLeft w:val="150"/>
                          <w:marRight w:val="0"/>
                          <w:marTop w:val="150"/>
                          <w:marBottom w:val="150"/>
                          <w:divBdr>
                            <w:top w:val="none" w:sz="0" w:space="0" w:color="auto"/>
                            <w:left w:val="none" w:sz="0" w:space="0" w:color="auto"/>
                            <w:bottom w:val="none" w:sz="0" w:space="0" w:color="auto"/>
                            <w:right w:val="none" w:sz="0" w:space="0" w:color="auto"/>
                          </w:divBdr>
                          <w:divsChild>
                            <w:div w:id="216362939">
                              <w:marLeft w:val="0"/>
                              <w:marRight w:val="0"/>
                              <w:marTop w:val="0"/>
                              <w:marBottom w:val="0"/>
                              <w:divBdr>
                                <w:top w:val="none" w:sz="0" w:space="0" w:color="auto"/>
                                <w:left w:val="none" w:sz="0" w:space="0" w:color="auto"/>
                                <w:bottom w:val="none" w:sz="0" w:space="0" w:color="auto"/>
                                <w:right w:val="none" w:sz="0" w:space="0" w:color="auto"/>
                              </w:divBdr>
                              <w:divsChild>
                                <w:div w:id="1675448469">
                                  <w:marLeft w:val="0"/>
                                  <w:marRight w:val="0"/>
                                  <w:marTop w:val="0"/>
                                  <w:marBottom w:val="0"/>
                                  <w:divBdr>
                                    <w:top w:val="none" w:sz="0" w:space="0" w:color="auto"/>
                                    <w:left w:val="none" w:sz="0" w:space="0" w:color="auto"/>
                                    <w:bottom w:val="none" w:sz="0" w:space="0" w:color="auto"/>
                                    <w:right w:val="none" w:sz="0" w:space="0" w:color="auto"/>
                                  </w:divBdr>
                                  <w:divsChild>
                                    <w:div w:id="187546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9438559">
      <w:bodyDiv w:val="1"/>
      <w:marLeft w:val="0"/>
      <w:marRight w:val="0"/>
      <w:marTop w:val="0"/>
      <w:marBottom w:val="0"/>
      <w:divBdr>
        <w:top w:val="none" w:sz="0" w:space="0" w:color="auto"/>
        <w:left w:val="none" w:sz="0" w:space="0" w:color="auto"/>
        <w:bottom w:val="none" w:sz="0" w:space="0" w:color="auto"/>
        <w:right w:val="none" w:sz="0" w:space="0" w:color="auto"/>
      </w:divBdr>
      <w:divsChild>
        <w:div w:id="622271190">
          <w:marLeft w:val="0"/>
          <w:marRight w:val="0"/>
          <w:marTop w:val="0"/>
          <w:marBottom w:val="0"/>
          <w:divBdr>
            <w:top w:val="none" w:sz="0" w:space="0" w:color="auto"/>
            <w:left w:val="none" w:sz="0" w:space="0" w:color="auto"/>
            <w:bottom w:val="none" w:sz="0" w:space="0" w:color="auto"/>
            <w:right w:val="none" w:sz="0" w:space="0" w:color="auto"/>
          </w:divBdr>
        </w:div>
        <w:div w:id="287012791">
          <w:marLeft w:val="0"/>
          <w:marRight w:val="0"/>
          <w:marTop w:val="0"/>
          <w:marBottom w:val="0"/>
          <w:divBdr>
            <w:top w:val="none" w:sz="0" w:space="0" w:color="auto"/>
            <w:left w:val="none" w:sz="0" w:space="0" w:color="auto"/>
            <w:bottom w:val="none" w:sz="0" w:space="0" w:color="auto"/>
            <w:right w:val="none" w:sz="0" w:space="0" w:color="auto"/>
          </w:divBdr>
        </w:div>
        <w:div w:id="1124079041">
          <w:marLeft w:val="0"/>
          <w:marRight w:val="0"/>
          <w:marTop w:val="0"/>
          <w:marBottom w:val="0"/>
          <w:divBdr>
            <w:top w:val="none" w:sz="0" w:space="0" w:color="auto"/>
            <w:left w:val="none" w:sz="0" w:space="0" w:color="auto"/>
            <w:bottom w:val="none" w:sz="0" w:space="0" w:color="auto"/>
            <w:right w:val="none" w:sz="0" w:space="0" w:color="auto"/>
          </w:divBdr>
        </w:div>
        <w:div w:id="520777224">
          <w:marLeft w:val="0"/>
          <w:marRight w:val="0"/>
          <w:marTop w:val="0"/>
          <w:marBottom w:val="0"/>
          <w:divBdr>
            <w:top w:val="none" w:sz="0" w:space="0" w:color="auto"/>
            <w:left w:val="none" w:sz="0" w:space="0" w:color="auto"/>
            <w:bottom w:val="none" w:sz="0" w:space="0" w:color="auto"/>
            <w:right w:val="none" w:sz="0" w:space="0" w:color="auto"/>
          </w:divBdr>
        </w:div>
        <w:div w:id="1415129240">
          <w:marLeft w:val="0"/>
          <w:marRight w:val="0"/>
          <w:marTop w:val="0"/>
          <w:marBottom w:val="0"/>
          <w:divBdr>
            <w:top w:val="none" w:sz="0" w:space="0" w:color="auto"/>
            <w:left w:val="none" w:sz="0" w:space="0" w:color="auto"/>
            <w:bottom w:val="none" w:sz="0" w:space="0" w:color="auto"/>
            <w:right w:val="none" w:sz="0" w:space="0" w:color="auto"/>
          </w:divBdr>
        </w:div>
        <w:div w:id="1401561975">
          <w:marLeft w:val="0"/>
          <w:marRight w:val="0"/>
          <w:marTop w:val="0"/>
          <w:marBottom w:val="0"/>
          <w:divBdr>
            <w:top w:val="none" w:sz="0" w:space="0" w:color="auto"/>
            <w:left w:val="none" w:sz="0" w:space="0" w:color="auto"/>
            <w:bottom w:val="none" w:sz="0" w:space="0" w:color="auto"/>
            <w:right w:val="none" w:sz="0" w:space="0" w:color="auto"/>
          </w:divBdr>
        </w:div>
        <w:div w:id="657346856">
          <w:marLeft w:val="0"/>
          <w:marRight w:val="0"/>
          <w:marTop w:val="0"/>
          <w:marBottom w:val="0"/>
          <w:divBdr>
            <w:top w:val="none" w:sz="0" w:space="0" w:color="auto"/>
            <w:left w:val="none" w:sz="0" w:space="0" w:color="auto"/>
            <w:bottom w:val="none" w:sz="0" w:space="0" w:color="auto"/>
            <w:right w:val="none" w:sz="0" w:space="0" w:color="auto"/>
          </w:divBdr>
        </w:div>
        <w:div w:id="2023819902">
          <w:marLeft w:val="0"/>
          <w:marRight w:val="0"/>
          <w:marTop w:val="0"/>
          <w:marBottom w:val="0"/>
          <w:divBdr>
            <w:top w:val="none" w:sz="0" w:space="0" w:color="auto"/>
            <w:left w:val="none" w:sz="0" w:space="0" w:color="auto"/>
            <w:bottom w:val="none" w:sz="0" w:space="0" w:color="auto"/>
            <w:right w:val="none" w:sz="0" w:space="0" w:color="auto"/>
          </w:divBdr>
        </w:div>
        <w:div w:id="530461384">
          <w:marLeft w:val="0"/>
          <w:marRight w:val="0"/>
          <w:marTop w:val="0"/>
          <w:marBottom w:val="0"/>
          <w:divBdr>
            <w:top w:val="none" w:sz="0" w:space="0" w:color="auto"/>
            <w:left w:val="none" w:sz="0" w:space="0" w:color="auto"/>
            <w:bottom w:val="none" w:sz="0" w:space="0" w:color="auto"/>
            <w:right w:val="none" w:sz="0" w:space="0" w:color="auto"/>
          </w:divBdr>
        </w:div>
        <w:div w:id="852648203">
          <w:marLeft w:val="0"/>
          <w:marRight w:val="0"/>
          <w:marTop w:val="0"/>
          <w:marBottom w:val="0"/>
          <w:divBdr>
            <w:top w:val="none" w:sz="0" w:space="0" w:color="auto"/>
            <w:left w:val="none" w:sz="0" w:space="0" w:color="auto"/>
            <w:bottom w:val="none" w:sz="0" w:space="0" w:color="auto"/>
            <w:right w:val="none" w:sz="0" w:space="0" w:color="auto"/>
          </w:divBdr>
        </w:div>
        <w:div w:id="195974315">
          <w:marLeft w:val="0"/>
          <w:marRight w:val="0"/>
          <w:marTop w:val="0"/>
          <w:marBottom w:val="0"/>
          <w:divBdr>
            <w:top w:val="none" w:sz="0" w:space="0" w:color="auto"/>
            <w:left w:val="none" w:sz="0" w:space="0" w:color="auto"/>
            <w:bottom w:val="none" w:sz="0" w:space="0" w:color="auto"/>
            <w:right w:val="none" w:sz="0" w:space="0" w:color="auto"/>
          </w:divBdr>
        </w:div>
        <w:div w:id="973758858">
          <w:marLeft w:val="0"/>
          <w:marRight w:val="0"/>
          <w:marTop w:val="0"/>
          <w:marBottom w:val="0"/>
          <w:divBdr>
            <w:top w:val="none" w:sz="0" w:space="0" w:color="auto"/>
            <w:left w:val="none" w:sz="0" w:space="0" w:color="auto"/>
            <w:bottom w:val="none" w:sz="0" w:space="0" w:color="auto"/>
            <w:right w:val="none" w:sz="0" w:space="0" w:color="auto"/>
          </w:divBdr>
        </w:div>
        <w:div w:id="549464831">
          <w:marLeft w:val="0"/>
          <w:marRight w:val="0"/>
          <w:marTop w:val="0"/>
          <w:marBottom w:val="0"/>
          <w:divBdr>
            <w:top w:val="none" w:sz="0" w:space="0" w:color="auto"/>
            <w:left w:val="none" w:sz="0" w:space="0" w:color="auto"/>
            <w:bottom w:val="none" w:sz="0" w:space="0" w:color="auto"/>
            <w:right w:val="none" w:sz="0" w:space="0" w:color="auto"/>
          </w:divBdr>
        </w:div>
        <w:div w:id="2136867394">
          <w:marLeft w:val="0"/>
          <w:marRight w:val="0"/>
          <w:marTop w:val="0"/>
          <w:marBottom w:val="0"/>
          <w:divBdr>
            <w:top w:val="none" w:sz="0" w:space="0" w:color="auto"/>
            <w:left w:val="none" w:sz="0" w:space="0" w:color="auto"/>
            <w:bottom w:val="none" w:sz="0" w:space="0" w:color="auto"/>
            <w:right w:val="none" w:sz="0" w:space="0" w:color="auto"/>
          </w:divBdr>
        </w:div>
        <w:div w:id="421530992">
          <w:marLeft w:val="0"/>
          <w:marRight w:val="0"/>
          <w:marTop w:val="0"/>
          <w:marBottom w:val="0"/>
          <w:divBdr>
            <w:top w:val="none" w:sz="0" w:space="0" w:color="auto"/>
            <w:left w:val="none" w:sz="0" w:space="0" w:color="auto"/>
            <w:bottom w:val="none" w:sz="0" w:space="0" w:color="auto"/>
            <w:right w:val="none" w:sz="0" w:space="0" w:color="auto"/>
          </w:divBdr>
        </w:div>
        <w:div w:id="171649524">
          <w:marLeft w:val="0"/>
          <w:marRight w:val="0"/>
          <w:marTop w:val="0"/>
          <w:marBottom w:val="0"/>
          <w:divBdr>
            <w:top w:val="none" w:sz="0" w:space="0" w:color="auto"/>
            <w:left w:val="none" w:sz="0" w:space="0" w:color="auto"/>
            <w:bottom w:val="none" w:sz="0" w:space="0" w:color="auto"/>
            <w:right w:val="none" w:sz="0" w:space="0" w:color="auto"/>
          </w:divBdr>
        </w:div>
        <w:div w:id="465203647">
          <w:marLeft w:val="0"/>
          <w:marRight w:val="0"/>
          <w:marTop w:val="0"/>
          <w:marBottom w:val="0"/>
          <w:divBdr>
            <w:top w:val="none" w:sz="0" w:space="0" w:color="auto"/>
            <w:left w:val="none" w:sz="0" w:space="0" w:color="auto"/>
            <w:bottom w:val="none" w:sz="0" w:space="0" w:color="auto"/>
            <w:right w:val="none" w:sz="0" w:space="0" w:color="auto"/>
          </w:divBdr>
        </w:div>
        <w:div w:id="1517574336">
          <w:marLeft w:val="0"/>
          <w:marRight w:val="0"/>
          <w:marTop w:val="0"/>
          <w:marBottom w:val="0"/>
          <w:divBdr>
            <w:top w:val="none" w:sz="0" w:space="0" w:color="auto"/>
            <w:left w:val="none" w:sz="0" w:space="0" w:color="auto"/>
            <w:bottom w:val="none" w:sz="0" w:space="0" w:color="auto"/>
            <w:right w:val="none" w:sz="0" w:space="0" w:color="auto"/>
          </w:divBdr>
        </w:div>
        <w:div w:id="1472363065">
          <w:marLeft w:val="0"/>
          <w:marRight w:val="0"/>
          <w:marTop w:val="0"/>
          <w:marBottom w:val="0"/>
          <w:divBdr>
            <w:top w:val="none" w:sz="0" w:space="0" w:color="auto"/>
            <w:left w:val="none" w:sz="0" w:space="0" w:color="auto"/>
            <w:bottom w:val="none" w:sz="0" w:space="0" w:color="auto"/>
            <w:right w:val="none" w:sz="0" w:space="0" w:color="auto"/>
          </w:divBdr>
        </w:div>
        <w:div w:id="82336109">
          <w:marLeft w:val="0"/>
          <w:marRight w:val="0"/>
          <w:marTop w:val="0"/>
          <w:marBottom w:val="0"/>
          <w:divBdr>
            <w:top w:val="none" w:sz="0" w:space="0" w:color="auto"/>
            <w:left w:val="none" w:sz="0" w:space="0" w:color="auto"/>
            <w:bottom w:val="none" w:sz="0" w:space="0" w:color="auto"/>
            <w:right w:val="none" w:sz="0" w:space="0" w:color="auto"/>
          </w:divBdr>
        </w:div>
        <w:div w:id="1498883763">
          <w:marLeft w:val="0"/>
          <w:marRight w:val="0"/>
          <w:marTop w:val="0"/>
          <w:marBottom w:val="0"/>
          <w:divBdr>
            <w:top w:val="none" w:sz="0" w:space="0" w:color="auto"/>
            <w:left w:val="none" w:sz="0" w:space="0" w:color="auto"/>
            <w:bottom w:val="none" w:sz="0" w:space="0" w:color="auto"/>
            <w:right w:val="none" w:sz="0" w:space="0" w:color="auto"/>
          </w:divBdr>
        </w:div>
        <w:div w:id="666174859">
          <w:marLeft w:val="0"/>
          <w:marRight w:val="0"/>
          <w:marTop w:val="0"/>
          <w:marBottom w:val="0"/>
          <w:divBdr>
            <w:top w:val="none" w:sz="0" w:space="0" w:color="auto"/>
            <w:left w:val="none" w:sz="0" w:space="0" w:color="auto"/>
            <w:bottom w:val="none" w:sz="0" w:space="0" w:color="auto"/>
            <w:right w:val="none" w:sz="0" w:space="0" w:color="auto"/>
          </w:divBdr>
        </w:div>
        <w:div w:id="841896431">
          <w:marLeft w:val="0"/>
          <w:marRight w:val="0"/>
          <w:marTop w:val="0"/>
          <w:marBottom w:val="0"/>
          <w:divBdr>
            <w:top w:val="none" w:sz="0" w:space="0" w:color="auto"/>
            <w:left w:val="none" w:sz="0" w:space="0" w:color="auto"/>
            <w:bottom w:val="none" w:sz="0" w:space="0" w:color="auto"/>
            <w:right w:val="none" w:sz="0" w:space="0" w:color="auto"/>
          </w:divBdr>
        </w:div>
        <w:div w:id="15819122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yac.org.uk/utilities/download.FA0CFB7B-A712-417D-A43A2C1965FA7301.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crn.nihr.ac.uk/wp-content/uploads/children/4_CG_Imperial%20Preterm%20PSP%20140514.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uffieldbioethics.org/children.%20(Accessed"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hra-decisiontools.org.uk/consent/principles-children.html" TargetMode="External"/><Relationship Id="rId4" Type="http://schemas.microsoft.com/office/2007/relationships/stylesWithEffects" Target="stylesWithEffects.xml"/><Relationship Id="rId9" Type="http://schemas.openxmlformats.org/officeDocument/2006/relationships/hyperlink" Target="mailto:helen.sammons@nottingham.ac.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17390-2193-4F7D-A70B-9F54E6B6F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3038</Words>
  <Characters>17320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20318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mgzhs1</dc:creator>
  <cp:lastModifiedBy>Sammons Helen</cp:lastModifiedBy>
  <cp:revision>5</cp:revision>
  <dcterms:created xsi:type="dcterms:W3CDTF">2016-04-07T14:34:00Z</dcterms:created>
  <dcterms:modified xsi:type="dcterms:W3CDTF">2016-04-07T14:43:00Z</dcterms:modified>
</cp:coreProperties>
</file>