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6F37CD" w14:textId="156378BB" w:rsidR="004F66A3" w:rsidRPr="00BF2CE5" w:rsidRDefault="00424268" w:rsidP="00BF2CE5">
      <w:pPr>
        <w:spacing w:after="60"/>
        <w:outlineLvl w:val="0"/>
        <w:rPr>
          <w:rFonts w:eastAsia="Times New Roman"/>
          <w:b/>
          <w:color w:val="000000"/>
          <w:sz w:val="22"/>
          <w:szCs w:val="22"/>
        </w:rPr>
      </w:pPr>
      <w:r>
        <w:rPr>
          <w:rFonts w:eastAsia="Times New Roman"/>
          <w:b/>
          <w:color w:val="000000"/>
          <w:sz w:val="22"/>
          <w:szCs w:val="22"/>
        </w:rPr>
        <w:t>The flourishing and dehumaniz</w:t>
      </w:r>
      <w:r w:rsidR="00541043" w:rsidRPr="00BF2CE5">
        <w:rPr>
          <w:rFonts w:eastAsia="Times New Roman"/>
          <w:b/>
          <w:color w:val="000000"/>
          <w:sz w:val="22"/>
          <w:szCs w:val="22"/>
        </w:rPr>
        <w:t xml:space="preserve">ation of students in higher education </w:t>
      </w:r>
    </w:p>
    <w:p w14:paraId="2D504BC1" w14:textId="77777777" w:rsidR="000D0001" w:rsidRPr="00BF2CE5" w:rsidRDefault="000D0001" w:rsidP="00BF2CE5">
      <w:pPr>
        <w:spacing w:after="60"/>
        <w:outlineLvl w:val="0"/>
        <w:rPr>
          <w:b/>
          <w:sz w:val="22"/>
          <w:szCs w:val="22"/>
        </w:rPr>
      </w:pPr>
    </w:p>
    <w:p w14:paraId="405CD546" w14:textId="683A22A5" w:rsidR="00BF2CE5" w:rsidRDefault="003A6CCE" w:rsidP="00BF2CE5">
      <w:pPr>
        <w:spacing w:after="60"/>
        <w:outlineLvl w:val="0"/>
        <w:rPr>
          <w:sz w:val="22"/>
          <w:szCs w:val="22"/>
        </w:rPr>
      </w:pPr>
      <w:r w:rsidRPr="00BF2CE5">
        <w:rPr>
          <w:sz w:val="22"/>
          <w:szCs w:val="22"/>
        </w:rPr>
        <w:t xml:space="preserve">Peter </w:t>
      </w:r>
      <w:r w:rsidR="008A1F06" w:rsidRPr="00BF2CE5">
        <w:rPr>
          <w:sz w:val="22"/>
          <w:szCs w:val="22"/>
        </w:rPr>
        <w:t xml:space="preserve">E. </w:t>
      </w:r>
      <w:r w:rsidRPr="00BF2CE5">
        <w:rPr>
          <w:sz w:val="22"/>
          <w:szCs w:val="22"/>
        </w:rPr>
        <w:t>Kahn</w:t>
      </w:r>
      <w:r w:rsidR="00BF2CE5">
        <w:rPr>
          <w:rStyle w:val="FootnoteReference"/>
          <w:sz w:val="22"/>
          <w:szCs w:val="22"/>
        </w:rPr>
        <w:footnoteReference w:id="1"/>
      </w:r>
    </w:p>
    <w:p w14:paraId="2EBDDFB4" w14:textId="77777777" w:rsidR="00BF2CE5" w:rsidRPr="00BF2CE5" w:rsidRDefault="00BF2CE5" w:rsidP="00BF2CE5">
      <w:pPr>
        <w:spacing w:after="60"/>
        <w:outlineLvl w:val="0"/>
        <w:rPr>
          <w:sz w:val="22"/>
          <w:szCs w:val="22"/>
        </w:rPr>
      </w:pPr>
    </w:p>
    <w:p w14:paraId="68F305F7" w14:textId="77777777" w:rsidR="00BF2CE5" w:rsidRPr="00275E1E" w:rsidRDefault="00BF2CE5" w:rsidP="00BF2CE5">
      <w:pPr>
        <w:spacing w:after="60"/>
        <w:rPr>
          <w:i/>
        </w:rPr>
      </w:pPr>
      <w:r>
        <w:rPr>
          <w:i/>
        </w:rPr>
        <w:t>Centre for Lifelong Learning,</w:t>
      </w:r>
      <w:r w:rsidRPr="008A1DA4">
        <w:rPr>
          <w:i/>
        </w:rPr>
        <w:t xml:space="preserve"> </w:t>
      </w:r>
      <w:r w:rsidRPr="00275E1E">
        <w:rPr>
          <w:i/>
        </w:rPr>
        <w:t>University of Liverpool</w:t>
      </w:r>
      <w:r>
        <w:rPr>
          <w:i/>
        </w:rPr>
        <w:t>, 126 Mount Pleasant, Liverpool L69 3GW</w:t>
      </w:r>
      <w:r w:rsidRPr="00275E1E">
        <w:rPr>
          <w:i/>
        </w:rPr>
        <w:t>, Liverpool, UK</w:t>
      </w:r>
    </w:p>
    <w:p w14:paraId="446EC7C7" w14:textId="77777777" w:rsidR="00BF2CE5" w:rsidRDefault="00BF2CE5" w:rsidP="00BF2CE5">
      <w:pPr>
        <w:spacing w:after="60"/>
        <w:rPr>
          <w:i/>
          <w:sz w:val="22"/>
          <w:szCs w:val="22"/>
        </w:rPr>
      </w:pPr>
    </w:p>
    <w:p w14:paraId="7F55DF17" w14:textId="77777777" w:rsidR="001B6F3B" w:rsidRPr="001B6F3B" w:rsidRDefault="001B6F3B" w:rsidP="001B6F3B">
      <w:pPr>
        <w:spacing w:after="60"/>
        <w:ind w:left="720"/>
        <w:rPr>
          <w:rFonts w:eastAsia="Times New Roman"/>
          <w:sz w:val="20"/>
          <w:szCs w:val="20"/>
        </w:rPr>
      </w:pPr>
      <w:r w:rsidRPr="001B6F3B">
        <w:rPr>
          <w:sz w:val="20"/>
          <w:szCs w:val="20"/>
        </w:rPr>
        <w:t>Author accepted version, published in</w:t>
      </w:r>
      <w:r w:rsidRPr="001B6F3B">
        <w:rPr>
          <w:i/>
          <w:sz w:val="20"/>
          <w:szCs w:val="20"/>
        </w:rPr>
        <w:t xml:space="preserve"> </w:t>
      </w:r>
      <w:r w:rsidR="00BF2CE5" w:rsidRPr="001B6F3B">
        <w:rPr>
          <w:rFonts w:eastAsia="Times New Roman"/>
          <w:i/>
          <w:sz w:val="20"/>
          <w:szCs w:val="20"/>
        </w:rPr>
        <w:t>Journal of Critical Realism</w:t>
      </w:r>
      <w:r w:rsidRPr="001B6F3B">
        <w:rPr>
          <w:rFonts w:eastAsia="Times New Roman"/>
          <w:sz w:val="20"/>
          <w:szCs w:val="20"/>
        </w:rPr>
        <w:t>.</w:t>
      </w:r>
    </w:p>
    <w:p w14:paraId="1C2B93F8" w14:textId="15D8E05D" w:rsidR="001B6F3B" w:rsidRPr="001B6F3B" w:rsidRDefault="001B6F3B" w:rsidP="001B6F3B">
      <w:pPr>
        <w:spacing w:after="60"/>
        <w:ind w:left="720"/>
        <w:rPr>
          <w:rFonts w:eastAsia="Times New Roman"/>
          <w:sz w:val="20"/>
          <w:szCs w:val="20"/>
        </w:rPr>
      </w:pPr>
      <w:r w:rsidRPr="001B6F3B">
        <w:rPr>
          <w:rFonts w:eastAsia="Times New Roman"/>
          <w:sz w:val="20"/>
          <w:szCs w:val="20"/>
        </w:rPr>
        <w:t>Available at: http://www.tandfonline.com/doi/full/10.1080/14767430.2017.1347444</w:t>
      </w:r>
    </w:p>
    <w:p w14:paraId="000D7562" w14:textId="77777777" w:rsidR="007D2E44" w:rsidRPr="00BF2CE5" w:rsidRDefault="007D2E44" w:rsidP="00BF2CE5">
      <w:pPr>
        <w:widowControl w:val="0"/>
        <w:autoSpaceDE w:val="0"/>
        <w:autoSpaceDN w:val="0"/>
        <w:adjustRightInd w:val="0"/>
        <w:rPr>
          <w:b/>
          <w:sz w:val="22"/>
          <w:szCs w:val="22"/>
        </w:rPr>
      </w:pPr>
      <w:bookmarkStart w:id="0" w:name="_GoBack"/>
      <w:bookmarkEnd w:id="0"/>
    </w:p>
    <w:p w14:paraId="2FD90327" w14:textId="29761607" w:rsidR="0092420F" w:rsidRPr="00BF2CE5" w:rsidRDefault="00F50078" w:rsidP="00BF2CE5">
      <w:pPr>
        <w:widowControl w:val="0"/>
        <w:autoSpaceDE w:val="0"/>
        <w:autoSpaceDN w:val="0"/>
        <w:adjustRightInd w:val="0"/>
        <w:ind w:left="720"/>
        <w:rPr>
          <w:b/>
          <w:sz w:val="22"/>
          <w:szCs w:val="22"/>
        </w:rPr>
      </w:pPr>
      <w:r w:rsidRPr="00BF2CE5">
        <w:rPr>
          <w:b/>
          <w:sz w:val="22"/>
          <w:szCs w:val="22"/>
        </w:rPr>
        <w:t>Abstract</w:t>
      </w:r>
    </w:p>
    <w:p w14:paraId="6E01210A" w14:textId="77777777" w:rsidR="00424268" w:rsidRPr="00424268" w:rsidRDefault="00424268" w:rsidP="00424268">
      <w:pPr>
        <w:ind w:left="720"/>
        <w:rPr>
          <w:rFonts w:eastAsia="Times New Roman"/>
          <w:sz w:val="20"/>
          <w:szCs w:val="20"/>
        </w:rPr>
      </w:pPr>
      <w:r w:rsidRPr="00424268">
        <w:rPr>
          <w:rFonts w:eastAsia="Times New Roman"/>
          <w:sz w:val="20"/>
          <w:szCs w:val="20"/>
        </w:rPr>
        <w:t>An economic agenda, characterized by the mastery of subject knowledge or expertise, increasingly dominates higher education. In this article, I argue that this agenda fails to satisfy the full range of students’ aspirations, responsibilities and needs. Neither does it meet the needs of society. Rather, the overall purpose of higher education should be the morphogenesis of the agency of students, considered on an individual and on a collective basis. The article builds on recent critical realist theorizing to trace the generative mechanisms that affect the morphogenesis of such agency. I argue that reflexive deliberation shapes the agency of students as they engage in teaching–learning interactions. It may be possible to enhance the agency of students if approaches are used that consider curricular knowledge, the presence of supportive social relations and the dedication of students. The article offers ways to promote the flourishing of students rather than their dehumanization.</w:t>
      </w:r>
    </w:p>
    <w:p w14:paraId="2F642C38" w14:textId="77777777" w:rsidR="00BF2CE5" w:rsidRDefault="00BF2CE5" w:rsidP="00BF2CE5">
      <w:pPr>
        <w:spacing w:after="60"/>
        <w:ind w:left="720"/>
        <w:rPr>
          <w:sz w:val="22"/>
          <w:szCs w:val="22"/>
        </w:rPr>
      </w:pPr>
    </w:p>
    <w:p w14:paraId="0E462F4F" w14:textId="77777777" w:rsidR="00BF2CE5" w:rsidRPr="00BF2CE5" w:rsidRDefault="00BF2CE5" w:rsidP="00BF2CE5">
      <w:pPr>
        <w:spacing w:after="60"/>
        <w:ind w:left="720"/>
        <w:rPr>
          <w:rFonts w:eastAsia="Times New Roman"/>
          <w:b/>
          <w:color w:val="000000"/>
          <w:sz w:val="22"/>
          <w:szCs w:val="22"/>
        </w:rPr>
      </w:pPr>
      <w:r w:rsidRPr="00BF2CE5">
        <w:rPr>
          <w:rFonts w:eastAsia="Times New Roman"/>
          <w:b/>
          <w:color w:val="000000"/>
          <w:sz w:val="22"/>
          <w:szCs w:val="22"/>
        </w:rPr>
        <w:t>Keywords</w:t>
      </w:r>
    </w:p>
    <w:p w14:paraId="3591A498" w14:textId="77777777" w:rsidR="00BF2CE5" w:rsidRPr="00BF2CE5" w:rsidRDefault="00BF2CE5" w:rsidP="00BF2CE5">
      <w:pPr>
        <w:widowControl w:val="0"/>
        <w:autoSpaceDE w:val="0"/>
        <w:autoSpaceDN w:val="0"/>
        <w:adjustRightInd w:val="0"/>
        <w:ind w:left="720"/>
        <w:rPr>
          <w:b/>
          <w:sz w:val="22"/>
          <w:szCs w:val="22"/>
        </w:rPr>
      </w:pPr>
      <w:r w:rsidRPr="00BF2CE5">
        <w:rPr>
          <w:rFonts w:eastAsia="Times New Roman"/>
          <w:color w:val="000000"/>
          <w:sz w:val="22"/>
          <w:szCs w:val="22"/>
        </w:rPr>
        <w:t>Reflexivity; university; student learning; teaching-learning interactions; curriculum; modus vivendi.</w:t>
      </w:r>
    </w:p>
    <w:p w14:paraId="0951480F" w14:textId="77777777" w:rsidR="00BF2CE5" w:rsidRPr="00BF2CE5" w:rsidRDefault="00BF2CE5" w:rsidP="00BF2CE5">
      <w:pPr>
        <w:spacing w:after="60"/>
        <w:rPr>
          <w:sz w:val="22"/>
          <w:szCs w:val="22"/>
        </w:rPr>
      </w:pPr>
    </w:p>
    <w:p w14:paraId="27025C31" w14:textId="42A5315B" w:rsidR="00971EC6" w:rsidRPr="00BF2CE5" w:rsidRDefault="00971EC6" w:rsidP="00BF2CE5">
      <w:pPr>
        <w:widowControl w:val="0"/>
        <w:autoSpaceDE w:val="0"/>
        <w:autoSpaceDN w:val="0"/>
        <w:adjustRightInd w:val="0"/>
        <w:rPr>
          <w:sz w:val="22"/>
          <w:szCs w:val="22"/>
        </w:rPr>
      </w:pPr>
    </w:p>
    <w:p w14:paraId="45F83F60" w14:textId="6508AA1B" w:rsidR="002638D4" w:rsidRPr="00BF2CE5" w:rsidRDefault="003A6CCE" w:rsidP="00BF2CE5">
      <w:pPr>
        <w:spacing w:after="60"/>
        <w:rPr>
          <w:b/>
          <w:sz w:val="22"/>
          <w:szCs w:val="22"/>
        </w:rPr>
      </w:pPr>
      <w:r w:rsidRPr="00BF2CE5">
        <w:rPr>
          <w:b/>
          <w:sz w:val="22"/>
          <w:szCs w:val="22"/>
        </w:rPr>
        <w:t xml:space="preserve">Introduction </w:t>
      </w:r>
    </w:p>
    <w:p w14:paraId="08BFCE99" w14:textId="0C39AF28" w:rsidR="00D903F2" w:rsidRPr="00BF2CE5" w:rsidRDefault="00600928" w:rsidP="00BF2CE5">
      <w:pPr>
        <w:spacing w:after="60"/>
        <w:rPr>
          <w:sz w:val="22"/>
          <w:szCs w:val="22"/>
        </w:rPr>
      </w:pPr>
      <w:r w:rsidRPr="00BF2CE5">
        <w:rPr>
          <w:sz w:val="22"/>
          <w:szCs w:val="22"/>
        </w:rPr>
        <w:t>Higher e</w:t>
      </w:r>
      <w:r w:rsidR="002638D4" w:rsidRPr="00BF2CE5">
        <w:rPr>
          <w:sz w:val="22"/>
          <w:szCs w:val="22"/>
        </w:rPr>
        <w:t xml:space="preserve">ducation can make a significant difference </w:t>
      </w:r>
      <w:r w:rsidR="000824A4" w:rsidRPr="00BF2CE5">
        <w:rPr>
          <w:sz w:val="22"/>
          <w:szCs w:val="22"/>
        </w:rPr>
        <w:t xml:space="preserve">both </w:t>
      </w:r>
      <w:r w:rsidR="007B54E2" w:rsidRPr="00BF2CE5">
        <w:rPr>
          <w:sz w:val="22"/>
          <w:szCs w:val="22"/>
        </w:rPr>
        <w:t>to individual</w:t>
      </w:r>
      <w:r w:rsidR="002638D4" w:rsidRPr="00BF2CE5">
        <w:rPr>
          <w:sz w:val="22"/>
          <w:szCs w:val="22"/>
        </w:rPr>
        <w:t xml:space="preserve"> </w:t>
      </w:r>
      <w:r w:rsidR="000824A4" w:rsidRPr="00BF2CE5">
        <w:rPr>
          <w:sz w:val="22"/>
          <w:szCs w:val="22"/>
        </w:rPr>
        <w:t>person</w:t>
      </w:r>
      <w:r w:rsidR="007B54E2" w:rsidRPr="00BF2CE5">
        <w:rPr>
          <w:sz w:val="22"/>
          <w:szCs w:val="22"/>
        </w:rPr>
        <w:t>s</w:t>
      </w:r>
      <w:r w:rsidR="000824A4" w:rsidRPr="00BF2CE5">
        <w:rPr>
          <w:sz w:val="22"/>
          <w:szCs w:val="22"/>
        </w:rPr>
        <w:t xml:space="preserve"> and</w:t>
      </w:r>
      <w:r w:rsidR="002638D4" w:rsidRPr="00BF2CE5">
        <w:rPr>
          <w:sz w:val="22"/>
          <w:szCs w:val="22"/>
        </w:rPr>
        <w:t xml:space="preserve"> to </w:t>
      </w:r>
      <w:r w:rsidR="007B54E2" w:rsidRPr="00BF2CE5">
        <w:rPr>
          <w:sz w:val="22"/>
          <w:szCs w:val="22"/>
        </w:rPr>
        <w:t>entire societies</w:t>
      </w:r>
      <w:r w:rsidR="002638D4" w:rsidRPr="00BF2CE5">
        <w:rPr>
          <w:sz w:val="22"/>
          <w:szCs w:val="22"/>
        </w:rPr>
        <w:t xml:space="preserve">. </w:t>
      </w:r>
      <w:r w:rsidR="00750284" w:rsidRPr="00BF2CE5">
        <w:rPr>
          <w:sz w:val="22"/>
          <w:szCs w:val="22"/>
        </w:rPr>
        <w:t xml:space="preserve">Baum, Ma and Payea </w:t>
      </w:r>
      <w:r w:rsidR="00A804AE" w:rsidRPr="00BF2CE5">
        <w:rPr>
          <w:noProof/>
          <w:sz w:val="22"/>
          <w:szCs w:val="22"/>
        </w:rPr>
        <w:t>(2010)</w:t>
      </w:r>
      <w:r w:rsidRPr="00BF2CE5">
        <w:rPr>
          <w:sz w:val="22"/>
          <w:szCs w:val="22"/>
        </w:rPr>
        <w:t xml:space="preserve"> </w:t>
      </w:r>
      <w:r w:rsidR="00750284" w:rsidRPr="00BF2CE5">
        <w:rPr>
          <w:sz w:val="22"/>
          <w:szCs w:val="22"/>
        </w:rPr>
        <w:t>argued</w:t>
      </w:r>
      <w:r w:rsidRPr="00BF2CE5">
        <w:rPr>
          <w:sz w:val="22"/>
          <w:szCs w:val="22"/>
        </w:rPr>
        <w:t xml:space="preserve"> </w:t>
      </w:r>
      <w:r w:rsidR="00750284" w:rsidRPr="00BF2CE5">
        <w:rPr>
          <w:sz w:val="22"/>
          <w:szCs w:val="22"/>
        </w:rPr>
        <w:t xml:space="preserve">that securing a degree </w:t>
      </w:r>
      <w:r w:rsidRPr="00BF2CE5">
        <w:rPr>
          <w:sz w:val="22"/>
          <w:szCs w:val="22"/>
        </w:rPr>
        <w:t>can lead</w:t>
      </w:r>
      <w:r w:rsidR="00750284" w:rsidRPr="00BF2CE5">
        <w:rPr>
          <w:sz w:val="22"/>
          <w:szCs w:val="22"/>
        </w:rPr>
        <w:t xml:space="preserve"> to higher levels of active citize</w:t>
      </w:r>
      <w:r w:rsidR="004204D2" w:rsidRPr="00BF2CE5">
        <w:rPr>
          <w:sz w:val="22"/>
          <w:szCs w:val="22"/>
        </w:rPr>
        <w:t>nship and to increased</w:t>
      </w:r>
      <w:r w:rsidR="00750284" w:rsidRPr="00BF2CE5">
        <w:rPr>
          <w:sz w:val="22"/>
          <w:szCs w:val="22"/>
        </w:rPr>
        <w:t xml:space="preserve"> engagement in educational activities with one’s own </w:t>
      </w:r>
      <w:r w:rsidR="00D609D9" w:rsidRPr="00BF2CE5">
        <w:rPr>
          <w:sz w:val="22"/>
          <w:szCs w:val="22"/>
        </w:rPr>
        <w:t>childre</w:t>
      </w:r>
      <w:r w:rsidR="00750284" w:rsidRPr="00BF2CE5">
        <w:rPr>
          <w:sz w:val="22"/>
          <w:szCs w:val="22"/>
        </w:rPr>
        <w:t>n.</w:t>
      </w:r>
      <w:r w:rsidR="000824A4" w:rsidRPr="00BF2CE5">
        <w:rPr>
          <w:sz w:val="22"/>
          <w:szCs w:val="22"/>
        </w:rPr>
        <w:t xml:space="preserve"> Cunningham </w:t>
      </w:r>
      <w:r w:rsidR="00A804AE" w:rsidRPr="00BF2CE5">
        <w:rPr>
          <w:noProof/>
          <w:sz w:val="22"/>
          <w:szCs w:val="22"/>
        </w:rPr>
        <w:t>(2006)</w:t>
      </w:r>
      <w:r w:rsidR="007B54E2" w:rsidRPr="00BF2CE5">
        <w:rPr>
          <w:sz w:val="22"/>
          <w:szCs w:val="22"/>
        </w:rPr>
        <w:t xml:space="preserve"> </w:t>
      </w:r>
      <w:r w:rsidR="00D903F2" w:rsidRPr="00BF2CE5">
        <w:rPr>
          <w:sz w:val="22"/>
          <w:szCs w:val="22"/>
        </w:rPr>
        <w:t>drew together</w:t>
      </w:r>
      <w:r w:rsidR="001D1BBB" w:rsidRPr="00BF2CE5">
        <w:rPr>
          <w:sz w:val="22"/>
          <w:szCs w:val="22"/>
        </w:rPr>
        <w:t xml:space="preserve"> empirical</w:t>
      </w:r>
      <w:r w:rsidR="00D903F2" w:rsidRPr="00BF2CE5">
        <w:rPr>
          <w:sz w:val="22"/>
          <w:szCs w:val="22"/>
        </w:rPr>
        <w:t xml:space="preserve"> evidence demonstrating that graduates are more likely to vote in elections and manifest greater understanding of other races and ethnicities</w:t>
      </w:r>
      <w:r w:rsidR="00313093" w:rsidRPr="00BF2CE5">
        <w:rPr>
          <w:sz w:val="22"/>
          <w:szCs w:val="22"/>
        </w:rPr>
        <w:t xml:space="preserve">. </w:t>
      </w:r>
      <w:r w:rsidR="00D609D9" w:rsidRPr="00BF2CE5">
        <w:rPr>
          <w:sz w:val="22"/>
          <w:szCs w:val="22"/>
        </w:rPr>
        <w:t xml:space="preserve">Society benefits when students to </w:t>
      </w:r>
      <w:r w:rsidR="004A39E4" w:rsidRPr="00BF2CE5">
        <w:rPr>
          <w:sz w:val="22"/>
          <w:szCs w:val="22"/>
        </w:rPr>
        <w:t>view</w:t>
      </w:r>
      <w:r w:rsidR="007B54E2" w:rsidRPr="00BF2CE5">
        <w:rPr>
          <w:sz w:val="22"/>
          <w:szCs w:val="22"/>
        </w:rPr>
        <w:t xml:space="preserve"> and engage with</w:t>
      </w:r>
      <w:r w:rsidR="004A39E4" w:rsidRPr="00BF2CE5">
        <w:rPr>
          <w:sz w:val="22"/>
          <w:szCs w:val="22"/>
        </w:rPr>
        <w:t xml:space="preserve"> the world in new ways </w:t>
      </w:r>
      <w:r w:rsidR="00A804AE" w:rsidRPr="00BF2CE5">
        <w:rPr>
          <w:noProof/>
          <w:sz w:val="22"/>
          <w:szCs w:val="22"/>
        </w:rPr>
        <w:t>(Mezirow 1990)</w:t>
      </w:r>
      <w:r w:rsidR="004A39E4" w:rsidRPr="00BF2CE5">
        <w:rPr>
          <w:sz w:val="22"/>
          <w:szCs w:val="22"/>
        </w:rPr>
        <w:t>.</w:t>
      </w:r>
      <w:r w:rsidR="008E7956" w:rsidRPr="00BF2CE5">
        <w:rPr>
          <w:sz w:val="22"/>
          <w:szCs w:val="22"/>
        </w:rPr>
        <w:t xml:space="preserve"> </w:t>
      </w:r>
      <w:r w:rsidR="004204D2" w:rsidRPr="00BF2CE5">
        <w:rPr>
          <w:sz w:val="22"/>
          <w:szCs w:val="22"/>
        </w:rPr>
        <w:t xml:space="preserve">Sabapathy and Miller </w:t>
      </w:r>
      <w:r w:rsidR="004204D2" w:rsidRPr="00BF2CE5">
        <w:rPr>
          <w:noProof/>
          <w:sz w:val="22"/>
          <w:szCs w:val="22"/>
        </w:rPr>
        <w:t>(2011)</w:t>
      </w:r>
      <w:r w:rsidR="004204D2" w:rsidRPr="00BF2CE5">
        <w:rPr>
          <w:sz w:val="22"/>
          <w:szCs w:val="22"/>
        </w:rPr>
        <w:t xml:space="preserve"> argued that universities </w:t>
      </w:r>
      <w:r w:rsidR="008E7956" w:rsidRPr="00BF2CE5">
        <w:rPr>
          <w:sz w:val="22"/>
          <w:szCs w:val="22"/>
        </w:rPr>
        <w:t>are able to challenge society</w:t>
      </w:r>
      <w:r w:rsidR="00B84D07" w:rsidRPr="00BF2CE5">
        <w:rPr>
          <w:sz w:val="22"/>
          <w:szCs w:val="22"/>
        </w:rPr>
        <w:t xml:space="preserve">, as a result </w:t>
      </w:r>
      <w:r w:rsidR="004204D2" w:rsidRPr="00BF2CE5">
        <w:rPr>
          <w:sz w:val="22"/>
          <w:szCs w:val="22"/>
        </w:rPr>
        <w:t xml:space="preserve">of </w:t>
      </w:r>
      <w:r w:rsidR="00B84D07" w:rsidRPr="00BF2CE5">
        <w:rPr>
          <w:sz w:val="22"/>
          <w:szCs w:val="22"/>
        </w:rPr>
        <w:t>the contribution that disciplines make to i</w:t>
      </w:r>
      <w:r w:rsidR="004204D2" w:rsidRPr="00BF2CE5">
        <w:rPr>
          <w:sz w:val="22"/>
          <w:szCs w:val="22"/>
        </w:rPr>
        <w:t xml:space="preserve">dentifying what is important. </w:t>
      </w:r>
      <w:r w:rsidR="00B84D07" w:rsidRPr="00BF2CE5">
        <w:rPr>
          <w:sz w:val="22"/>
          <w:szCs w:val="22"/>
        </w:rPr>
        <w:t>This occurs in significant part through graduates who have themselves come to appreciate these contributions.</w:t>
      </w:r>
      <w:r w:rsidR="004A39E4" w:rsidRPr="00BF2CE5">
        <w:rPr>
          <w:sz w:val="22"/>
          <w:szCs w:val="22"/>
        </w:rPr>
        <w:t xml:space="preserve"> </w:t>
      </w:r>
    </w:p>
    <w:p w14:paraId="1F76C436" w14:textId="4D32F165" w:rsidR="002A1D75" w:rsidRPr="00BF2CE5" w:rsidRDefault="004A39E4" w:rsidP="00BF2CE5">
      <w:pPr>
        <w:spacing w:after="60"/>
        <w:ind w:firstLine="720"/>
        <w:rPr>
          <w:sz w:val="22"/>
          <w:szCs w:val="22"/>
          <w:shd w:val="clear" w:color="auto" w:fill="FFFFFF"/>
        </w:rPr>
      </w:pPr>
      <w:r w:rsidRPr="00BF2CE5">
        <w:rPr>
          <w:sz w:val="22"/>
          <w:szCs w:val="22"/>
        </w:rPr>
        <w:t>N</w:t>
      </w:r>
      <w:r w:rsidR="002638D4" w:rsidRPr="00BF2CE5">
        <w:rPr>
          <w:sz w:val="22"/>
          <w:szCs w:val="22"/>
        </w:rPr>
        <w:t>onetheless, it</w:t>
      </w:r>
      <w:r w:rsidR="00600928" w:rsidRPr="00BF2CE5">
        <w:rPr>
          <w:sz w:val="22"/>
          <w:szCs w:val="22"/>
        </w:rPr>
        <w:t xml:space="preserve"> is apparent that the focus of h</w:t>
      </w:r>
      <w:r w:rsidR="002638D4" w:rsidRPr="00BF2CE5">
        <w:rPr>
          <w:sz w:val="22"/>
          <w:szCs w:val="22"/>
        </w:rPr>
        <w:t>igher ed</w:t>
      </w:r>
      <w:r w:rsidR="001D5919" w:rsidRPr="00BF2CE5">
        <w:rPr>
          <w:sz w:val="22"/>
          <w:szCs w:val="22"/>
        </w:rPr>
        <w:t>ucation has shifted</w:t>
      </w:r>
      <w:r w:rsidR="00B37CD1" w:rsidRPr="00BF2CE5">
        <w:rPr>
          <w:sz w:val="22"/>
          <w:szCs w:val="22"/>
        </w:rPr>
        <w:t xml:space="preserve"> in recent years</w:t>
      </w:r>
      <w:r w:rsidR="002638D4" w:rsidRPr="00BF2CE5">
        <w:rPr>
          <w:sz w:val="22"/>
          <w:szCs w:val="22"/>
        </w:rPr>
        <w:t xml:space="preserve">. </w:t>
      </w:r>
      <w:r w:rsidR="007A625F" w:rsidRPr="00BF2CE5">
        <w:rPr>
          <w:sz w:val="22"/>
          <w:szCs w:val="22"/>
          <w:shd w:val="clear" w:color="auto" w:fill="FFFFFF"/>
        </w:rPr>
        <w:t xml:space="preserve">Barnett </w:t>
      </w:r>
      <w:r w:rsidR="00A804AE" w:rsidRPr="00BF2CE5">
        <w:rPr>
          <w:noProof/>
          <w:sz w:val="22"/>
          <w:szCs w:val="22"/>
          <w:shd w:val="clear" w:color="auto" w:fill="FFFFFF"/>
        </w:rPr>
        <w:t>(2016)</w:t>
      </w:r>
      <w:r w:rsidR="007B54E2" w:rsidRPr="00BF2CE5">
        <w:rPr>
          <w:sz w:val="22"/>
          <w:szCs w:val="22"/>
          <w:shd w:val="clear" w:color="auto" w:fill="FFFFFF"/>
        </w:rPr>
        <w:t xml:space="preserve"> </w:t>
      </w:r>
      <w:r w:rsidR="007A625F" w:rsidRPr="00BF2CE5">
        <w:rPr>
          <w:sz w:val="22"/>
          <w:szCs w:val="22"/>
          <w:shd w:val="clear" w:color="auto" w:fill="FFFFFF"/>
        </w:rPr>
        <w:t xml:space="preserve">claimed </w:t>
      </w:r>
      <w:r w:rsidR="001D1BBB" w:rsidRPr="00BF2CE5">
        <w:rPr>
          <w:sz w:val="22"/>
          <w:szCs w:val="22"/>
          <w:shd w:val="clear" w:color="auto" w:fill="FFFFFF"/>
        </w:rPr>
        <w:t xml:space="preserve">in an overview of policy </w:t>
      </w:r>
      <w:r w:rsidR="007A625F" w:rsidRPr="00BF2CE5">
        <w:rPr>
          <w:sz w:val="22"/>
          <w:szCs w:val="22"/>
          <w:shd w:val="clear" w:color="auto" w:fill="FFFFFF"/>
        </w:rPr>
        <w:t>that a ten-fold framework</w:t>
      </w:r>
      <w:r w:rsidR="00B37CD1" w:rsidRPr="00BF2CE5">
        <w:rPr>
          <w:sz w:val="22"/>
          <w:szCs w:val="22"/>
          <w:shd w:val="clear" w:color="auto" w:fill="FFFFFF"/>
        </w:rPr>
        <w:t xml:space="preserve"> based on neoliberalism </w:t>
      </w:r>
      <w:r w:rsidR="007A625F" w:rsidRPr="00BF2CE5">
        <w:rPr>
          <w:sz w:val="22"/>
          <w:szCs w:val="22"/>
          <w:shd w:val="clear" w:color="auto" w:fill="FFFFFF"/>
        </w:rPr>
        <w:t>has come to d</w:t>
      </w:r>
      <w:r w:rsidR="001D1BBB" w:rsidRPr="00BF2CE5">
        <w:rPr>
          <w:sz w:val="22"/>
          <w:szCs w:val="22"/>
          <w:shd w:val="clear" w:color="auto" w:fill="FFFFFF"/>
        </w:rPr>
        <w:t xml:space="preserve">ominate higher education </w:t>
      </w:r>
      <w:r w:rsidR="007A625F" w:rsidRPr="00BF2CE5">
        <w:rPr>
          <w:sz w:val="22"/>
          <w:szCs w:val="22"/>
          <w:shd w:val="clear" w:color="auto" w:fill="FFFFFF"/>
        </w:rPr>
        <w:t>globally</w:t>
      </w:r>
      <w:r w:rsidR="001D1BBB" w:rsidRPr="00BF2CE5">
        <w:rPr>
          <w:sz w:val="22"/>
          <w:szCs w:val="22"/>
          <w:shd w:val="clear" w:color="auto" w:fill="FFFFFF"/>
        </w:rPr>
        <w:t>. W</w:t>
      </w:r>
      <w:r w:rsidR="00D903F2" w:rsidRPr="00BF2CE5">
        <w:rPr>
          <w:sz w:val="22"/>
          <w:szCs w:val="22"/>
          <w:shd w:val="clear" w:color="auto" w:fill="FFFFFF"/>
        </w:rPr>
        <w:t>hile recognising that institutions fit within this framework to differing extents</w:t>
      </w:r>
      <w:r w:rsidR="001D1BBB" w:rsidRPr="00BF2CE5">
        <w:rPr>
          <w:sz w:val="22"/>
          <w:szCs w:val="22"/>
          <w:shd w:val="clear" w:color="auto" w:fill="FFFFFF"/>
        </w:rPr>
        <w:t>, h</w:t>
      </w:r>
      <w:r w:rsidR="00D903F2" w:rsidRPr="00BF2CE5">
        <w:rPr>
          <w:sz w:val="22"/>
          <w:szCs w:val="22"/>
          <w:shd w:val="clear" w:color="auto" w:fill="FFFFFF"/>
        </w:rPr>
        <w:t>e</w:t>
      </w:r>
      <w:r w:rsidR="00233E17" w:rsidRPr="00BF2CE5">
        <w:rPr>
          <w:sz w:val="22"/>
          <w:szCs w:val="22"/>
          <w:shd w:val="clear" w:color="auto" w:fill="FFFFFF"/>
        </w:rPr>
        <w:t xml:space="preserve"> argued</w:t>
      </w:r>
      <w:r w:rsidR="007B54E2" w:rsidRPr="00BF2CE5">
        <w:rPr>
          <w:sz w:val="22"/>
          <w:szCs w:val="22"/>
          <w:shd w:val="clear" w:color="auto" w:fill="FFFFFF"/>
        </w:rPr>
        <w:t xml:space="preserve"> that u</w:t>
      </w:r>
      <w:r w:rsidR="007069A6" w:rsidRPr="00BF2CE5">
        <w:rPr>
          <w:sz w:val="22"/>
          <w:szCs w:val="22"/>
          <w:shd w:val="clear" w:color="auto" w:fill="FFFFFF"/>
        </w:rPr>
        <w:t>niversities</w:t>
      </w:r>
      <w:r w:rsidR="007B54E2" w:rsidRPr="00BF2CE5">
        <w:rPr>
          <w:sz w:val="22"/>
          <w:szCs w:val="22"/>
          <w:shd w:val="clear" w:color="auto" w:fill="FFFFFF"/>
        </w:rPr>
        <w:t xml:space="preserve"> </w:t>
      </w:r>
      <w:r w:rsidR="00233E17" w:rsidRPr="00BF2CE5">
        <w:rPr>
          <w:sz w:val="22"/>
          <w:szCs w:val="22"/>
          <w:shd w:val="clear" w:color="auto" w:fill="FFFFFF"/>
        </w:rPr>
        <w:t>are now typically</w:t>
      </w:r>
      <w:r w:rsidR="007B54E2" w:rsidRPr="00BF2CE5">
        <w:rPr>
          <w:sz w:val="22"/>
          <w:szCs w:val="22"/>
          <w:shd w:val="clear" w:color="auto" w:fill="FFFFFF"/>
        </w:rPr>
        <w:t xml:space="preserve"> </w:t>
      </w:r>
      <w:r w:rsidR="007069A6" w:rsidRPr="00BF2CE5">
        <w:rPr>
          <w:sz w:val="22"/>
          <w:szCs w:val="22"/>
          <w:shd w:val="clear" w:color="auto" w:fill="FFFFFF"/>
        </w:rPr>
        <w:t>organised in ways that prioritise student employability and that encourage students to approach their studies as players in a market</w:t>
      </w:r>
      <w:r w:rsidR="001D1BBB" w:rsidRPr="00BF2CE5">
        <w:rPr>
          <w:sz w:val="22"/>
          <w:szCs w:val="22"/>
          <w:shd w:val="clear" w:color="auto" w:fill="FFFFFF"/>
        </w:rPr>
        <w:t xml:space="preserve"> –</w:t>
      </w:r>
      <w:r w:rsidR="00B37CD1" w:rsidRPr="00BF2CE5">
        <w:rPr>
          <w:sz w:val="22"/>
          <w:szCs w:val="22"/>
          <w:shd w:val="clear" w:color="auto" w:fill="FFFFFF"/>
        </w:rPr>
        <w:t xml:space="preserve"> to</w:t>
      </w:r>
      <w:r w:rsidR="001D1BBB" w:rsidRPr="00BF2CE5">
        <w:rPr>
          <w:sz w:val="22"/>
          <w:szCs w:val="22"/>
          <w:shd w:val="clear" w:color="auto" w:fill="FFFFFF"/>
        </w:rPr>
        <w:t xml:space="preserve"> highlight two</w:t>
      </w:r>
      <w:r w:rsidR="00D903F2" w:rsidRPr="00BF2CE5">
        <w:rPr>
          <w:sz w:val="22"/>
          <w:szCs w:val="22"/>
          <w:shd w:val="clear" w:color="auto" w:fill="FFFFFF"/>
        </w:rPr>
        <w:t xml:space="preserve"> features of </w:t>
      </w:r>
      <w:r w:rsidR="00B37CD1" w:rsidRPr="00BF2CE5">
        <w:rPr>
          <w:sz w:val="22"/>
          <w:szCs w:val="22"/>
          <w:shd w:val="clear" w:color="auto" w:fill="FFFFFF"/>
        </w:rPr>
        <w:t>his framework</w:t>
      </w:r>
      <w:r w:rsidR="007069A6" w:rsidRPr="00BF2CE5">
        <w:rPr>
          <w:sz w:val="22"/>
          <w:szCs w:val="22"/>
          <w:shd w:val="clear" w:color="auto" w:fill="FFFFFF"/>
        </w:rPr>
        <w:t>.</w:t>
      </w:r>
      <w:r w:rsidR="00EF4FF9" w:rsidRPr="00BF2CE5">
        <w:rPr>
          <w:sz w:val="22"/>
          <w:szCs w:val="22"/>
          <w:shd w:val="clear" w:color="auto" w:fill="FFFFFF"/>
        </w:rPr>
        <w:t xml:space="preserve"> </w:t>
      </w:r>
      <w:r w:rsidR="002A1D75" w:rsidRPr="00BF2CE5">
        <w:rPr>
          <w:sz w:val="22"/>
          <w:szCs w:val="22"/>
        </w:rPr>
        <w:t xml:space="preserve">The metrics that provide a key focus for the Teaching Excellence Framework in the UK, for instance, give extensive attention to student employability </w:t>
      </w:r>
      <w:r w:rsidR="002A1D75" w:rsidRPr="00BF2CE5">
        <w:rPr>
          <w:noProof/>
          <w:sz w:val="22"/>
          <w:szCs w:val="22"/>
        </w:rPr>
        <w:t>(Higher Education Funding Council for England 2016b)</w:t>
      </w:r>
      <w:r w:rsidR="002A1D75" w:rsidRPr="00BF2CE5">
        <w:rPr>
          <w:sz w:val="22"/>
          <w:szCs w:val="22"/>
        </w:rPr>
        <w:t>.</w:t>
      </w:r>
      <w:r w:rsidR="002A1D75" w:rsidRPr="00BF2CE5">
        <w:rPr>
          <w:sz w:val="22"/>
          <w:szCs w:val="22"/>
          <w:shd w:val="clear" w:color="auto" w:fill="FFFFFF"/>
        </w:rPr>
        <w:t xml:space="preserve"> </w:t>
      </w:r>
      <w:r w:rsidR="00B27A7A" w:rsidRPr="00BF2CE5">
        <w:rPr>
          <w:sz w:val="22"/>
          <w:szCs w:val="22"/>
          <w:shd w:val="clear" w:color="auto" w:fill="FFFFFF"/>
        </w:rPr>
        <w:t xml:space="preserve">Holmwood </w:t>
      </w:r>
      <w:r w:rsidR="002A1D75" w:rsidRPr="00BF2CE5">
        <w:rPr>
          <w:noProof/>
          <w:sz w:val="22"/>
          <w:szCs w:val="22"/>
          <w:shd w:val="clear" w:color="auto" w:fill="FFFFFF"/>
        </w:rPr>
        <w:t>(2011)</w:t>
      </w:r>
      <w:r w:rsidR="002A1D75" w:rsidRPr="00BF2CE5">
        <w:rPr>
          <w:sz w:val="22"/>
          <w:szCs w:val="22"/>
          <w:shd w:val="clear" w:color="auto" w:fill="FFFFFF"/>
        </w:rPr>
        <w:t xml:space="preserve"> </w:t>
      </w:r>
      <w:r w:rsidR="00B27A7A" w:rsidRPr="00BF2CE5">
        <w:rPr>
          <w:sz w:val="22"/>
          <w:szCs w:val="22"/>
          <w:shd w:val="clear" w:color="auto" w:fill="FFFFFF"/>
        </w:rPr>
        <w:t xml:space="preserve">has similarly suggested that </w:t>
      </w:r>
      <w:r w:rsidR="004818B7" w:rsidRPr="00BF2CE5">
        <w:rPr>
          <w:sz w:val="22"/>
          <w:szCs w:val="22"/>
          <w:shd w:val="clear" w:color="auto" w:fill="FFFFFF"/>
        </w:rPr>
        <w:t xml:space="preserve">universities </w:t>
      </w:r>
      <w:r w:rsidR="00B27A7A" w:rsidRPr="00BF2CE5">
        <w:rPr>
          <w:sz w:val="22"/>
          <w:szCs w:val="22"/>
          <w:shd w:val="clear" w:color="auto" w:fill="FFFFFF"/>
        </w:rPr>
        <w:t xml:space="preserve">have increasingly begun to be seen in terms of their role in fostering economic growth. </w:t>
      </w:r>
    </w:p>
    <w:p w14:paraId="6A10603D" w14:textId="5E2B90AA" w:rsidR="00F06199" w:rsidRPr="00BF2CE5" w:rsidRDefault="007A625F" w:rsidP="00BF2CE5">
      <w:pPr>
        <w:spacing w:after="60"/>
        <w:ind w:firstLine="720"/>
        <w:rPr>
          <w:sz w:val="22"/>
          <w:szCs w:val="22"/>
        </w:rPr>
      </w:pPr>
      <w:r w:rsidRPr="00BF2CE5">
        <w:rPr>
          <w:sz w:val="22"/>
          <w:szCs w:val="22"/>
          <w:shd w:val="clear" w:color="auto" w:fill="FFFFFF"/>
        </w:rPr>
        <w:lastRenderedPageBreak/>
        <w:t xml:space="preserve">The influence of this </w:t>
      </w:r>
      <w:r w:rsidR="00233E17" w:rsidRPr="00BF2CE5">
        <w:rPr>
          <w:sz w:val="22"/>
          <w:szCs w:val="22"/>
          <w:shd w:val="clear" w:color="auto" w:fill="FFFFFF"/>
        </w:rPr>
        <w:t xml:space="preserve">ten-fold </w:t>
      </w:r>
      <w:r w:rsidRPr="00BF2CE5">
        <w:rPr>
          <w:sz w:val="22"/>
          <w:szCs w:val="22"/>
          <w:shd w:val="clear" w:color="auto" w:fill="FFFFFF"/>
        </w:rPr>
        <w:t>framework is apparent even in areas where one might expect other agendas to hold sway. For instance,</w:t>
      </w:r>
      <w:r w:rsidR="00F06199" w:rsidRPr="00BF2CE5">
        <w:rPr>
          <w:sz w:val="22"/>
          <w:szCs w:val="22"/>
          <w:shd w:val="clear" w:color="auto" w:fill="FFFFFF"/>
        </w:rPr>
        <w:t xml:space="preserve"> </w:t>
      </w:r>
      <w:r w:rsidR="00F06199" w:rsidRPr="00BF2CE5">
        <w:rPr>
          <w:rFonts w:eastAsia="Times New Roman"/>
          <w:sz w:val="22"/>
          <w:szCs w:val="22"/>
        </w:rPr>
        <w:t>an earlier critique of the dominance of an economic framing to higher education can be found in the work of Louise Archer (2007). She suggested that</w:t>
      </w:r>
      <w:r w:rsidR="00F06199" w:rsidRPr="00BF2CE5">
        <w:rPr>
          <w:sz w:val="22"/>
          <w:szCs w:val="22"/>
          <w:shd w:val="clear" w:color="auto" w:fill="FFFFFF"/>
        </w:rPr>
        <w:t xml:space="preserve"> the rhetoric </w:t>
      </w:r>
      <w:r w:rsidR="00F06199" w:rsidRPr="00BF2CE5">
        <w:rPr>
          <w:color w:val="000000"/>
          <w:sz w:val="22"/>
          <w:szCs w:val="22"/>
        </w:rPr>
        <w:t>of ‘</w:t>
      </w:r>
      <w:r w:rsidR="00F06199" w:rsidRPr="00BF2CE5">
        <w:rPr>
          <w:sz w:val="22"/>
          <w:szCs w:val="22"/>
        </w:rPr>
        <w:t>diversity’, ‘equality’ and ‘inclusion’ within work to widen participation in higher education serves an economic agenda.</w:t>
      </w:r>
      <w:r w:rsidR="00D609D9" w:rsidRPr="00BF2CE5">
        <w:rPr>
          <w:sz w:val="22"/>
          <w:szCs w:val="22"/>
        </w:rPr>
        <w:t xml:space="preserve"> While the</w:t>
      </w:r>
      <w:r w:rsidR="004204D2" w:rsidRPr="00BF2CE5">
        <w:rPr>
          <w:sz w:val="22"/>
          <w:szCs w:val="22"/>
        </w:rPr>
        <w:t xml:space="preserve"> new policy framework has assisted with the</w:t>
      </w:r>
      <w:r w:rsidR="00D609D9" w:rsidRPr="00BF2CE5">
        <w:rPr>
          <w:sz w:val="22"/>
          <w:szCs w:val="22"/>
        </w:rPr>
        <w:t xml:space="preserve"> massification of higher education</w:t>
      </w:r>
      <w:r w:rsidR="004204D2" w:rsidRPr="00BF2CE5">
        <w:rPr>
          <w:sz w:val="22"/>
          <w:szCs w:val="22"/>
        </w:rPr>
        <w:t>, and</w:t>
      </w:r>
      <w:r w:rsidR="00D609D9" w:rsidRPr="00BF2CE5">
        <w:rPr>
          <w:sz w:val="22"/>
          <w:szCs w:val="22"/>
        </w:rPr>
        <w:t xml:space="preserve"> has opened up</w:t>
      </w:r>
      <w:r w:rsidR="004204D2" w:rsidRPr="00BF2CE5">
        <w:rPr>
          <w:sz w:val="22"/>
          <w:szCs w:val="22"/>
        </w:rPr>
        <w:t xml:space="preserve"> the benefits that arise from to </w:t>
      </w:r>
      <w:r w:rsidR="00D609D9" w:rsidRPr="00BF2CE5">
        <w:rPr>
          <w:sz w:val="22"/>
          <w:szCs w:val="22"/>
        </w:rPr>
        <w:t xml:space="preserve">more than just an elite, a shift has </w:t>
      </w:r>
      <w:r w:rsidR="004204D2" w:rsidRPr="00BF2CE5">
        <w:rPr>
          <w:sz w:val="22"/>
          <w:szCs w:val="22"/>
        </w:rPr>
        <w:t>nonetheless occurred in the</w:t>
      </w:r>
      <w:r w:rsidR="00D609D9" w:rsidRPr="00BF2CE5">
        <w:rPr>
          <w:sz w:val="22"/>
          <w:szCs w:val="22"/>
        </w:rPr>
        <w:t xml:space="preserve"> nature of the higher education that is offered.   </w:t>
      </w:r>
    </w:p>
    <w:p w14:paraId="63F42C55" w14:textId="7426C43E" w:rsidR="000C5ECF" w:rsidRPr="00BF2CE5" w:rsidRDefault="00600928" w:rsidP="00BF2CE5">
      <w:pPr>
        <w:ind w:firstLine="720"/>
        <w:rPr>
          <w:rFonts w:eastAsia="Times New Roman"/>
          <w:sz w:val="22"/>
          <w:szCs w:val="22"/>
        </w:rPr>
      </w:pPr>
      <w:r w:rsidRPr="00BF2CE5">
        <w:rPr>
          <w:sz w:val="22"/>
          <w:szCs w:val="22"/>
        </w:rPr>
        <w:t xml:space="preserve">To what extent, though, can we expect an emphasis on student employability to satisfy </w:t>
      </w:r>
      <w:r w:rsidR="0034051B" w:rsidRPr="00BF2CE5">
        <w:rPr>
          <w:sz w:val="22"/>
          <w:szCs w:val="22"/>
        </w:rPr>
        <w:t xml:space="preserve">the </w:t>
      </w:r>
      <w:r w:rsidRPr="00BF2CE5">
        <w:rPr>
          <w:sz w:val="22"/>
          <w:szCs w:val="22"/>
        </w:rPr>
        <w:t xml:space="preserve">full </w:t>
      </w:r>
      <w:r w:rsidR="0034051B" w:rsidRPr="00BF2CE5">
        <w:rPr>
          <w:sz w:val="22"/>
          <w:szCs w:val="22"/>
        </w:rPr>
        <w:t>range of aspirations, responsibilities and needs that students manife</w:t>
      </w:r>
      <w:r w:rsidR="00475D68" w:rsidRPr="00BF2CE5">
        <w:rPr>
          <w:sz w:val="22"/>
          <w:szCs w:val="22"/>
        </w:rPr>
        <w:t>st</w:t>
      </w:r>
      <w:r w:rsidR="004818B7" w:rsidRPr="00BF2CE5">
        <w:rPr>
          <w:sz w:val="22"/>
          <w:szCs w:val="22"/>
        </w:rPr>
        <w:t xml:space="preserve"> – or to meet the needs of societies</w:t>
      </w:r>
      <w:r w:rsidR="00475D68" w:rsidRPr="00BF2CE5">
        <w:rPr>
          <w:sz w:val="22"/>
          <w:szCs w:val="22"/>
        </w:rPr>
        <w:t>? If only certain sets of</w:t>
      </w:r>
      <w:r w:rsidR="004204D2" w:rsidRPr="00BF2CE5">
        <w:rPr>
          <w:sz w:val="22"/>
          <w:szCs w:val="22"/>
        </w:rPr>
        <w:t xml:space="preserve"> benefits from</w:t>
      </w:r>
      <w:r w:rsidRPr="00BF2CE5">
        <w:rPr>
          <w:sz w:val="22"/>
          <w:szCs w:val="22"/>
        </w:rPr>
        <w:t xml:space="preserve"> higher edu</w:t>
      </w:r>
      <w:r w:rsidR="00475D68" w:rsidRPr="00BF2CE5">
        <w:rPr>
          <w:sz w:val="22"/>
          <w:szCs w:val="22"/>
        </w:rPr>
        <w:t>cation are prioritised</w:t>
      </w:r>
      <w:r w:rsidR="00233E17" w:rsidRPr="00BF2CE5">
        <w:rPr>
          <w:sz w:val="22"/>
          <w:szCs w:val="22"/>
        </w:rPr>
        <w:t>, then</w:t>
      </w:r>
      <w:r w:rsidRPr="00BF2CE5">
        <w:rPr>
          <w:sz w:val="22"/>
          <w:szCs w:val="22"/>
        </w:rPr>
        <w:t xml:space="preserve"> we can expect to see undesired source</w:t>
      </w:r>
      <w:r w:rsidR="001B3A9C" w:rsidRPr="00BF2CE5">
        <w:rPr>
          <w:sz w:val="22"/>
          <w:szCs w:val="22"/>
        </w:rPr>
        <w:t>s</w:t>
      </w:r>
      <w:r w:rsidRPr="00BF2CE5">
        <w:rPr>
          <w:sz w:val="22"/>
          <w:szCs w:val="22"/>
        </w:rPr>
        <w:t xml:space="preserve"> of determination begin to dominate </w:t>
      </w:r>
      <w:r w:rsidR="00233E17" w:rsidRPr="00BF2CE5">
        <w:rPr>
          <w:sz w:val="22"/>
          <w:szCs w:val="22"/>
        </w:rPr>
        <w:t xml:space="preserve">particular groups of students. </w:t>
      </w:r>
      <w:r w:rsidR="003D673E" w:rsidRPr="00BF2CE5">
        <w:rPr>
          <w:rFonts w:eastAsia="Times New Roman"/>
          <w:sz w:val="22"/>
          <w:szCs w:val="22"/>
        </w:rPr>
        <w:t xml:space="preserve">Abbott-Chapman </w:t>
      </w:r>
      <w:r w:rsidR="00A804AE" w:rsidRPr="00BF2CE5">
        <w:rPr>
          <w:rFonts w:eastAsia="Times New Roman"/>
          <w:noProof/>
          <w:sz w:val="22"/>
          <w:szCs w:val="22"/>
        </w:rPr>
        <w:t>(2011)</w:t>
      </w:r>
      <w:r w:rsidR="003D673E" w:rsidRPr="00BF2CE5">
        <w:rPr>
          <w:rFonts w:eastAsia="Times New Roman"/>
          <w:sz w:val="22"/>
          <w:szCs w:val="22"/>
        </w:rPr>
        <w:t>, for instance,</w:t>
      </w:r>
      <w:r w:rsidR="00780FF4" w:rsidRPr="00BF2CE5">
        <w:rPr>
          <w:rFonts w:eastAsia="Times New Roman"/>
          <w:sz w:val="22"/>
          <w:szCs w:val="22"/>
        </w:rPr>
        <w:t xml:space="preserve"> argued that</w:t>
      </w:r>
      <w:r w:rsidR="003D673E" w:rsidRPr="00BF2CE5">
        <w:rPr>
          <w:rFonts w:eastAsia="Times New Roman"/>
          <w:sz w:val="22"/>
          <w:szCs w:val="22"/>
        </w:rPr>
        <w:t xml:space="preserve"> rural communities are constituted by close-knit social networks that act as so</w:t>
      </w:r>
      <w:r w:rsidRPr="00BF2CE5">
        <w:rPr>
          <w:rFonts w:eastAsia="Times New Roman"/>
          <w:sz w:val="22"/>
          <w:szCs w:val="22"/>
        </w:rPr>
        <w:t>urces of belonging and trust.</w:t>
      </w:r>
      <w:r w:rsidR="00506945" w:rsidRPr="00BF2CE5">
        <w:rPr>
          <w:rFonts w:eastAsia="Times New Roman"/>
          <w:sz w:val="22"/>
          <w:szCs w:val="22"/>
        </w:rPr>
        <w:t xml:space="preserve"> </w:t>
      </w:r>
      <w:r w:rsidR="00326E75" w:rsidRPr="00BF2CE5">
        <w:rPr>
          <w:rFonts w:eastAsia="Times New Roman"/>
          <w:sz w:val="22"/>
          <w:szCs w:val="22"/>
        </w:rPr>
        <w:t xml:space="preserve">The aspirations of </w:t>
      </w:r>
      <w:r w:rsidR="007B54E2" w:rsidRPr="00BF2CE5">
        <w:rPr>
          <w:rFonts w:eastAsia="Times New Roman"/>
          <w:sz w:val="22"/>
          <w:szCs w:val="22"/>
        </w:rPr>
        <w:t>young people in such</w:t>
      </w:r>
      <w:r w:rsidR="00633CEE" w:rsidRPr="00BF2CE5">
        <w:rPr>
          <w:rFonts w:eastAsia="Times New Roman"/>
          <w:sz w:val="22"/>
          <w:szCs w:val="22"/>
        </w:rPr>
        <w:t xml:space="preserve"> setting</w:t>
      </w:r>
      <w:r w:rsidR="007B54E2" w:rsidRPr="00BF2CE5">
        <w:rPr>
          <w:rFonts w:eastAsia="Times New Roman"/>
          <w:sz w:val="22"/>
          <w:szCs w:val="22"/>
        </w:rPr>
        <w:t>s</w:t>
      </w:r>
      <w:r w:rsidR="00233E17" w:rsidRPr="00BF2CE5">
        <w:rPr>
          <w:rFonts w:eastAsia="Times New Roman"/>
          <w:sz w:val="22"/>
          <w:szCs w:val="22"/>
        </w:rPr>
        <w:t xml:space="preserve"> are often</w:t>
      </w:r>
      <w:r w:rsidR="00633CEE" w:rsidRPr="00BF2CE5">
        <w:rPr>
          <w:rFonts w:eastAsia="Times New Roman"/>
          <w:sz w:val="22"/>
          <w:szCs w:val="22"/>
        </w:rPr>
        <w:t xml:space="preserve"> close</w:t>
      </w:r>
      <w:r w:rsidR="007B54E2" w:rsidRPr="00BF2CE5">
        <w:rPr>
          <w:rFonts w:eastAsia="Times New Roman"/>
          <w:sz w:val="22"/>
          <w:szCs w:val="22"/>
        </w:rPr>
        <w:t>ly linked to the</w:t>
      </w:r>
      <w:r w:rsidR="00233E17" w:rsidRPr="00BF2CE5">
        <w:rPr>
          <w:rFonts w:eastAsia="Times New Roman"/>
          <w:sz w:val="22"/>
          <w:szCs w:val="22"/>
        </w:rPr>
        <w:t>ir social networks. Securing suitable employment may still remain an integral concern for them</w:t>
      </w:r>
      <w:r w:rsidR="002E13BA" w:rsidRPr="00BF2CE5">
        <w:rPr>
          <w:rFonts w:eastAsia="Times New Roman"/>
          <w:sz w:val="22"/>
          <w:szCs w:val="22"/>
        </w:rPr>
        <w:t>,</w:t>
      </w:r>
      <w:r w:rsidR="00DA644A" w:rsidRPr="00BF2CE5">
        <w:rPr>
          <w:rFonts w:eastAsia="Times New Roman"/>
          <w:sz w:val="22"/>
          <w:szCs w:val="22"/>
        </w:rPr>
        <w:t xml:space="preserve"> bu</w:t>
      </w:r>
      <w:r w:rsidR="002D1408" w:rsidRPr="00BF2CE5">
        <w:rPr>
          <w:rFonts w:eastAsia="Times New Roman"/>
          <w:sz w:val="22"/>
          <w:szCs w:val="22"/>
        </w:rPr>
        <w:t>t if universities downplay the full range of their</w:t>
      </w:r>
      <w:r w:rsidR="00DA644A" w:rsidRPr="00BF2CE5">
        <w:rPr>
          <w:rFonts w:eastAsia="Times New Roman"/>
          <w:sz w:val="22"/>
          <w:szCs w:val="22"/>
        </w:rPr>
        <w:t xml:space="preserve"> aspirations</w:t>
      </w:r>
      <w:r w:rsidR="002D1408" w:rsidRPr="00BF2CE5">
        <w:rPr>
          <w:rFonts w:eastAsia="Times New Roman"/>
          <w:sz w:val="22"/>
          <w:szCs w:val="22"/>
        </w:rPr>
        <w:t>,</w:t>
      </w:r>
      <w:r w:rsidR="007B54E2" w:rsidRPr="00BF2CE5">
        <w:rPr>
          <w:rFonts w:eastAsia="Times New Roman"/>
          <w:sz w:val="22"/>
          <w:szCs w:val="22"/>
        </w:rPr>
        <w:t xml:space="preserve"> then </w:t>
      </w:r>
      <w:r w:rsidR="00326E75" w:rsidRPr="00BF2CE5">
        <w:rPr>
          <w:rFonts w:eastAsia="Times New Roman"/>
          <w:sz w:val="22"/>
          <w:szCs w:val="22"/>
        </w:rPr>
        <w:t xml:space="preserve">scope for </w:t>
      </w:r>
      <w:r w:rsidR="007B54E2" w:rsidRPr="00BF2CE5">
        <w:rPr>
          <w:rFonts w:eastAsia="Times New Roman"/>
          <w:sz w:val="22"/>
          <w:szCs w:val="22"/>
        </w:rPr>
        <w:t xml:space="preserve">a </w:t>
      </w:r>
      <w:r w:rsidR="00326E75" w:rsidRPr="00BF2CE5">
        <w:rPr>
          <w:rFonts w:eastAsia="Times New Roman"/>
          <w:sz w:val="22"/>
          <w:szCs w:val="22"/>
        </w:rPr>
        <w:t>transformation that is</w:t>
      </w:r>
      <w:r w:rsidR="007B54E2" w:rsidRPr="00BF2CE5">
        <w:rPr>
          <w:rFonts w:eastAsia="Times New Roman"/>
          <w:sz w:val="22"/>
          <w:szCs w:val="22"/>
        </w:rPr>
        <w:t xml:space="preserve"> freely</w:t>
      </w:r>
      <w:r w:rsidR="00326E75" w:rsidRPr="00BF2CE5">
        <w:rPr>
          <w:rFonts w:eastAsia="Times New Roman"/>
          <w:sz w:val="22"/>
          <w:szCs w:val="22"/>
        </w:rPr>
        <w:t xml:space="preserve"> desired</w:t>
      </w:r>
      <w:r w:rsidR="00DA644A" w:rsidRPr="00BF2CE5">
        <w:rPr>
          <w:rFonts w:eastAsia="Times New Roman"/>
          <w:sz w:val="22"/>
          <w:szCs w:val="22"/>
        </w:rPr>
        <w:t xml:space="preserve"> on the part of these young people</w:t>
      </w:r>
      <w:r w:rsidR="00326E75" w:rsidRPr="00BF2CE5">
        <w:rPr>
          <w:rFonts w:eastAsia="Times New Roman"/>
          <w:sz w:val="22"/>
          <w:szCs w:val="22"/>
        </w:rPr>
        <w:t xml:space="preserve"> narrows. </w:t>
      </w:r>
      <w:r w:rsidR="00F732F0" w:rsidRPr="00BF2CE5">
        <w:rPr>
          <w:rFonts w:eastAsia="Times New Roman"/>
          <w:sz w:val="22"/>
          <w:szCs w:val="22"/>
        </w:rPr>
        <w:t xml:space="preserve">Bhaskar (1993) </w:t>
      </w:r>
      <w:r w:rsidR="007E101B" w:rsidRPr="00BF2CE5">
        <w:rPr>
          <w:rFonts w:eastAsia="Times New Roman"/>
          <w:sz w:val="22"/>
          <w:szCs w:val="22"/>
        </w:rPr>
        <w:t>argued</w:t>
      </w:r>
      <w:r w:rsidR="00F82D5F" w:rsidRPr="00BF2CE5">
        <w:rPr>
          <w:rFonts w:eastAsia="Times New Roman"/>
          <w:sz w:val="22"/>
          <w:szCs w:val="22"/>
        </w:rPr>
        <w:t xml:space="preserve"> that human flourishing entails the </w:t>
      </w:r>
      <w:r w:rsidR="00A8767A" w:rsidRPr="00BF2CE5">
        <w:rPr>
          <w:rFonts w:eastAsia="Times New Roman"/>
          <w:sz w:val="22"/>
          <w:szCs w:val="22"/>
        </w:rPr>
        <w:t xml:space="preserve">scope </w:t>
      </w:r>
      <w:r w:rsidR="00F577E1" w:rsidRPr="00BF2CE5">
        <w:rPr>
          <w:rFonts w:eastAsia="Times New Roman"/>
          <w:sz w:val="22"/>
          <w:szCs w:val="22"/>
        </w:rPr>
        <w:t>for a person</w:t>
      </w:r>
      <w:r w:rsidR="00A8767A" w:rsidRPr="00BF2CE5">
        <w:rPr>
          <w:rFonts w:eastAsia="Times New Roman"/>
          <w:sz w:val="22"/>
          <w:szCs w:val="22"/>
        </w:rPr>
        <w:t xml:space="preserve"> freely</w:t>
      </w:r>
      <w:r w:rsidR="00F577E1" w:rsidRPr="00BF2CE5">
        <w:rPr>
          <w:rFonts w:eastAsia="Times New Roman"/>
          <w:sz w:val="22"/>
          <w:szCs w:val="22"/>
        </w:rPr>
        <w:t xml:space="preserve"> to</w:t>
      </w:r>
      <w:r w:rsidR="00326E75" w:rsidRPr="00BF2CE5">
        <w:rPr>
          <w:rFonts w:eastAsia="Times New Roman"/>
          <w:sz w:val="22"/>
          <w:szCs w:val="22"/>
        </w:rPr>
        <w:t xml:space="preserve"> </w:t>
      </w:r>
      <w:r w:rsidR="000D379A" w:rsidRPr="00BF2CE5">
        <w:rPr>
          <w:rFonts w:eastAsia="Times New Roman"/>
          <w:sz w:val="22"/>
          <w:szCs w:val="22"/>
        </w:rPr>
        <w:t>realise his or her true interests.</w:t>
      </w:r>
      <w:r w:rsidR="00DB4EE0" w:rsidRPr="00BF2CE5">
        <w:rPr>
          <w:rFonts w:eastAsia="Times New Roman"/>
          <w:sz w:val="22"/>
          <w:szCs w:val="22"/>
        </w:rPr>
        <w:t xml:space="preserve"> He</w:t>
      </w:r>
      <w:r w:rsidR="002504FC" w:rsidRPr="00BF2CE5">
        <w:rPr>
          <w:rFonts w:eastAsia="Times New Roman"/>
          <w:sz w:val="22"/>
          <w:szCs w:val="22"/>
        </w:rPr>
        <w:t xml:space="preserve"> </w:t>
      </w:r>
      <w:r w:rsidR="00F732F0" w:rsidRPr="00BF2CE5">
        <w:rPr>
          <w:rFonts w:eastAsia="Times New Roman"/>
          <w:sz w:val="22"/>
          <w:szCs w:val="22"/>
        </w:rPr>
        <w:t xml:space="preserve">further </w:t>
      </w:r>
      <w:r w:rsidR="00F82D5F" w:rsidRPr="00BF2CE5">
        <w:rPr>
          <w:rFonts w:eastAsia="Times New Roman"/>
          <w:sz w:val="22"/>
          <w:szCs w:val="22"/>
        </w:rPr>
        <w:t>contended t</w:t>
      </w:r>
      <w:r w:rsidR="00F732F0" w:rsidRPr="00BF2CE5">
        <w:rPr>
          <w:rFonts w:eastAsia="Times New Roman"/>
          <w:sz w:val="22"/>
          <w:szCs w:val="22"/>
        </w:rPr>
        <w:t xml:space="preserve">hat this </w:t>
      </w:r>
      <w:r w:rsidR="00F47A3D" w:rsidRPr="00BF2CE5">
        <w:rPr>
          <w:rFonts w:eastAsia="Times New Roman"/>
          <w:sz w:val="22"/>
          <w:szCs w:val="22"/>
        </w:rPr>
        <w:t xml:space="preserve">free </w:t>
      </w:r>
      <w:r w:rsidR="004A5C1D" w:rsidRPr="00BF2CE5">
        <w:rPr>
          <w:rFonts w:eastAsia="Times New Roman"/>
          <w:sz w:val="22"/>
          <w:szCs w:val="22"/>
        </w:rPr>
        <w:t xml:space="preserve">flourishing of </w:t>
      </w:r>
      <w:r w:rsidR="00F47A3D" w:rsidRPr="00BF2CE5">
        <w:rPr>
          <w:rFonts w:eastAsia="Times New Roman"/>
          <w:sz w:val="22"/>
          <w:szCs w:val="22"/>
        </w:rPr>
        <w:t>agent</w:t>
      </w:r>
      <w:r w:rsidR="004A5C1D" w:rsidRPr="00BF2CE5">
        <w:rPr>
          <w:rFonts w:eastAsia="Times New Roman"/>
          <w:sz w:val="22"/>
          <w:szCs w:val="22"/>
        </w:rPr>
        <w:t>s as</w:t>
      </w:r>
      <w:r w:rsidR="00F47A3D" w:rsidRPr="00BF2CE5">
        <w:rPr>
          <w:rFonts w:eastAsia="Times New Roman"/>
          <w:sz w:val="22"/>
          <w:szCs w:val="22"/>
        </w:rPr>
        <w:t xml:space="preserve"> individual</w:t>
      </w:r>
      <w:r w:rsidR="004A5C1D" w:rsidRPr="00BF2CE5">
        <w:rPr>
          <w:rFonts w:eastAsia="Times New Roman"/>
          <w:sz w:val="22"/>
          <w:szCs w:val="22"/>
        </w:rPr>
        <w:t>s</w:t>
      </w:r>
      <w:r w:rsidR="00F47A3D" w:rsidRPr="00BF2CE5">
        <w:rPr>
          <w:rFonts w:eastAsia="Times New Roman"/>
          <w:sz w:val="22"/>
          <w:szCs w:val="22"/>
        </w:rPr>
        <w:t xml:space="preserve"> is required if everyone</w:t>
      </w:r>
      <w:r w:rsidR="00F82D5F" w:rsidRPr="00BF2CE5">
        <w:rPr>
          <w:rFonts w:eastAsia="Times New Roman"/>
          <w:sz w:val="22"/>
          <w:szCs w:val="22"/>
        </w:rPr>
        <w:t xml:space="preserve"> is to flourish</w:t>
      </w:r>
      <w:r w:rsidR="00E27B24" w:rsidRPr="00BF2CE5">
        <w:rPr>
          <w:rFonts w:eastAsia="Times New Roman"/>
          <w:sz w:val="22"/>
          <w:szCs w:val="22"/>
        </w:rPr>
        <w:t>.</w:t>
      </w:r>
      <w:r w:rsidR="00F82D5F" w:rsidRPr="00BF2CE5">
        <w:rPr>
          <w:rFonts w:eastAsia="Times New Roman"/>
          <w:sz w:val="22"/>
          <w:szCs w:val="22"/>
        </w:rPr>
        <w:t xml:space="preserve"> Emancipation then occurs when someone is</w:t>
      </w:r>
      <w:r w:rsidR="007E101B" w:rsidRPr="00BF2CE5">
        <w:rPr>
          <w:rFonts w:eastAsia="Times New Roman"/>
          <w:sz w:val="22"/>
          <w:szCs w:val="22"/>
        </w:rPr>
        <w:t xml:space="preserve"> subject to desired rather than undesired sources of determination</w:t>
      </w:r>
      <w:r w:rsidR="00694235" w:rsidRPr="00BF2CE5">
        <w:rPr>
          <w:rFonts w:eastAsia="Times New Roman"/>
          <w:sz w:val="22"/>
          <w:szCs w:val="22"/>
        </w:rPr>
        <w:t xml:space="preserve"> </w:t>
      </w:r>
      <w:r w:rsidR="00A804AE" w:rsidRPr="00BF2CE5">
        <w:rPr>
          <w:noProof/>
          <w:sz w:val="22"/>
          <w:szCs w:val="22"/>
        </w:rPr>
        <w:t>(Bhaskar 1993)</w:t>
      </w:r>
      <w:r w:rsidR="007E101B" w:rsidRPr="00BF2CE5">
        <w:rPr>
          <w:rFonts w:eastAsia="Times New Roman"/>
          <w:sz w:val="22"/>
          <w:szCs w:val="22"/>
        </w:rPr>
        <w:t>.</w:t>
      </w:r>
      <w:r w:rsidR="00F82D5F" w:rsidRPr="00BF2CE5">
        <w:rPr>
          <w:rFonts w:eastAsia="Times New Roman"/>
          <w:sz w:val="22"/>
          <w:szCs w:val="22"/>
        </w:rPr>
        <w:t xml:space="preserve"> On this view the extent to which one is able to exercise agency is central to what it means to flourish. Smith (2010), indeed, highlighted the presence of complex capacities for agency as a central part of what it means to be a person.</w:t>
      </w:r>
      <w:r w:rsidR="00F311C0" w:rsidRPr="00BF2CE5">
        <w:rPr>
          <w:rFonts w:eastAsia="Times New Roman"/>
          <w:sz w:val="22"/>
          <w:szCs w:val="22"/>
        </w:rPr>
        <w:t xml:space="preserve"> </w:t>
      </w:r>
      <w:r w:rsidR="00D07EFC" w:rsidRPr="00BF2CE5">
        <w:rPr>
          <w:rFonts w:eastAsia="Times New Roman"/>
          <w:sz w:val="22"/>
          <w:szCs w:val="22"/>
        </w:rPr>
        <w:t xml:space="preserve">There is overlap also with the notion of human flourishing developed within the capabilities approach of Nussbaum and Sen </w:t>
      </w:r>
      <w:r w:rsidR="00A804AE" w:rsidRPr="00BF2CE5">
        <w:rPr>
          <w:rFonts w:eastAsia="Times New Roman"/>
          <w:noProof/>
          <w:sz w:val="22"/>
          <w:szCs w:val="22"/>
        </w:rPr>
        <w:t>(1993)</w:t>
      </w:r>
      <w:r w:rsidR="00D07EFC" w:rsidRPr="00BF2CE5">
        <w:rPr>
          <w:rFonts w:eastAsia="Times New Roman"/>
          <w:sz w:val="22"/>
          <w:szCs w:val="22"/>
        </w:rPr>
        <w:t xml:space="preserve">, in which flourishing is ‘the extent to which a person is able to be and do what they have reason to value being and doing’ </w:t>
      </w:r>
      <w:r w:rsidR="00A804AE" w:rsidRPr="00BF2CE5">
        <w:rPr>
          <w:rFonts w:eastAsia="Times New Roman"/>
          <w:noProof/>
          <w:sz w:val="22"/>
          <w:szCs w:val="22"/>
        </w:rPr>
        <w:t>(Wilson-Strydom and Walker 2015)</w:t>
      </w:r>
      <w:r w:rsidR="00D07EFC" w:rsidRPr="00BF2CE5">
        <w:rPr>
          <w:rFonts w:eastAsia="Times New Roman"/>
          <w:sz w:val="22"/>
          <w:szCs w:val="22"/>
        </w:rPr>
        <w:t>.</w:t>
      </w:r>
      <w:r w:rsidR="00E976AF" w:rsidRPr="00BF2CE5">
        <w:rPr>
          <w:rFonts w:eastAsia="Times New Roman"/>
          <w:sz w:val="22"/>
          <w:szCs w:val="22"/>
        </w:rPr>
        <w:t xml:space="preserve"> </w:t>
      </w:r>
      <w:r w:rsidR="00F311C0" w:rsidRPr="00BF2CE5">
        <w:rPr>
          <w:rFonts w:eastAsia="Times New Roman"/>
          <w:sz w:val="22"/>
          <w:szCs w:val="22"/>
        </w:rPr>
        <w:t xml:space="preserve">These perspectives contrast with </w:t>
      </w:r>
      <w:r w:rsidR="00DC6787" w:rsidRPr="00BF2CE5">
        <w:rPr>
          <w:rFonts w:eastAsia="Times New Roman"/>
          <w:sz w:val="22"/>
          <w:szCs w:val="22"/>
        </w:rPr>
        <w:t>the more widespread view</w:t>
      </w:r>
      <w:r w:rsidR="00F311C0" w:rsidRPr="00BF2CE5">
        <w:rPr>
          <w:rFonts w:eastAsia="Times New Roman"/>
          <w:sz w:val="22"/>
          <w:szCs w:val="22"/>
        </w:rPr>
        <w:t xml:space="preserve"> that sees flouris</w:t>
      </w:r>
      <w:r w:rsidR="000C5ECF" w:rsidRPr="00BF2CE5">
        <w:rPr>
          <w:rFonts w:eastAsia="Times New Roman"/>
          <w:sz w:val="22"/>
          <w:szCs w:val="22"/>
        </w:rPr>
        <w:t>hing primarily in terms of</w:t>
      </w:r>
      <w:r w:rsidR="00382630" w:rsidRPr="00BF2CE5">
        <w:rPr>
          <w:rFonts w:eastAsia="Times New Roman"/>
          <w:sz w:val="22"/>
          <w:szCs w:val="22"/>
        </w:rPr>
        <w:t xml:space="preserve"> happiness, conceived primarily in terms of a physical and mental </w:t>
      </w:r>
      <w:r w:rsidR="000C5ECF" w:rsidRPr="00BF2CE5">
        <w:rPr>
          <w:rFonts w:eastAsia="Times New Roman"/>
          <w:sz w:val="22"/>
          <w:szCs w:val="22"/>
        </w:rPr>
        <w:t>well-</w:t>
      </w:r>
      <w:r w:rsidR="00382630" w:rsidRPr="00BF2CE5">
        <w:rPr>
          <w:rFonts w:eastAsia="Times New Roman"/>
          <w:sz w:val="22"/>
          <w:szCs w:val="22"/>
        </w:rPr>
        <w:t xml:space="preserve">being </w:t>
      </w:r>
      <w:r w:rsidR="00A804AE" w:rsidRPr="00BF2CE5">
        <w:rPr>
          <w:rFonts w:eastAsia="Times New Roman"/>
          <w:sz w:val="22"/>
          <w:szCs w:val="22"/>
        </w:rPr>
        <w:t>(Deneulin 2014)</w:t>
      </w:r>
      <w:r w:rsidR="006035FA" w:rsidRPr="00BF2CE5">
        <w:rPr>
          <w:rFonts w:eastAsia="Times New Roman"/>
          <w:sz w:val="22"/>
          <w:szCs w:val="22"/>
        </w:rPr>
        <w:t>.</w:t>
      </w:r>
      <w:r w:rsidR="00AB7C17" w:rsidRPr="00BF2CE5">
        <w:rPr>
          <w:rFonts w:eastAsia="Times New Roman"/>
          <w:sz w:val="22"/>
          <w:szCs w:val="22"/>
        </w:rPr>
        <w:t xml:space="preserve"> </w:t>
      </w:r>
    </w:p>
    <w:p w14:paraId="2ADA0E7C" w14:textId="2D235233" w:rsidR="007868EC" w:rsidRPr="00BF2CE5" w:rsidRDefault="00D07EFC" w:rsidP="00BF2CE5">
      <w:pPr>
        <w:ind w:firstLine="720"/>
        <w:rPr>
          <w:rFonts w:eastAsia="Times New Roman"/>
          <w:sz w:val="22"/>
          <w:szCs w:val="22"/>
        </w:rPr>
      </w:pPr>
      <w:r w:rsidRPr="00BF2CE5">
        <w:rPr>
          <w:rFonts w:eastAsia="Times New Roman"/>
          <w:sz w:val="22"/>
          <w:szCs w:val="22"/>
        </w:rPr>
        <w:t>A great deal is at stake, then, in whether university study</w:t>
      </w:r>
      <w:r w:rsidR="00600928" w:rsidRPr="00BF2CE5">
        <w:rPr>
          <w:rFonts w:eastAsia="Times New Roman"/>
          <w:sz w:val="22"/>
          <w:szCs w:val="22"/>
        </w:rPr>
        <w:t xml:space="preserve"> result</w:t>
      </w:r>
      <w:r w:rsidRPr="00BF2CE5">
        <w:rPr>
          <w:rFonts w:eastAsia="Times New Roman"/>
          <w:sz w:val="22"/>
          <w:szCs w:val="22"/>
        </w:rPr>
        <w:t>s</w:t>
      </w:r>
      <w:r w:rsidR="00600928" w:rsidRPr="00BF2CE5">
        <w:rPr>
          <w:rFonts w:eastAsia="Times New Roman"/>
          <w:sz w:val="22"/>
          <w:szCs w:val="22"/>
        </w:rPr>
        <w:t xml:space="preserve"> in students either flourishing or finding themselves unable to give free expression to core aspects of what it means to be a person. This is particularly so given the close relationship that exists between higher education and </w:t>
      </w:r>
      <w:r w:rsidR="00326E75" w:rsidRPr="00BF2CE5">
        <w:rPr>
          <w:rFonts w:eastAsia="Times New Roman"/>
          <w:sz w:val="22"/>
          <w:szCs w:val="22"/>
        </w:rPr>
        <w:t>growth in the capacity</w:t>
      </w:r>
      <w:r w:rsidR="00600928" w:rsidRPr="00BF2CE5">
        <w:rPr>
          <w:rFonts w:eastAsia="Times New Roman"/>
          <w:sz w:val="22"/>
          <w:szCs w:val="22"/>
        </w:rPr>
        <w:t xml:space="preserve"> of students for agency</w:t>
      </w:r>
      <w:r w:rsidR="00326E75" w:rsidRPr="00BF2CE5">
        <w:rPr>
          <w:rFonts w:eastAsia="Times New Roman"/>
          <w:sz w:val="22"/>
          <w:szCs w:val="22"/>
        </w:rPr>
        <w:t>.</w:t>
      </w:r>
      <w:r w:rsidR="00F577E1" w:rsidRPr="00BF2CE5">
        <w:rPr>
          <w:rFonts w:eastAsia="Times New Roman"/>
          <w:sz w:val="22"/>
          <w:szCs w:val="22"/>
        </w:rPr>
        <w:t xml:space="preserve"> C</w:t>
      </w:r>
      <w:r w:rsidR="007C0D36" w:rsidRPr="00BF2CE5">
        <w:rPr>
          <w:sz w:val="22"/>
          <w:szCs w:val="22"/>
        </w:rPr>
        <w:t>as</w:t>
      </w:r>
      <w:r w:rsidR="0034051B" w:rsidRPr="00BF2CE5">
        <w:rPr>
          <w:sz w:val="22"/>
          <w:szCs w:val="22"/>
        </w:rPr>
        <w:t xml:space="preserve">e </w:t>
      </w:r>
      <w:r w:rsidR="00935D31" w:rsidRPr="00BF2CE5">
        <w:rPr>
          <w:noProof/>
          <w:sz w:val="22"/>
          <w:szCs w:val="22"/>
        </w:rPr>
        <w:t>(2015a</w:t>
      </w:r>
      <w:r w:rsidR="00B2156D" w:rsidRPr="00BF2CE5">
        <w:rPr>
          <w:noProof/>
          <w:sz w:val="22"/>
          <w:szCs w:val="22"/>
        </w:rPr>
        <w:t>)</w:t>
      </w:r>
      <w:r w:rsidR="00CE2947" w:rsidRPr="00BF2CE5">
        <w:rPr>
          <w:sz w:val="22"/>
          <w:szCs w:val="22"/>
        </w:rPr>
        <w:t xml:space="preserve"> </w:t>
      </w:r>
      <w:r w:rsidR="007C0D36" w:rsidRPr="00BF2CE5">
        <w:rPr>
          <w:sz w:val="22"/>
          <w:szCs w:val="22"/>
        </w:rPr>
        <w:t>argued that higher education is primarily concerned with the morp</w:t>
      </w:r>
      <w:r w:rsidR="00F577E1" w:rsidRPr="00BF2CE5">
        <w:rPr>
          <w:sz w:val="22"/>
          <w:szCs w:val="22"/>
        </w:rPr>
        <w:t>hogenesis of students as agents, with m</w:t>
      </w:r>
      <w:r w:rsidR="00F577E1" w:rsidRPr="00BF2CE5">
        <w:rPr>
          <w:rFonts w:eastAsia="Times New Roman"/>
          <w:sz w:val="22"/>
          <w:szCs w:val="22"/>
        </w:rPr>
        <w:t xml:space="preserve">orphogenesis referring </w:t>
      </w:r>
      <w:r w:rsidR="00E27B24" w:rsidRPr="00BF2CE5">
        <w:rPr>
          <w:rFonts w:eastAsia="Times New Roman"/>
          <w:sz w:val="22"/>
          <w:szCs w:val="22"/>
        </w:rPr>
        <w:t>to the elaboration o</w:t>
      </w:r>
      <w:r w:rsidR="00F577E1" w:rsidRPr="00BF2CE5">
        <w:rPr>
          <w:rFonts w:eastAsia="Times New Roman"/>
          <w:sz w:val="22"/>
          <w:szCs w:val="22"/>
        </w:rPr>
        <w:t>ver time of any form, whether pertaining to</w:t>
      </w:r>
      <w:r w:rsidR="00E27B24" w:rsidRPr="00BF2CE5">
        <w:rPr>
          <w:rFonts w:eastAsia="Times New Roman"/>
          <w:sz w:val="22"/>
          <w:szCs w:val="22"/>
        </w:rPr>
        <w:t xml:space="preserve"> agency, culture or structure</w:t>
      </w:r>
      <w:r w:rsidR="00F577E1" w:rsidRPr="00BF2CE5">
        <w:rPr>
          <w:rFonts w:eastAsia="Times New Roman"/>
          <w:sz w:val="22"/>
          <w:szCs w:val="22"/>
        </w:rPr>
        <w:t xml:space="preserve"> </w:t>
      </w:r>
      <w:r w:rsidR="002504FC" w:rsidRPr="00BF2CE5">
        <w:rPr>
          <w:rFonts w:eastAsia="Times New Roman"/>
          <w:noProof/>
          <w:sz w:val="22"/>
          <w:szCs w:val="22"/>
        </w:rPr>
        <w:t>(</w:t>
      </w:r>
      <w:r w:rsidR="00A804AE" w:rsidRPr="00BF2CE5">
        <w:rPr>
          <w:rFonts w:eastAsia="Times New Roman"/>
          <w:noProof/>
          <w:sz w:val="22"/>
          <w:szCs w:val="22"/>
        </w:rPr>
        <w:t>Archer 1995)</w:t>
      </w:r>
      <w:r w:rsidR="00E27B24" w:rsidRPr="00BF2CE5">
        <w:rPr>
          <w:rFonts w:eastAsia="Times New Roman"/>
          <w:sz w:val="22"/>
          <w:szCs w:val="22"/>
        </w:rPr>
        <w:t>.</w:t>
      </w:r>
      <w:r w:rsidR="009364D9" w:rsidRPr="00BF2CE5">
        <w:rPr>
          <w:rFonts w:eastAsia="Times New Roman"/>
          <w:sz w:val="22"/>
          <w:szCs w:val="22"/>
        </w:rPr>
        <w:t xml:space="preserve"> </w:t>
      </w:r>
      <w:r w:rsidR="00694235" w:rsidRPr="00BF2CE5">
        <w:rPr>
          <w:rFonts w:eastAsia="Times New Roman"/>
          <w:sz w:val="22"/>
          <w:szCs w:val="22"/>
        </w:rPr>
        <w:t xml:space="preserve">Morphostasis, meanwhile, refers to the reproduction of a form. </w:t>
      </w:r>
      <w:r w:rsidR="009364D9" w:rsidRPr="00BF2CE5">
        <w:rPr>
          <w:rFonts w:eastAsia="Times New Roman"/>
          <w:sz w:val="22"/>
          <w:szCs w:val="22"/>
        </w:rPr>
        <w:t>Th</w:t>
      </w:r>
      <w:r w:rsidR="007868EC" w:rsidRPr="00BF2CE5">
        <w:rPr>
          <w:rFonts w:eastAsia="Times New Roman"/>
          <w:sz w:val="22"/>
          <w:szCs w:val="22"/>
        </w:rPr>
        <w:t xml:space="preserve">e way in which student agency changes or remains uniform over time is thus </w:t>
      </w:r>
      <w:r w:rsidR="009364D9" w:rsidRPr="00BF2CE5">
        <w:rPr>
          <w:rFonts w:eastAsia="Times New Roman"/>
          <w:sz w:val="22"/>
          <w:szCs w:val="22"/>
        </w:rPr>
        <w:t xml:space="preserve">a key concern: Case </w:t>
      </w:r>
      <w:r w:rsidR="00A804AE" w:rsidRPr="00BF2CE5">
        <w:rPr>
          <w:rFonts w:eastAsia="Times New Roman"/>
          <w:noProof/>
          <w:sz w:val="22"/>
          <w:szCs w:val="22"/>
        </w:rPr>
        <w:t>(2013)</w:t>
      </w:r>
      <w:r w:rsidR="009364D9" w:rsidRPr="00BF2CE5">
        <w:rPr>
          <w:rFonts w:eastAsia="Times New Roman"/>
          <w:sz w:val="22"/>
          <w:szCs w:val="22"/>
        </w:rPr>
        <w:t xml:space="preserve"> suggested that an education that is truly </w:t>
      </w:r>
      <w:r w:rsidR="00694235" w:rsidRPr="00BF2CE5">
        <w:rPr>
          <w:rFonts w:eastAsia="Times New Roman"/>
          <w:sz w:val="22"/>
          <w:szCs w:val="22"/>
        </w:rPr>
        <w:t>‘</w:t>
      </w:r>
      <w:r w:rsidR="009364D9" w:rsidRPr="00BF2CE5">
        <w:rPr>
          <w:rFonts w:eastAsia="Times New Roman"/>
          <w:sz w:val="22"/>
          <w:szCs w:val="22"/>
        </w:rPr>
        <w:t>higher</w:t>
      </w:r>
      <w:r w:rsidR="00694235" w:rsidRPr="00BF2CE5">
        <w:rPr>
          <w:rFonts w:eastAsia="Times New Roman"/>
          <w:sz w:val="22"/>
          <w:szCs w:val="22"/>
        </w:rPr>
        <w:t>’</w:t>
      </w:r>
      <w:r w:rsidR="00FB3FA5" w:rsidRPr="00BF2CE5">
        <w:rPr>
          <w:rFonts w:eastAsia="Times New Roman"/>
          <w:sz w:val="22"/>
          <w:szCs w:val="22"/>
        </w:rPr>
        <w:t xml:space="preserve"> should look beyond an economic agenda alone towards a broad-based human flourishing in society that also addresses the sustainability in the environment. </w:t>
      </w:r>
    </w:p>
    <w:p w14:paraId="5D9ADF5D" w14:textId="3469D949" w:rsidR="007868EC" w:rsidRPr="00BF2CE5" w:rsidRDefault="007868EC" w:rsidP="00BF2CE5">
      <w:pPr>
        <w:ind w:firstLine="720"/>
        <w:rPr>
          <w:rFonts w:eastAsia="Times New Roman"/>
          <w:sz w:val="22"/>
          <w:szCs w:val="22"/>
        </w:rPr>
      </w:pPr>
      <w:r w:rsidRPr="00BF2CE5">
        <w:rPr>
          <w:rFonts w:eastAsia="Times New Roman"/>
          <w:sz w:val="22"/>
          <w:szCs w:val="22"/>
        </w:rPr>
        <w:t>If</w:t>
      </w:r>
      <w:r w:rsidR="00E270B3" w:rsidRPr="00BF2CE5">
        <w:rPr>
          <w:rFonts w:eastAsia="Times New Roman"/>
          <w:sz w:val="22"/>
          <w:szCs w:val="22"/>
        </w:rPr>
        <w:t xml:space="preserve"> we are to understand the ways in which the agency of a student can behave</w:t>
      </w:r>
      <w:r w:rsidR="004204D2" w:rsidRPr="00BF2CE5">
        <w:rPr>
          <w:rFonts w:eastAsia="Times New Roman"/>
          <w:sz w:val="22"/>
          <w:szCs w:val="22"/>
        </w:rPr>
        <w:t xml:space="preserve"> over time,</w:t>
      </w:r>
      <w:r w:rsidRPr="00BF2CE5">
        <w:rPr>
          <w:rFonts w:eastAsia="Times New Roman"/>
          <w:sz w:val="22"/>
          <w:szCs w:val="22"/>
        </w:rPr>
        <w:t xml:space="preserve"> it is important to understand the generative mechanisms affecting this behaviour. Archer (1995) proposed that morphogenetic cycles unfold in ways that are subject to social and cultural conditioning. Elaboration in Archer’s model of morphogenesis occurs as a result of social interaction. Interaction, and subjective experience of that interaction, represent a central feature of the means by which morphogenesis or morphostasis occurs.</w:t>
      </w:r>
      <w:r w:rsidR="00E270B3" w:rsidRPr="00BF2CE5">
        <w:rPr>
          <w:rFonts w:eastAsia="Times New Roman"/>
          <w:sz w:val="22"/>
          <w:szCs w:val="22"/>
        </w:rPr>
        <w:t xml:space="preserve"> </w:t>
      </w:r>
    </w:p>
    <w:p w14:paraId="3032684B" w14:textId="4DF35701" w:rsidR="00935D31" w:rsidRPr="00BF2CE5" w:rsidRDefault="007C0D36" w:rsidP="00BF2CE5">
      <w:pPr>
        <w:ind w:firstLine="720"/>
        <w:rPr>
          <w:rFonts w:eastAsia="Times New Roman"/>
          <w:sz w:val="22"/>
          <w:szCs w:val="22"/>
        </w:rPr>
      </w:pPr>
      <w:r w:rsidRPr="00BF2CE5">
        <w:rPr>
          <w:rFonts w:eastAsia="Times New Roman"/>
          <w:sz w:val="22"/>
          <w:szCs w:val="22"/>
        </w:rPr>
        <w:t>In the case o</w:t>
      </w:r>
      <w:r w:rsidR="00694235" w:rsidRPr="00BF2CE5">
        <w:rPr>
          <w:rFonts w:eastAsia="Times New Roman"/>
          <w:sz w:val="22"/>
          <w:szCs w:val="22"/>
        </w:rPr>
        <w:t>f student learning, interaction</w:t>
      </w:r>
      <w:r w:rsidR="00F577E1" w:rsidRPr="00BF2CE5">
        <w:rPr>
          <w:rFonts w:eastAsia="Times New Roman"/>
          <w:sz w:val="22"/>
          <w:szCs w:val="22"/>
        </w:rPr>
        <w:t xml:space="preserve"> </w:t>
      </w:r>
      <w:r w:rsidR="00E270B3" w:rsidRPr="00BF2CE5">
        <w:rPr>
          <w:rFonts w:eastAsia="Times New Roman"/>
          <w:sz w:val="22"/>
          <w:szCs w:val="22"/>
        </w:rPr>
        <w:t>involves peers,</w:t>
      </w:r>
      <w:r w:rsidRPr="00BF2CE5">
        <w:rPr>
          <w:rFonts w:eastAsia="Times New Roman"/>
          <w:sz w:val="22"/>
          <w:szCs w:val="22"/>
        </w:rPr>
        <w:t xml:space="preserve"> lecturers</w:t>
      </w:r>
      <w:r w:rsidR="00E270B3" w:rsidRPr="00BF2CE5">
        <w:rPr>
          <w:rFonts w:eastAsia="Times New Roman"/>
          <w:sz w:val="22"/>
          <w:szCs w:val="22"/>
        </w:rPr>
        <w:t xml:space="preserve"> and potentially others</w:t>
      </w:r>
      <w:r w:rsidRPr="00BF2CE5">
        <w:rPr>
          <w:rFonts w:eastAsia="Times New Roman"/>
          <w:sz w:val="22"/>
          <w:szCs w:val="22"/>
        </w:rPr>
        <w:t xml:space="preserve">. Drawing on </w:t>
      </w:r>
      <w:r w:rsidRPr="00BF2CE5">
        <w:rPr>
          <w:rFonts w:eastAsia="Times New Roman"/>
          <w:color w:val="000000"/>
          <w:sz w:val="22"/>
          <w:szCs w:val="22"/>
          <w:shd w:val="clear" w:color="auto" w:fill="FFFFFF"/>
        </w:rPr>
        <w:t xml:space="preserve">Ashwin </w:t>
      </w:r>
      <w:r w:rsidR="00A804AE" w:rsidRPr="00BF2CE5">
        <w:rPr>
          <w:rFonts w:eastAsia="Times New Roman"/>
          <w:noProof/>
          <w:color w:val="000000"/>
          <w:sz w:val="22"/>
          <w:szCs w:val="22"/>
          <w:shd w:val="clear" w:color="auto" w:fill="FFFFFF"/>
        </w:rPr>
        <w:t>(2009)</w:t>
      </w:r>
      <w:r w:rsidRPr="00BF2CE5">
        <w:rPr>
          <w:rFonts w:eastAsia="Times New Roman"/>
          <w:color w:val="000000"/>
          <w:sz w:val="22"/>
          <w:szCs w:val="22"/>
          <w:shd w:val="clear" w:color="auto" w:fill="FFFFFF"/>
        </w:rPr>
        <w:t>, Case</w:t>
      </w:r>
      <w:r w:rsidR="00E92EB7" w:rsidRPr="00BF2CE5">
        <w:rPr>
          <w:rFonts w:eastAsia="Times New Roman"/>
          <w:color w:val="000000"/>
          <w:sz w:val="22"/>
          <w:szCs w:val="22"/>
          <w:shd w:val="clear" w:color="auto" w:fill="FFFFFF"/>
        </w:rPr>
        <w:t xml:space="preserve"> </w:t>
      </w:r>
      <w:r w:rsidR="00935D31" w:rsidRPr="00BF2CE5">
        <w:rPr>
          <w:rFonts w:eastAsia="Times New Roman"/>
          <w:noProof/>
          <w:color w:val="000000"/>
          <w:sz w:val="22"/>
          <w:szCs w:val="22"/>
          <w:shd w:val="clear" w:color="auto" w:fill="FFFFFF"/>
        </w:rPr>
        <w:t>(2015b</w:t>
      </w:r>
      <w:r w:rsidR="00B2156D" w:rsidRPr="00BF2CE5">
        <w:rPr>
          <w:rFonts w:eastAsia="Times New Roman"/>
          <w:noProof/>
          <w:color w:val="000000"/>
          <w:sz w:val="22"/>
          <w:szCs w:val="22"/>
          <w:shd w:val="clear" w:color="auto" w:fill="FFFFFF"/>
        </w:rPr>
        <w:t>)</w:t>
      </w:r>
      <w:r w:rsidR="00E92EB7" w:rsidRPr="00BF2CE5">
        <w:rPr>
          <w:sz w:val="22"/>
          <w:szCs w:val="22"/>
        </w:rPr>
        <w:t xml:space="preserve"> </w:t>
      </w:r>
      <w:r w:rsidRPr="00BF2CE5">
        <w:rPr>
          <w:rFonts w:eastAsia="Times New Roman"/>
          <w:color w:val="000000"/>
          <w:sz w:val="22"/>
          <w:szCs w:val="22"/>
          <w:shd w:val="clear" w:color="auto" w:fill="FFFFFF"/>
        </w:rPr>
        <w:t>suggested</w:t>
      </w:r>
      <w:r w:rsidR="001D1BBB" w:rsidRPr="00BF2CE5">
        <w:rPr>
          <w:rFonts w:eastAsia="Times New Roman"/>
          <w:color w:val="000000"/>
          <w:sz w:val="22"/>
          <w:szCs w:val="22"/>
          <w:shd w:val="clear" w:color="auto" w:fill="FFFFFF"/>
        </w:rPr>
        <w:t xml:space="preserve"> in a theoretical study</w:t>
      </w:r>
      <w:r w:rsidRPr="00BF2CE5">
        <w:rPr>
          <w:rFonts w:eastAsia="Times New Roman"/>
          <w:color w:val="000000"/>
          <w:sz w:val="22"/>
          <w:szCs w:val="22"/>
          <w:shd w:val="clear" w:color="auto" w:fill="FFFFFF"/>
        </w:rPr>
        <w:t xml:space="preserve"> that it is important that teaching and learning are not simply conceived as two straightforwardly separable processes. </w:t>
      </w:r>
      <w:r w:rsidRPr="00BF2CE5">
        <w:rPr>
          <w:sz w:val="22"/>
          <w:szCs w:val="22"/>
        </w:rPr>
        <w:t>She argued that</w:t>
      </w:r>
      <w:r w:rsidR="00AD79F1" w:rsidRPr="00BF2CE5">
        <w:rPr>
          <w:sz w:val="22"/>
          <w:szCs w:val="22"/>
        </w:rPr>
        <w:t xml:space="preserve"> a</w:t>
      </w:r>
      <w:r w:rsidRPr="00BF2CE5">
        <w:rPr>
          <w:sz w:val="22"/>
          <w:szCs w:val="22"/>
        </w:rPr>
        <w:t xml:space="preserve"> teaching-learning intera</w:t>
      </w:r>
      <w:r w:rsidR="00AD79F1" w:rsidRPr="00BF2CE5">
        <w:rPr>
          <w:sz w:val="22"/>
          <w:szCs w:val="22"/>
        </w:rPr>
        <w:t>ction is best understood as an</w:t>
      </w:r>
      <w:r w:rsidRPr="00BF2CE5">
        <w:rPr>
          <w:sz w:val="22"/>
          <w:szCs w:val="22"/>
        </w:rPr>
        <w:t xml:space="preserve"> emergent phenomenon. </w:t>
      </w:r>
      <w:r w:rsidRPr="00BF2CE5">
        <w:rPr>
          <w:rFonts w:eastAsia="Times New Roman"/>
          <w:color w:val="000000"/>
          <w:sz w:val="22"/>
          <w:szCs w:val="22"/>
          <w:shd w:val="clear" w:color="auto" w:fill="FFFFFF"/>
        </w:rPr>
        <w:t>Good teaching, for instance, involves</w:t>
      </w:r>
      <w:r w:rsidRPr="00BF2CE5">
        <w:rPr>
          <w:rFonts w:eastAsia="Times New Roman"/>
          <w:sz w:val="22"/>
          <w:szCs w:val="22"/>
        </w:rPr>
        <w:t xml:space="preserve"> offering insightful explanations and answering students’ </w:t>
      </w:r>
      <w:r w:rsidR="00AD79F1" w:rsidRPr="00BF2CE5">
        <w:rPr>
          <w:rFonts w:eastAsia="Times New Roman"/>
          <w:sz w:val="22"/>
          <w:szCs w:val="22"/>
        </w:rPr>
        <w:t xml:space="preserve">(often unforeseeable) </w:t>
      </w:r>
      <w:r w:rsidRPr="00BF2CE5">
        <w:rPr>
          <w:rFonts w:eastAsia="Times New Roman"/>
          <w:sz w:val="22"/>
          <w:szCs w:val="22"/>
        </w:rPr>
        <w:t xml:space="preserve">questions. </w:t>
      </w:r>
      <w:r w:rsidR="002072ED" w:rsidRPr="00BF2CE5">
        <w:rPr>
          <w:rFonts w:eastAsia="Times New Roman"/>
          <w:sz w:val="22"/>
          <w:szCs w:val="22"/>
        </w:rPr>
        <w:t>High</w:t>
      </w:r>
      <w:r w:rsidR="00AD79F1" w:rsidRPr="00BF2CE5">
        <w:rPr>
          <w:rFonts w:eastAsia="Times New Roman"/>
          <w:sz w:val="22"/>
          <w:szCs w:val="22"/>
        </w:rPr>
        <w:t xml:space="preserve"> quality education depends</w:t>
      </w:r>
      <w:r w:rsidR="002072ED" w:rsidRPr="00BF2CE5">
        <w:rPr>
          <w:rFonts w:eastAsia="Times New Roman"/>
          <w:sz w:val="22"/>
          <w:szCs w:val="22"/>
        </w:rPr>
        <w:t xml:space="preserve"> on tutors and students</w:t>
      </w:r>
      <w:r w:rsidR="00AD79F1" w:rsidRPr="00BF2CE5">
        <w:rPr>
          <w:rFonts w:eastAsia="Times New Roman"/>
          <w:sz w:val="22"/>
          <w:szCs w:val="22"/>
        </w:rPr>
        <w:t xml:space="preserve"> freely respond</w:t>
      </w:r>
      <w:r w:rsidR="002072ED" w:rsidRPr="00BF2CE5">
        <w:rPr>
          <w:rFonts w:eastAsia="Times New Roman"/>
          <w:sz w:val="22"/>
          <w:szCs w:val="22"/>
        </w:rPr>
        <w:t>ing</w:t>
      </w:r>
      <w:r w:rsidR="00AD79F1" w:rsidRPr="00BF2CE5">
        <w:rPr>
          <w:rFonts w:eastAsia="Times New Roman"/>
          <w:sz w:val="22"/>
          <w:szCs w:val="22"/>
        </w:rPr>
        <w:t xml:space="preserve"> to each other</w:t>
      </w:r>
      <w:r w:rsidR="002072ED" w:rsidRPr="00BF2CE5">
        <w:rPr>
          <w:rFonts w:eastAsia="Times New Roman"/>
          <w:sz w:val="22"/>
          <w:szCs w:val="22"/>
        </w:rPr>
        <w:t>,</w:t>
      </w:r>
      <w:r w:rsidR="00AD79F1" w:rsidRPr="00BF2CE5">
        <w:rPr>
          <w:rFonts w:eastAsia="Times New Roman"/>
          <w:sz w:val="22"/>
          <w:szCs w:val="22"/>
        </w:rPr>
        <w:t xml:space="preserve"> in ways that cannot be reduced to a straightforward combination of the separate contributions</w:t>
      </w:r>
      <w:r w:rsidR="00F577E1" w:rsidRPr="00BF2CE5">
        <w:rPr>
          <w:rFonts w:eastAsia="Times New Roman"/>
          <w:sz w:val="22"/>
          <w:szCs w:val="22"/>
        </w:rPr>
        <w:t xml:space="preserve">. </w:t>
      </w:r>
    </w:p>
    <w:p w14:paraId="7F418307" w14:textId="5A4444EE" w:rsidR="009027A8" w:rsidRPr="00BF2CE5" w:rsidRDefault="007C0D36" w:rsidP="00BF2CE5">
      <w:pPr>
        <w:ind w:firstLine="720"/>
        <w:rPr>
          <w:rFonts w:eastAsia="Times New Roman"/>
          <w:sz w:val="22"/>
          <w:szCs w:val="22"/>
          <w:lang w:val="en-AU" w:eastAsia="en-AU"/>
        </w:rPr>
      </w:pPr>
      <w:r w:rsidRPr="00BF2CE5">
        <w:rPr>
          <w:rFonts w:eastAsia="Times New Roman"/>
          <w:sz w:val="22"/>
          <w:szCs w:val="22"/>
          <w:lang w:val="en-AU" w:eastAsia="en-AU"/>
        </w:rPr>
        <w:t>Teaching and</w:t>
      </w:r>
      <w:r w:rsidR="002072ED" w:rsidRPr="00BF2CE5">
        <w:rPr>
          <w:rFonts w:eastAsia="Times New Roman"/>
          <w:sz w:val="22"/>
          <w:szCs w:val="22"/>
          <w:lang w:val="en-AU" w:eastAsia="en-AU"/>
        </w:rPr>
        <w:t xml:space="preserve"> learning are nonetheless </w:t>
      </w:r>
      <w:r w:rsidRPr="00BF2CE5">
        <w:rPr>
          <w:rFonts w:eastAsia="Times New Roman"/>
          <w:sz w:val="22"/>
          <w:szCs w:val="22"/>
          <w:lang w:val="en-AU" w:eastAsia="en-AU"/>
        </w:rPr>
        <w:t>retained as distinct prac</w:t>
      </w:r>
      <w:r w:rsidR="00AD79F1" w:rsidRPr="00BF2CE5">
        <w:rPr>
          <w:rFonts w:eastAsia="Times New Roman"/>
          <w:sz w:val="22"/>
          <w:szCs w:val="22"/>
          <w:lang w:val="en-AU" w:eastAsia="en-AU"/>
        </w:rPr>
        <w:t>tices, with l</w:t>
      </w:r>
      <w:r w:rsidRPr="00BF2CE5">
        <w:rPr>
          <w:rFonts w:eastAsia="Times New Roman"/>
          <w:sz w:val="22"/>
          <w:szCs w:val="22"/>
          <w:lang w:val="en-AU" w:eastAsia="en-AU"/>
        </w:rPr>
        <w:t>earners and teachers both retain</w:t>
      </w:r>
      <w:r w:rsidR="00AD79F1" w:rsidRPr="00BF2CE5">
        <w:rPr>
          <w:rFonts w:eastAsia="Times New Roman"/>
          <w:sz w:val="22"/>
          <w:szCs w:val="22"/>
          <w:lang w:val="en-AU" w:eastAsia="en-AU"/>
        </w:rPr>
        <w:t>ing</w:t>
      </w:r>
      <w:r w:rsidRPr="00BF2CE5">
        <w:rPr>
          <w:rFonts w:eastAsia="Times New Roman"/>
          <w:sz w:val="22"/>
          <w:szCs w:val="22"/>
          <w:lang w:val="en-AU" w:eastAsia="en-AU"/>
        </w:rPr>
        <w:t xml:space="preserve"> their</w:t>
      </w:r>
      <w:r w:rsidR="00AD79F1" w:rsidRPr="00BF2CE5">
        <w:rPr>
          <w:rFonts w:eastAsia="Times New Roman"/>
          <w:sz w:val="22"/>
          <w:szCs w:val="22"/>
          <w:lang w:val="en-AU" w:eastAsia="en-AU"/>
        </w:rPr>
        <w:t xml:space="preserve"> own</w:t>
      </w:r>
      <w:r w:rsidRPr="00BF2CE5">
        <w:rPr>
          <w:rFonts w:eastAsia="Times New Roman"/>
          <w:sz w:val="22"/>
          <w:szCs w:val="22"/>
          <w:lang w:val="en-AU" w:eastAsia="en-AU"/>
        </w:rPr>
        <w:t xml:space="preserve"> distinctive expressions of agency</w:t>
      </w:r>
      <w:r w:rsidR="003B34BE" w:rsidRPr="00BF2CE5">
        <w:rPr>
          <w:rFonts w:eastAsia="Times New Roman"/>
          <w:sz w:val="22"/>
          <w:szCs w:val="22"/>
          <w:lang w:val="en-AU" w:eastAsia="en-AU"/>
        </w:rPr>
        <w:t>.</w:t>
      </w:r>
      <w:r w:rsidR="0099721B" w:rsidRPr="00BF2CE5">
        <w:rPr>
          <w:rFonts w:eastAsia="Times New Roman"/>
          <w:sz w:val="22"/>
          <w:szCs w:val="22"/>
          <w:lang w:val="en-AU" w:eastAsia="en-AU"/>
        </w:rPr>
        <w:t xml:space="preserve"> </w:t>
      </w:r>
      <w:r w:rsidR="0099721B" w:rsidRPr="00BF2CE5">
        <w:rPr>
          <w:rFonts w:eastAsia="Times New Roman"/>
          <w:sz w:val="22"/>
          <w:szCs w:val="22"/>
        </w:rPr>
        <w:t xml:space="preserve">Williams </w:t>
      </w:r>
      <w:r w:rsidR="00A804AE" w:rsidRPr="00BF2CE5">
        <w:rPr>
          <w:rFonts w:eastAsia="Times New Roman"/>
          <w:noProof/>
          <w:sz w:val="22"/>
          <w:szCs w:val="22"/>
        </w:rPr>
        <w:t>(2012)</w:t>
      </w:r>
      <w:r w:rsidR="0099721B" w:rsidRPr="00BF2CE5">
        <w:rPr>
          <w:rFonts w:eastAsia="Times New Roman"/>
          <w:sz w:val="22"/>
          <w:szCs w:val="22"/>
        </w:rPr>
        <w:t xml:space="preserve"> </w:t>
      </w:r>
      <w:r w:rsidR="00694235" w:rsidRPr="00BF2CE5">
        <w:rPr>
          <w:rFonts w:eastAsia="Times New Roman"/>
          <w:sz w:val="22"/>
          <w:szCs w:val="22"/>
        </w:rPr>
        <w:t xml:space="preserve">similarly </w:t>
      </w:r>
      <w:r w:rsidR="0099721B" w:rsidRPr="00BF2CE5">
        <w:rPr>
          <w:rFonts w:eastAsia="Times New Roman"/>
          <w:sz w:val="22"/>
          <w:szCs w:val="22"/>
        </w:rPr>
        <w:t>argued that</w:t>
      </w:r>
      <w:r w:rsidR="00CF401D" w:rsidRPr="00BF2CE5">
        <w:rPr>
          <w:rFonts w:eastAsia="Times New Roman"/>
          <w:sz w:val="22"/>
          <w:szCs w:val="22"/>
        </w:rPr>
        <w:t xml:space="preserve"> it essential to</w:t>
      </w:r>
      <w:r w:rsidR="0099721B" w:rsidRPr="00BF2CE5">
        <w:rPr>
          <w:rFonts w:eastAsia="Times New Roman"/>
          <w:sz w:val="22"/>
          <w:szCs w:val="22"/>
        </w:rPr>
        <w:t xml:space="preserve"> focus </w:t>
      </w:r>
      <w:r w:rsidR="00CF401D" w:rsidRPr="00BF2CE5">
        <w:rPr>
          <w:rFonts w:eastAsia="Times New Roman"/>
          <w:sz w:val="22"/>
          <w:szCs w:val="22"/>
        </w:rPr>
        <w:t xml:space="preserve">on the activity of agents </w:t>
      </w:r>
      <w:r w:rsidR="0099721B" w:rsidRPr="00BF2CE5">
        <w:rPr>
          <w:rFonts w:eastAsia="Times New Roman"/>
          <w:sz w:val="22"/>
          <w:szCs w:val="22"/>
        </w:rPr>
        <w:t>in</w:t>
      </w:r>
      <w:r w:rsidR="00CF401D" w:rsidRPr="00BF2CE5">
        <w:rPr>
          <w:rFonts w:eastAsia="Times New Roman"/>
          <w:sz w:val="22"/>
          <w:szCs w:val="22"/>
        </w:rPr>
        <w:t xml:space="preserve"> seeking to</w:t>
      </w:r>
      <w:r w:rsidR="0099721B" w:rsidRPr="00BF2CE5">
        <w:rPr>
          <w:rFonts w:eastAsia="Times New Roman"/>
          <w:sz w:val="22"/>
          <w:szCs w:val="22"/>
        </w:rPr>
        <w:t xml:space="preserve"> understanding teaching and learning in higher education.</w:t>
      </w:r>
      <w:r w:rsidR="00935D31" w:rsidRPr="00BF2CE5">
        <w:rPr>
          <w:rFonts w:eastAsia="Times New Roman"/>
          <w:sz w:val="22"/>
          <w:szCs w:val="22"/>
        </w:rPr>
        <w:t xml:space="preserve"> </w:t>
      </w:r>
      <w:r w:rsidR="009027A8" w:rsidRPr="00BF2CE5">
        <w:rPr>
          <w:sz w:val="22"/>
          <w:szCs w:val="22"/>
        </w:rPr>
        <w:t xml:space="preserve">Archer (1995) argued that the morphogenesis of agency is constituted </w:t>
      </w:r>
      <w:r w:rsidR="009027A8" w:rsidRPr="00BF2CE5">
        <w:rPr>
          <w:rFonts w:eastAsia="Times New Roman"/>
          <w:sz w:val="22"/>
          <w:szCs w:val="22"/>
          <w:lang w:val="en-AU" w:eastAsia="en-AU"/>
        </w:rPr>
        <w:t>by the following cycle:</w:t>
      </w:r>
    </w:p>
    <w:p w14:paraId="15360860" w14:textId="77777777" w:rsidR="005F2235" w:rsidRPr="00BF2CE5" w:rsidRDefault="005F2235" w:rsidP="00BF2CE5">
      <w:pPr>
        <w:ind w:firstLine="720"/>
        <w:rPr>
          <w:rFonts w:eastAsia="Times New Roman"/>
          <w:sz w:val="22"/>
          <w:szCs w:val="22"/>
          <w:lang w:val="en-AU" w:eastAsia="en-AU"/>
        </w:rPr>
      </w:pPr>
    </w:p>
    <w:p w14:paraId="0B241D46" w14:textId="77777777" w:rsidR="009027A8" w:rsidRPr="00BF2CE5" w:rsidRDefault="009027A8" w:rsidP="00BF2CE5">
      <w:pPr>
        <w:ind w:firstLine="720"/>
        <w:rPr>
          <w:rFonts w:eastAsia="Times New Roman"/>
          <w:sz w:val="22"/>
          <w:szCs w:val="22"/>
          <w:lang w:val="en-AU" w:eastAsia="en-AU"/>
        </w:rPr>
      </w:pPr>
      <w:r w:rsidRPr="00BF2CE5">
        <w:rPr>
          <w:rFonts w:eastAsia="Times New Roman"/>
          <w:sz w:val="22"/>
          <w:szCs w:val="22"/>
          <w:lang w:val="en-AU" w:eastAsia="en-AU"/>
        </w:rPr>
        <w:t xml:space="preserve">sociocultural conditioning of groups </w:t>
      </w:r>
      <w:r w:rsidRPr="00BF2CE5">
        <w:rPr>
          <w:rFonts w:eastAsia="Times New Roman"/>
          <w:sz w:val="22"/>
          <w:szCs w:val="22"/>
          <w:lang w:val="en-AU" w:eastAsia="en-AU"/>
        </w:rPr>
        <w:sym w:font="Symbol" w:char="F0AE"/>
      </w:r>
      <w:r w:rsidRPr="00BF2CE5">
        <w:rPr>
          <w:rFonts w:eastAsia="Times New Roman"/>
          <w:sz w:val="22"/>
          <w:szCs w:val="22"/>
          <w:lang w:val="en-AU" w:eastAsia="en-AU"/>
        </w:rPr>
        <w:t xml:space="preserve"> group interaction </w:t>
      </w:r>
      <w:r w:rsidRPr="00BF2CE5">
        <w:rPr>
          <w:rFonts w:eastAsia="Times New Roman"/>
          <w:sz w:val="22"/>
          <w:szCs w:val="22"/>
          <w:lang w:val="en-AU" w:eastAsia="en-AU"/>
        </w:rPr>
        <w:sym w:font="Symbol" w:char="F0AE"/>
      </w:r>
      <w:r w:rsidRPr="00BF2CE5">
        <w:rPr>
          <w:rFonts w:eastAsia="Times New Roman"/>
          <w:sz w:val="22"/>
          <w:szCs w:val="22"/>
          <w:lang w:val="en-AU" w:eastAsia="en-AU"/>
        </w:rPr>
        <w:t xml:space="preserve"> group elaboration</w:t>
      </w:r>
    </w:p>
    <w:p w14:paraId="54EC0E03" w14:textId="77777777" w:rsidR="005F2235" w:rsidRPr="00BF2CE5" w:rsidRDefault="005F2235" w:rsidP="00BF2CE5">
      <w:pPr>
        <w:ind w:firstLine="720"/>
        <w:rPr>
          <w:rFonts w:eastAsia="Times New Roman"/>
          <w:sz w:val="22"/>
          <w:szCs w:val="22"/>
          <w:lang w:val="en-AU" w:eastAsia="en-AU"/>
        </w:rPr>
      </w:pPr>
    </w:p>
    <w:p w14:paraId="70576140" w14:textId="77777777" w:rsidR="009027A8" w:rsidRPr="00BF2CE5" w:rsidRDefault="009027A8" w:rsidP="00BF2CE5">
      <w:pPr>
        <w:rPr>
          <w:rFonts w:eastAsia="Times New Roman"/>
          <w:sz w:val="22"/>
          <w:szCs w:val="22"/>
          <w:lang w:val="en-AU" w:eastAsia="en-AU"/>
        </w:rPr>
      </w:pPr>
      <w:r w:rsidRPr="00BF2CE5">
        <w:rPr>
          <w:rFonts w:eastAsia="Times New Roman"/>
          <w:sz w:val="22"/>
          <w:szCs w:val="22"/>
          <w:lang w:val="en-AU" w:eastAsia="en-AU"/>
        </w:rPr>
        <w:t>It is important to emphasise, though, that group interaction in the context of higher education encompasses activity on the part of individual students. The term ‘teaching-learning interaction’ helpfully reminds us that group interaction is predicated on the action of those who are part of the group. The structural conditioning under which students and teachers operate, furthermore, incorporates requirements around assessed tasks, and these typically involve significant activity on the part of students in which there is no expectation of direct engagement with others. The student, furthermore, has to face significant uncertainty in how to frame their actions, something that inherently involves reflexive deliberation.</w:t>
      </w:r>
    </w:p>
    <w:p w14:paraId="37F2EB4D" w14:textId="48EDD25C" w:rsidR="005F2235" w:rsidRPr="00BF2CE5" w:rsidRDefault="001D1BBB" w:rsidP="00BF2CE5">
      <w:pPr>
        <w:widowControl w:val="0"/>
        <w:autoSpaceDE w:val="0"/>
        <w:autoSpaceDN w:val="0"/>
        <w:adjustRightInd w:val="0"/>
        <w:spacing w:after="60"/>
        <w:ind w:firstLine="720"/>
        <w:rPr>
          <w:rFonts w:eastAsia="Times New Roman"/>
          <w:sz w:val="22"/>
          <w:szCs w:val="22"/>
        </w:rPr>
      </w:pPr>
      <w:r w:rsidRPr="00BF2CE5">
        <w:rPr>
          <w:rFonts w:eastAsia="Times New Roman"/>
          <w:sz w:val="22"/>
          <w:szCs w:val="22"/>
        </w:rPr>
        <w:t>In a study</w:t>
      </w:r>
      <w:r w:rsidR="004204D2" w:rsidRPr="00BF2CE5">
        <w:rPr>
          <w:rFonts w:eastAsia="Times New Roman"/>
          <w:sz w:val="22"/>
          <w:szCs w:val="22"/>
        </w:rPr>
        <w:t xml:space="preserve"> based on earlier empirical investigation</w:t>
      </w:r>
      <w:r w:rsidRPr="00BF2CE5">
        <w:rPr>
          <w:rFonts w:eastAsia="Times New Roman"/>
          <w:sz w:val="22"/>
          <w:szCs w:val="22"/>
        </w:rPr>
        <w:t xml:space="preserve">, </w:t>
      </w:r>
      <w:r w:rsidR="00A70EC9" w:rsidRPr="00BF2CE5">
        <w:rPr>
          <w:rFonts w:eastAsia="Times New Roman"/>
          <w:sz w:val="22"/>
          <w:szCs w:val="22"/>
        </w:rPr>
        <w:t>Case</w:t>
      </w:r>
      <w:r w:rsidR="00935D31" w:rsidRPr="00BF2CE5">
        <w:rPr>
          <w:rFonts w:eastAsia="Times New Roman"/>
          <w:sz w:val="22"/>
          <w:szCs w:val="22"/>
        </w:rPr>
        <w:t xml:space="preserve"> (2015a</w:t>
      </w:r>
      <w:r w:rsidR="002072ED" w:rsidRPr="00BF2CE5">
        <w:rPr>
          <w:rFonts w:eastAsia="Times New Roman"/>
          <w:sz w:val="22"/>
          <w:szCs w:val="22"/>
        </w:rPr>
        <w:t>)</w:t>
      </w:r>
      <w:r w:rsidR="00A70EC9" w:rsidRPr="00BF2CE5">
        <w:rPr>
          <w:rFonts w:eastAsia="Times New Roman"/>
          <w:sz w:val="22"/>
          <w:szCs w:val="22"/>
        </w:rPr>
        <w:t xml:space="preserve"> </w:t>
      </w:r>
      <w:r w:rsidR="00FD1E35" w:rsidRPr="00BF2CE5">
        <w:rPr>
          <w:rFonts w:eastAsia="Times New Roman"/>
          <w:sz w:val="22"/>
          <w:szCs w:val="22"/>
        </w:rPr>
        <w:t xml:space="preserve">sought to account for the way that the agency </w:t>
      </w:r>
      <w:r w:rsidR="00AA26F3" w:rsidRPr="00BF2CE5">
        <w:rPr>
          <w:rFonts w:eastAsia="Times New Roman"/>
          <w:sz w:val="22"/>
          <w:szCs w:val="22"/>
        </w:rPr>
        <w:t>of learners shifts over time. She</w:t>
      </w:r>
      <w:r w:rsidR="002D6931" w:rsidRPr="00BF2CE5">
        <w:rPr>
          <w:rFonts w:eastAsia="Times New Roman"/>
          <w:sz w:val="22"/>
          <w:szCs w:val="22"/>
        </w:rPr>
        <w:t xml:space="preserve"> argued that </w:t>
      </w:r>
      <w:r w:rsidR="00FD1E35" w:rsidRPr="00BF2CE5">
        <w:rPr>
          <w:rFonts w:eastAsia="Times New Roman"/>
          <w:sz w:val="22"/>
          <w:szCs w:val="22"/>
        </w:rPr>
        <w:t>curricular knowledge plays</w:t>
      </w:r>
      <w:r w:rsidR="002D6931" w:rsidRPr="00BF2CE5">
        <w:rPr>
          <w:rFonts w:eastAsia="Times New Roman"/>
          <w:sz w:val="22"/>
          <w:szCs w:val="22"/>
        </w:rPr>
        <w:t xml:space="preserve"> a central role</w:t>
      </w:r>
      <w:r w:rsidR="00FD1E35" w:rsidRPr="00BF2CE5">
        <w:rPr>
          <w:rFonts w:eastAsia="Times New Roman"/>
          <w:sz w:val="22"/>
          <w:szCs w:val="22"/>
        </w:rPr>
        <w:t xml:space="preserve"> in shaping the agency of learners, while also adverting to the</w:t>
      </w:r>
      <w:r w:rsidR="00FC79E6" w:rsidRPr="00BF2CE5">
        <w:rPr>
          <w:rFonts w:eastAsia="Times New Roman"/>
          <w:sz w:val="22"/>
          <w:szCs w:val="22"/>
        </w:rPr>
        <w:t xml:space="preserve"> role played by the</w:t>
      </w:r>
      <w:r w:rsidR="00FD1E35" w:rsidRPr="00BF2CE5">
        <w:rPr>
          <w:rFonts w:eastAsia="Times New Roman"/>
          <w:sz w:val="22"/>
          <w:szCs w:val="22"/>
        </w:rPr>
        <w:t xml:space="preserve"> reflexivity of students</w:t>
      </w:r>
      <w:r w:rsidR="00FC79E6" w:rsidRPr="00BF2CE5">
        <w:rPr>
          <w:rFonts w:eastAsia="Times New Roman"/>
          <w:sz w:val="22"/>
          <w:szCs w:val="22"/>
        </w:rPr>
        <w:t xml:space="preserve"> in</w:t>
      </w:r>
      <w:r w:rsidR="003B34BE" w:rsidRPr="00BF2CE5">
        <w:rPr>
          <w:rFonts w:eastAsia="Times New Roman"/>
          <w:sz w:val="22"/>
          <w:szCs w:val="22"/>
        </w:rPr>
        <w:t xml:space="preserve"> the</w:t>
      </w:r>
      <w:r w:rsidR="00FC79E6" w:rsidRPr="00BF2CE5">
        <w:rPr>
          <w:rFonts w:eastAsia="Times New Roman"/>
          <w:sz w:val="22"/>
          <w:szCs w:val="22"/>
        </w:rPr>
        <w:t xml:space="preserve"> morphogenesis</w:t>
      </w:r>
      <w:r w:rsidR="003B34BE" w:rsidRPr="00BF2CE5">
        <w:rPr>
          <w:rFonts w:eastAsia="Times New Roman"/>
          <w:sz w:val="22"/>
          <w:szCs w:val="22"/>
        </w:rPr>
        <w:t xml:space="preserve"> of agency</w:t>
      </w:r>
      <w:r w:rsidR="00FD1E35" w:rsidRPr="00BF2CE5">
        <w:rPr>
          <w:rFonts w:eastAsia="Times New Roman"/>
          <w:sz w:val="22"/>
          <w:szCs w:val="22"/>
        </w:rPr>
        <w:t>.</w:t>
      </w:r>
      <w:r w:rsidR="005F2235" w:rsidRPr="00BF2CE5">
        <w:rPr>
          <w:rFonts w:eastAsia="Times New Roman"/>
          <w:sz w:val="22"/>
          <w:szCs w:val="22"/>
        </w:rPr>
        <w:t xml:space="preserve"> However, w</w:t>
      </w:r>
      <w:r w:rsidR="00935D31" w:rsidRPr="00BF2CE5">
        <w:rPr>
          <w:rFonts w:eastAsia="Times New Roman"/>
          <w:sz w:val="22"/>
          <w:szCs w:val="22"/>
          <w:lang w:val="en-AU" w:eastAsia="en-AU"/>
        </w:rPr>
        <w:t>hile Case (2015a) analysed the morphogenetic sequence as it appli</w:t>
      </w:r>
      <w:r w:rsidR="005F2235" w:rsidRPr="00BF2CE5">
        <w:rPr>
          <w:rFonts w:eastAsia="Times New Roman"/>
          <w:sz w:val="22"/>
          <w:szCs w:val="22"/>
          <w:lang w:val="en-AU" w:eastAsia="en-AU"/>
        </w:rPr>
        <w:t>es to agency, her account concentrated on specific</w:t>
      </w:r>
      <w:r w:rsidR="00935D31" w:rsidRPr="00BF2CE5">
        <w:rPr>
          <w:rFonts w:eastAsia="Times New Roman"/>
          <w:sz w:val="22"/>
          <w:szCs w:val="22"/>
          <w:lang w:val="en-AU" w:eastAsia="en-AU"/>
        </w:rPr>
        <w:t xml:space="preserve"> features of the underlying generative mechanism rather than</w:t>
      </w:r>
      <w:r w:rsidR="005F2235" w:rsidRPr="00BF2CE5">
        <w:rPr>
          <w:rFonts w:eastAsia="Times New Roman"/>
          <w:sz w:val="22"/>
          <w:szCs w:val="22"/>
          <w:lang w:val="en-AU" w:eastAsia="en-AU"/>
        </w:rPr>
        <w:t xml:space="preserve"> on</w:t>
      </w:r>
      <w:r w:rsidR="00935D31" w:rsidRPr="00BF2CE5">
        <w:rPr>
          <w:rFonts w:eastAsia="Times New Roman"/>
          <w:sz w:val="22"/>
          <w:szCs w:val="22"/>
          <w:lang w:val="en-AU" w:eastAsia="en-AU"/>
        </w:rPr>
        <w:t xml:space="preserve"> the interplay between them. </w:t>
      </w:r>
      <w:r w:rsidR="005F2235" w:rsidRPr="00BF2CE5">
        <w:rPr>
          <w:rFonts w:eastAsia="Times New Roman"/>
          <w:sz w:val="22"/>
          <w:szCs w:val="22"/>
          <w:lang w:val="en-AU" w:eastAsia="en-AU"/>
        </w:rPr>
        <w:t>For instance, she did not consider reflexive delibera</w:t>
      </w:r>
      <w:r w:rsidR="004204D2" w:rsidRPr="00BF2CE5">
        <w:rPr>
          <w:rFonts w:eastAsia="Times New Roman"/>
          <w:sz w:val="22"/>
          <w:szCs w:val="22"/>
          <w:lang w:val="en-AU" w:eastAsia="en-AU"/>
        </w:rPr>
        <w:t xml:space="preserve">tion in </w:t>
      </w:r>
      <w:r w:rsidR="005F2235" w:rsidRPr="00BF2CE5">
        <w:rPr>
          <w:rFonts w:eastAsia="Times New Roman"/>
          <w:sz w:val="22"/>
          <w:szCs w:val="22"/>
          <w:lang w:val="en-AU" w:eastAsia="en-AU"/>
        </w:rPr>
        <w:t>direct</w:t>
      </w:r>
      <w:r w:rsidR="00935D31" w:rsidRPr="00BF2CE5">
        <w:rPr>
          <w:rFonts w:eastAsia="Times New Roman"/>
          <w:sz w:val="22"/>
          <w:szCs w:val="22"/>
          <w:lang w:val="en-AU" w:eastAsia="en-AU"/>
        </w:rPr>
        <w:t xml:space="preserve"> relation to</w:t>
      </w:r>
      <w:r w:rsidR="005F2235" w:rsidRPr="00BF2CE5">
        <w:rPr>
          <w:rFonts w:eastAsia="Times New Roman"/>
          <w:sz w:val="22"/>
          <w:szCs w:val="22"/>
          <w:lang w:val="en-AU" w:eastAsia="en-AU"/>
        </w:rPr>
        <w:t xml:space="preserve"> either</w:t>
      </w:r>
      <w:r w:rsidR="00935D31" w:rsidRPr="00BF2CE5">
        <w:rPr>
          <w:rFonts w:eastAsia="Times New Roman"/>
          <w:sz w:val="22"/>
          <w:szCs w:val="22"/>
          <w:lang w:val="en-AU" w:eastAsia="en-AU"/>
        </w:rPr>
        <w:t xml:space="preserve"> teaching-learning interactions </w:t>
      </w:r>
      <w:r w:rsidR="005F2235" w:rsidRPr="00BF2CE5">
        <w:rPr>
          <w:rFonts w:eastAsia="Times New Roman"/>
          <w:sz w:val="22"/>
          <w:szCs w:val="22"/>
          <w:lang w:val="en-AU" w:eastAsia="en-AU"/>
        </w:rPr>
        <w:t>or</w:t>
      </w:r>
      <w:r w:rsidR="00935D31" w:rsidRPr="00BF2CE5">
        <w:rPr>
          <w:rFonts w:eastAsia="Times New Roman"/>
          <w:sz w:val="22"/>
          <w:szCs w:val="22"/>
          <w:lang w:val="en-AU" w:eastAsia="en-AU"/>
        </w:rPr>
        <w:t xml:space="preserve"> to curricular knowledge.</w:t>
      </w:r>
      <w:r w:rsidR="00FD1E35" w:rsidRPr="00BF2CE5">
        <w:rPr>
          <w:rFonts w:eastAsia="Times New Roman"/>
          <w:sz w:val="22"/>
          <w:szCs w:val="22"/>
        </w:rPr>
        <w:t xml:space="preserve"> </w:t>
      </w:r>
      <w:r w:rsidR="00C1745C" w:rsidRPr="00BF2CE5">
        <w:rPr>
          <w:rFonts w:eastAsia="Times New Roman"/>
          <w:sz w:val="22"/>
          <w:szCs w:val="22"/>
        </w:rPr>
        <w:t>In</w:t>
      </w:r>
      <w:r w:rsidR="00322DC7" w:rsidRPr="00BF2CE5">
        <w:rPr>
          <w:rFonts w:eastAsia="Times New Roman"/>
          <w:sz w:val="22"/>
          <w:szCs w:val="22"/>
        </w:rPr>
        <w:t xml:space="preserve"> looking</w:t>
      </w:r>
      <w:r w:rsidR="00D62098" w:rsidRPr="00BF2CE5">
        <w:rPr>
          <w:rFonts w:eastAsia="Times New Roman"/>
          <w:sz w:val="22"/>
          <w:szCs w:val="22"/>
        </w:rPr>
        <w:t xml:space="preserve"> at the generative mechanisms that influence the morphogenesis of student agency</w:t>
      </w:r>
      <w:r w:rsidR="00FD1E35" w:rsidRPr="00BF2CE5">
        <w:rPr>
          <w:rFonts w:eastAsia="Times New Roman"/>
          <w:sz w:val="22"/>
          <w:szCs w:val="22"/>
        </w:rPr>
        <w:t xml:space="preserve">, however, </w:t>
      </w:r>
      <w:r w:rsidR="00C1745C" w:rsidRPr="00BF2CE5">
        <w:rPr>
          <w:rFonts w:eastAsia="Times New Roman"/>
          <w:sz w:val="22"/>
          <w:szCs w:val="22"/>
        </w:rPr>
        <w:t xml:space="preserve">there is scope </w:t>
      </w:r>
      <w:r w:rsidR="00FD1E35" w:rsidRPr="00BF2CE5">
        <w:rPr>
          <w:rFonts w:eastAsia="Times New Roman"/>
          <w:sz w:val="22"/>
          <w:szCs w:val="22"/>
        </w:rPr>
        <w:t xml:space="preserve">to </w:t>
      </w:r>
      <w:r w:rsidR="004204D2" w:rsidRPr="00BF2CE5">
        <w:rPr>
          <w:rFonts w:eastAsia="Times New Roman"/>
          <w:sz w:val="22"/>
          <w:szCs w:val="22"/>
        </w:rPr>
        <w:t>adopt a synthetic approach in</w:t>
      </w:r>
      <w:r w:rsidR="005F2235" w:rsidRPr="00BF2CE5">
        <w:rPr>
          <w:rFonts w:eastAsia="Times New Roman"/>
          <w:sz w:val="22"/>
          <w:szCs w:val="22"/>
        </w:rPr>
        <w:t xml:space="preserve"> exploring the underlying mechanism. </w:t>
      </w:r>
    </w:p>
    <w:p w14:paraId="3FD2A0CC" w14:textId="3B0D14D5" w:rsidR="00CE2947" w:rsidRPr="00BF2CE5" w:rsidRDefault="004313D9" w:rsidP="00BF2CE5">
      <w:pPr>
        <w:widowControl w:val="0"/>
        <w:autoSpaceDE w:val="0"/>
        <w:autoSpaceDN w:val="0"/>
        <w:adjustRightInd w:val="0"/>
        <w:spacing w:after="60"/>
        <w:ind w:firstLine="720"/>
        <w:rPr>
          <w:rFonts w:eastAsia="Times New Roman"/>
          <w:sz w:val="22"/>
          <w:szCs w:val="22"/>
        </w:rPr>
      </w:pPr>
      <w:r w:rsidRPr="00BF2CE5">
        <w:rPr>
          <w:rFonts w:eastAsia="Times New Roman"/>
          <w:sz w:val="22"/>
          <w:szCs w:val="22"/>
        </w:rPr>
        <w:t xml:space="preserve">Critical realist theorising on higher education is itself relatively recent, with only a relatively limited number of </w:t>
      </w:r>
      <w:r w:rsidR="0070648D" w:rsidRPr="00BF2CE5">
        <w:rPr>
          <w:rFonts w:eastAsia="Times New Roman"/>
          <w:sz w:val="22"/>
          <w:szCs w:val="22"/>
        </w:rPr>
        <w:t xml:space="preserve">studies having been undertaken </w:t>
      </w:r>
      <w:r w:rsidR="00A804AE" w:rsidRPr="00BF2CE5">
        <w:rPr>
          <w:rFonts w:eastAsia="Times New Roman"/>
          <w:noProof/>
          <w:sz w:val="22"/>
          <w:szCs w:val="22"/>
        </w:rPr>
        <w:t>(Leibowitz, Bozalek, and Kahn 2016)</w:t>
      </w:r>
      <w:r w:rsidR="0070648D" w:rsidRPr="00BF2CE5">
        <w:rPr>
          <w:rFonts w:eastAsia="Times New Roman"/>
          <w:sz w:val="22"/>
          <w:szCs w:val="22"/>
        </w:rPr>
        <w:t xml:space="preserve">. </w:t>
      </w:r>
      <w:r w:rsidRPr="00BF2CE5">
        <w:rPr>
          <w:rFonts w:eastAsia="Times New Roman"/>
          <w:sz w:val="22"/>
          <w:szCs w:val="22"/>
        </w:rPr>
        <w:t>The field of critical realism</w:t>
      </w:r>
      <w:r w:rsidR="004204D2" w:rsidRPr="00BF2CE5">
        <w:rPr>
          <w:rFonts w:eastAsia="Times New Roman"/>
          <w:sz w:val="22"/>
          <w:szCs w:val="22"/>
        </w:rPr>
        <w:t>, however</w:t>
      </w:r>
      <w:r w:rsidR="005D49EB" w:rsidRPr="00BF2CE5">
        <w:rPr>
          <w:rFonts w:eastAsia="Times New Roman"/>
          <w:sz w:val="22"/>
          <w:szCs w:val="22"/>
        </w:rPr>
        <w:t>,</w:t>
      </w:r>
      <w:r w:rsidRPr="00BF2CE5">
        <w:rPr>
          <w:rFonts w:eastAsia="Times New Roman"/>
          <w:sz w:val="22"/>
          <w:szCs w:val="22"/>
        </w:rPr>
        <w:t xml:space="preserve"> offers a wide </w:t>
      </w:r>
      <w:r w:rsidR="005D49EB" w:rsidRPr="00BF2CE5">
        <w:rPr>
          <w:rFonts w:eastAsia="Times New Roman"/>
          <w:sz w:val="22"/>
          <w:szCs w:val="22"/>
        </w:rPr>
        <w:t xml:space="preserve">and growing </w:t>
      </w:r>
      <w:r w:rsidRPr="00BF2CE5">
        <w:rPr>
          <w:rFonts w:eastAsia="Times New Roman"/>
          <w:sz w:val="22"/>
          <w:szCs w:val="22"/>
        </w:rPr>
        <w:t>range of theoretic</w:t>
      </w:r>
      <w:r w:rsidR="005D49EB" w:rsidRPr="00BF2CE5">
        <w:rPr>
          <w:rFonts w:eastAsia="Times New Roman"/>
          <w:sz w:val="22"/>
          <w:szCs w:val="22"/>
        </w:rPr>
        <w:t>al resources</w:t>
      </w:r>
      <w:r w:rsidR="007C5595" w:rsidRPr="00BF2CE5">
        <w:rPr>
          <w:rFonts w:eastAsia="Times New Roman"/>
          <w:sz w:val="22"/>
          <w:szCs w:val="22"/>
        </w:rPr>
        <w:t xml:space="preserve"> </w:t>
      </w:r>
      <w:r w:rsidR="00A804AE" w:rsidRPr="00BF2CE5">
        <w:rPr>
          <w:rFonts w:eastAsia="Times New Roman"/>
          <w:noProof/>
          <w:sz w:val="22"/>
          <w:szCs w:val="22"/>
        </w:rPr>
        <w:t>(Danermark et al. 2001)</w:t>
      </w:r>
      <w:r w:rsidR="00CE2947" w:rsidRPr="00BF2CE5">
        <w:rPr>
          <w:rFonts w:eastAsia="Times New Roman"/>
          <w:sz w:val="22"/>
          <w:szCs w:val="22"/>
        </w:rPr>
        <w:t>.</w:t>
      </w:r>
      <w:r w:rsidR="00322DC7" w:rsidRPr="00BF2CE5">
        <w:rPr>
          <w:rFonts w:eastAsia="Times New Roman"/>
          <w:sz w:val="22"/>
          <w:szCs w:val="22"/>
        </w:rPr>
        <w:t xml:space="preserve"> As such, it would b</w:t>
      </w:r>
      <w:r w:rsidR="004204D2" w:rsidRPr="00BF2CE5">
        <w:rPr>
          <w:rFonts w:eastAsia="Times New Roman"/>
          <w:sz w:val="22"/>
          <w:szCs w:val="22"/>
        </w:rPr>
        <w:t>e expected that a range of</w:t>
      </w:r>
      <w:r w:rsidR="005D49EB" w:rsidRPr="00BF2CE5">
        <w:rPr>
          <w:rFonts w:eastAsia="Times New Roman"/>
          <w:sz w:val="22"/>
          <w:szCs w:val="22"/>
        </w:rPr>
        <w:t xml:space="preserve"> perspectives could </w:t>
      </w:r>
      <w:r w:rsidR="00322DC7" w:rsidRPr="00BF2CE5">
        <w:rPr>
          <w:rFonts w:eastAsia="Times New Roman"/>
          <w:sz w:val="22"/>
          <w:szCs w:val="22"/>
        </w:rPr>
        <w:t>be applied to understanding the morphogenesis of student agency.</w:t>
      </w:r>
      <w:r w:rsidR="00381E54" w:rsidRPr="00BF2CE5">
        <w:rPr>
          <w:rFonts w:eastAsia="Times New Roman"/>
          <w:sz w:val="22"/>
          <w:szCs w:val="22"/>
        </w:rPr>
        <w:t xml:space="preserve"> For instance, recent work by Archer and Donati </w:t>
      </w:r>
      <w:r w:rsidR="00A804AE" w:rsidRPr="00BF2CE5">
        <w:rPr>
          <w:rFonts w:eastAsia="Times New Roman"/>
          <w:noProof/>
          <w:sz w:val="22"/>
          <w:szCs w:val="22"/>
        </w:rPr>
        <w:t>(2015)</w:t>
      </w:r>
      <w:r w:rsidR="00381E54" w:rsidRPr="00BF2CE5">
        <w:rPr>
          <w:rFonts w:eastAsia="Times New Roman"/>
          <w:sz w:val="22"/>
          <w:szCs w:val="22"/>
        </w:rPr>
        <w:t xml:space="preserve"> has drawn attention to the central role that social relations </w:t>
      </w:r>
      <w:r w:rsidR="00AA26F3" w:rsidRPr="00BF2CE5">
        <w:rPr>
          <w:rFonts w:eastAsia="Times New Roman"/>
          <w:sz w:val="22"/>
          <w:szCs w:val="22"/>
        </w:rPr>
        <w:t xml:space="preserve">and the pursuit of what is good both </w:t>
      </w:r>
      <w:r w:rsidR="00381E54" w:rsidRPr="00BF2CE5">
        <w:rPr>
          <w:rFonts w:eastAsia="Times New Roman"/>
          <w:sz w:val="22"/>
          <w:szCs w:val="22"/>
        </w:rPr>
        <w:t>play in s</w:t>
      </w:r>
      <w:r w:rsidR="00F53252" w:rsidRPr="00BF2CE5">
        <w:rPr>
          <w:rFonts w:eastAsia="Times New Roman"/>
          <w:sz w:val="22"/>
          <w:szCs w:val="22"/>
        </w:rPr>
        <w:t>haping reflexivity and agency</w:t>
      </w:r>
      <w:r w:rsidR="006D5E2D" w:rsidRPr="00BF2CE5">
        <w:rPr>
          <w:rFonts w:eastAsia="Times New Roman"/>
          <w:sz w:val="22"/>
          <w:szCs w:val="22"/>
        </w:rPr>
        <w:t xml:space="preserve">, while </w:t>
      </w:r>
      <w:r w:rsidR="00A7642A" w:rsidRPr="00BF2CE5">
        <w:rPr>
          <w:rFonts w:eastAsia="Times New Roman"/>
          <w:sz w:val="22"/>
          <w:szCs w:val="22"/>
        </w:rPr>
        <w:t xml:space="preserve">there is scope also to consider the </w:t>
      </w:r>
      <w:r w:rsidR="00E7241D" w:rsidRPr="00BF2CE5">
        <w:rPr>
          <w:rFonts w:eastAsia="Times New Roman"/>
          <w:sz w:val="22"/>
          <w:szCs w:val="22"/>
        </w:rPr>
        <w:t xml:space="preserve">associated </w:t>
      </w:r>
      <w:r w:rsidR="00A7642A" w:rsidRPr="00BF2CE5">
        <w:rPr>
          <w:rFonts w:eastAsia="Times New Roman"/>
          <w:sz w:val="22"/>
          <w:szCs w:val="22"/>
        </w:rPr>
        <w:t xml:space="preserve">goods that </w:t>
      </w:r>
      <w:r w:rsidR="00E7241D" w:rsidRPr="00BF2CE5">
        <w:rPr>
          <w:rFonts w:eastAsia="Times New Roman"/>
          <w:sz w:val="22"/>
          <w:szCs w:val="22"/>
        </w:rPr>
        <w:t>are at stake</w:t>
      </w:r>
      <w:r w:rsidR="00A7642A" w:rsidRPr="00BF2CE5">
        <w:rPr>
          <w:rFonts w:eastAsia="Times New Roman"/>
          <w:sz w:val="22"/>
          <w:szCs w:val="22"/>
        </w:rPr>
        <w:t xml:space="preserve">. </w:t>
      </w:r>
    </w:p>
    <w:p w14:paraId="43254D79" w14:textId="74F0886C" w:rsidR="000D0001" w:rsidRPr="00BF2CE5" w:rsidRDefault="003D468C" w:rsidP="00BF2CE5">
      <w:pPr>
        <w:widowControl w:val="0"/>
        <w:autoSpaceDE w:val="0"/>
        <w:autoSpaceDN w:val="0"/>
        <w:adjustRightInd w:val="0"/>
        <w:spacing w:after="60"/>
        <w:ind w:firstLine="720"/>
        <w:rPr>
          <w:sz w:val="22"/>
          <w:szCs w:val="22"/>
        </w:rPr>
      </w:pPr>
      <w:r w:rsidRPr="00BF2CE5">
        <w:rPr>
          <w:sz w:val="22"/>
          <w:szCs w:val="22"/>
        </w:rPr>
        <w:t>This paper</w:t>
      </w:r>
      <w:r w:rsidR="00897925" w:rsidRPr="00BF2CE5">
        <w:rPr>
          <w:sz w:val="22"/>
          <w:szCs w:val="22"/>
        </w:rPr>
        <w:t xml:space="preserve"> </w:t>
      </w:r>
      <w:r w:rsidR="00381E54" w:rsidRPr="00BF2CE5">
        <w:rPr>
          <w:sz w:val="22"/>
          <w:szCs w:val="22"/>
        </w:rPr>
        <w:t>presents a synthetic account of the morphogenesis of student agency, highlighting connections between capacity for agency and what it means f</w:t>
      </w:r>
      <w:r w:rsidR="00DC74D1" w:rsidRPr="00BF2CE5">
        <w:rPr>
          <w:sz w:val="22"/>
          <w:szCs w:val="22"/>
        </w:rPr>
        <w:t xml:space="preserve">or persons </w:t>
      </w:r>
      <w:r w:rsidR="00381E54" w:rsidRPr="00BF2CE5">
        <w:rPr>
          <w:sz w:val="22"/>
          <w:szCs w:val="22"/>
        </w:rPr>
        <w:t>to flourish</w:t>
      </w:r>
      <w:r w:rsidR="00DC74D1" w:rsidRPr="00BF2CE5">
        <w:rPr>
          <w:sz w:val="22"/>
          <w:szCs w:val="22"/>
        </w:rPr>
        <w:t xml:space="preserve"> or not. </w:t>
      </w:r>
      <w:r w:rsidR="00897925" w:rsidRPr="00BF2CE5">
        <w:rPr>
          <w:sz w:val="22"/>
          <w:szCs w:val="22"/>
        </w:rPr>
        <w:t>The con</w:t>
      </w:r>
      <w:r w:rsidR="00DC74D1" w:rsidRPr="00BF2CE5">
        <w:rPr>
          <w:sz w:val="22"/>
          <w:szCs w:val="22"/>
        </w:rPr>
        <w:t>ceptual analysis that is offered</w:t>
      </w:r>
      <w:r w:rsidR="003C18C9" w:rsidRPr="00BF2CE5">
        <w:rPr>
          <w:sz w:val="22"/>
          <w:szCs w:val="22"/>
        </w:rPr>
        <w:t xml:space="preserve"> draws on a range of critical realist studies, particularly from the realist s</w:t>
      </w:r>
      <w:r w:rsidR="001D1BBB" w:rsidRPr="00BF2CE5">
        <w:rPr>
          <w:sz w:val="22"/>
          <w:szCs w:val="22"/>
        </w:rPr>
        <w:t>ocial theory of Margaret Archer</w:t>
      </w:r>
      <w:r w:rsidR="005118AD" w:rsidRPr="00BF2CE5">
        <w:rPr>
          <w:sz w:val="22"/>
          <w:szCs w:val="22"/>
        </w:rPr>
        <w:t xml:space="preserve">. </w:t>
      </w:r>
      <w:r w:rsidR="005F2235" w:rsidRPr="00BF2CE5">
        <w:rPr>
          <w:sz w:val="22"/>
          <w:szCs w:val="22"/>
        </w:rPr>
        <w:t xml:space="preserve">The analysis </w:t>
      </w:r>
      <w:r w:rsidR="005118AD" w:rsidRPr="00BF2CE5">
        <w:rPr>
          <w:sz w:val="22"/>
          <w:szCs w:val="22"/>
        </w:rPr>
        <w:t>also draws</w:t>
      </w:r>
      <w:r w:rsidR="003C18C9" w:rsidRPr="00BF2CE5">
        <w:rPr>
          <w:sz w:val="22"/>
          <w:szCs w:val="22"/>
        </w:rPr>
        <w:t xml:space="preserve"> on research from the field of studies in higher education</w:t>
      </w:r>
      <w:r w:rsidR="005118AD" w:rsidRPr="00BF2CE5">
        <w:rPr>
          <w:sz w:val="22"/>
          <w:szCs w:val="22"/>
        </w:rPr>
        <w:t xml:space="preserve"> </w:t>
      </w:r>
      <w:r w:rsidR="00AA26F3" w:rsidRPr="00BF2CE5">
        <w:rPr>
          <w:sz w:val="22"/>
          <w:szCs w:val="22"/>
        </w:rPr>
        <w:t>in order</w:t>
      </w:r>
      <w:r w:rsidR="00D62098" w:rsidRPr="00BF2CE5">
        <w:rPr>
          <w:sz w:val="22"/>
          <w:szCs w:val="22"/>
        </w:rPr>
        <w:t xml:space="preserve"> to illustrate the applicability of the theoretical argument</w:t>
      </w:r>
      <w:r w:rsidR="00AA26F3" w:rsidRPr="00BF2CE5">
        <w:rPr>
          <w:sz w:val="22"/>
          <w:szCs w:val="22"/>
        </w:rPr>
        <w:t>.</w:t>
      </w:r>
      <w:r w:rsidR="0056246B" w:rsidRPr="00BF2CE5">
        <w:rPr>
          <w:sz w:val="22"/>
          <w:szCs w:val="22"/>
        </w:rPr>
        <w:t xml:space="preserve"> </w:t>
      </w:r>
      <w:r w:rsidR="00BB7DA2" w:rsidRPr="00BF2CE5">
        <w:rPr>
          <w:rFonts w:eastAsia="Times New Roman"/>
          <w:sz w:val="22"/>
          <w:szCs w:val="22"/>
        </w:rPr>
        <w:t>A comprehensive</w:t>
      </w:r>
      <w:r w:rsidR="0056246B" w:rsidRPr="00BF2CE5">
        <w:rPr>
          <w:rFonts w:eastAsia="Times New Roman"/>
          <w:sz w:val="22"/>
          <w:szCs w:val="22"/>
        </w:rPr>
        <w:t xml:space="preserve"> understanding of the morphogenesis of student agency could be valuable in helping to</w:t>
      </w:r>
      <w:r w:rsidR="00BB7DA2" w:rsidRPr="00BF2CE5">
        <w:rPr>
          <w:rFonts w:eastAsia="Times New Roman"/>
          <w:sz w:val="22"/>
          <w:szCs w:val="22"/>
        </w:rPr>
        <w:t xml:space="preserve"> shape higher education in ways that promote the flourishing of students. </w:t>
      </w:r>
      <w:r w:rsidR="003C1E59" w:rsidRPr="00BF2CE5">
        <w:rPr>
          <w:rFonts w:eastAsia="Times New Roman"/>
          <w:sz w:val="22"/>
          <w:szCs w:val="22"/>
        </w:rPr>
        <w:t xml:space="preserve">In working towards this, it is first of all important to set out what agency means when it is exercised by students.  </w:t>
      </w:r>
    </w:p>
    <w:p w14:paraId="45303381" w14:textId="77777777" w:rsidR="003C1E59" w:rsidRPr="00BF2CE5" w:rsidRDefault="003C1E59" w:rsidP="00BF2CE5">
      <w:pPr>
        <w:widowControl w:val="0"/>
        <w:autoSpaceDE w:val="0"/>
        <w:autoSpaceDN w:val="0"/>
        <w:adjustRightInd w:val="0"/>
        <w:spacing w:after="60"/>
        <w:ind w:firstLine="720"/>
        <w:rPr>
          <w:rFonts w:eastAsia="Times New Roman"/>
          <w:sz w:val="22"/>
          <w:szCs w:val="22"/>
        </w:rPr>
      </w:pPr>
    </w:p>
    <w:p w14:paraId="4EA5A8D2" w14:textId="05788AFC" w:rsidR="0099721B" w:rsidRPr="00BF2CE5" w:rsidRDefault="00C3300C" w:rsidP="00BF2CE5">
      <w:pPr>
        <w:widowControl w:val="0"/>
        <w:autoSpaceDE w:val="0"/>
        <w:autoSpaceDN w:val="0"/>
        <w:adjustRightInd w:val="0"/>
        <w:spacing w:after="60"/>
        <w:outlineLvl w:val="0"/>
        <w:rPr>
          <w:b/>
          <w:sz w:val="22"/>
          <w:szCs w:val="22"/>
        </w:rPr>
      </w:pPr>
      <w:r w:rsidRPr="00BF2CE5">
        <w:rPr>
          <w:b/>
          <w:sz w:val="22"/>
          <w:szCs w:val="22"/>
        </w:rPr>
        <w:t xml:space="preserve">The morphogenesis of </w:t>
      </w:r>
      <w:r w:rsidR="009D53A5" w:rsidRPr="00BF2CE5">
        <w:rPr>
          <w:b/>
          <w:sz w:val="22"/>
          <w:szCs w:val="22"/>
        </w:rPr>
        <w:t>student agency</w:t>
      </w:r>
    </w:p>
    <w:p w14:paraId="2D2996EF" w14:textId="7E4E0853" w:rsidR="003C351C" w:rsidRPr="00BF2CE5" w:rsidRDefault="00040FDA" w:rsidP="00BF2CE5">
      <w:pPr>
        <w:spacing w:after="60"/>
        <w:rPr>
          <w:sz w:val="22"/>
          <w:szCs w:val="22"/>
        </w:rPr>
      </w:pPr>
      <w:r w:rsidRPr="00BF2CE5">
        <w:rPr>
          <w:sz w:val="22"/>
          <w:szCs w:val="22"/>
        </w:rPr>
        <w:t>H</w:t>
      </w:r>
      <w:r w:rsidR="00E01D80" w:rsidRPr="00BF2CE5">
        <w:rPr>
          <w:sz w:val="22"/>
          <w:szCs w:val="22"/>
        </w:rPr>
        <w:t>uman agency</w:t>
      </w:r>
      <w:r w:rsidRPr="00BF2CE5">
        <w:rPr>
          <w:sz w:val="22"/>
          <w:szCs w:val="22"/>
        </w:rPr>
        <w:t xml:space="preserve"> in the </w:t>
      </w:r>
      <w:r w:rsidR="0056246B" w:rsidRPr="00BF2CE5">
        <w:rPr>
          <w:sz w:val="22"/>
          <w:szCs w:val="22"/>
        </w:rPr>
        <w:t>model developed by Archer</w:t>
      </w:r>
      <w:r w:rsidR="00550541" w:rsidRPr="00BF2CE5">
        <w:rPr>
          <w:sz w:val="22"/>
          <w:szCs w:val="22"/>
        </w:rPr>
        <w:t xml:space="preserve"> </w:t>
      </w:r>
      <w:r w:rsidR="00A804AE" w:rsidRPr="00BF2CE5">
        <w:rPr>
          <w:noProof/>
          <w:sz w:val="22"/>
          <w:szCs w:val="22"/>
        </w:rPr>
        <w:t>(2000)</w:t>
      </w:r>
      <w:r w:rsidR="00AB6823" w:rsidRPr="00BF2CE5">
        <w:rPr>
          <w:sz w:val="22"/>
          <w:szCs w:val="22"/>
        </w:rPr>
        <w:t xml:space="preserve"> </w:t>
      </w:r>
      <w:r w:rsidR="00E01D80" w:rsidRPr="00BF2CE5">
        <w:rPr>
          <w:sz w:val="22"/>
          <w:szCs w:val="22"/>
        </w:rPr>
        <w:t>operates through an extended process, by which agents are first of all placed in given structural settings that constra</w:t>
      </w:r>
      <w:r w:rsidR="004E2D6C" w:rsidRPr="00BF2CE5">
        <w:rPr>
          <w:sz w:val="22"/>
          <w:szCs w:val="22"/>
        </w:rPr>
        <w:t>in and enable their actions</w:t>
      </w:r>
      <w:r w:rsidR="00085943" w:rsidRPr="00BF2CE5">
        <w:rPr>
          <w:sz w:val="22"/>
          <w:szCs w:val="22"/>
        </w:rPr>
        <w:t>.</w:t>
      </w:r>
      <w:r w:rsidR="00933EDC" w:rsidRPr="00BF2CE5">
        <w:rPr>
          <w:sz w:val="22"/>
          <w:szCs w:val="22"/>
        </w:rPr>
        <w:t xml:space="preserve"> </w:t>
      </w:r>
      <w:r w:rsidR="004E2D6C" w:rsidRPr="00BF2CE5">
        <w:rPr>
          <w:sz w:val="22"/>
          <w:szCs w:val="22"/>
        </w:rPr>
        <w:t>Archer</w:t>
      </w:r>
      <w:r w:rsidR="00E01D80" w:rsidRPr="00BF2CE5">
        <w:rPr>
          <w:sz w:val="22"/>
          <w:szCs w:val="22"/>
        </w:rPr>
        <w:t xml:space="preserve"> </w:t>
      </w:r>
      <w:r w:rsidR="009D53A5" w:rsidRPr="00BF2CE5">
        <w:rPr>
          <w:sz w:val="22"/>
          <w:szCs w:val="22"/>
        </w:rPr>
        <w:t xml:space="preserve">(2003) </w:t>
      </w:r>
      <w:r w:rsidR="00E01D80" w:rsidRPr="00BF2CE5">
        <w:rPr>
          <w:sz w:val="22"/>
          <w:szCs w:val="22"/>
        </w:rPr>
        <w:t>contended that individuals establish their own concerns within such settings, before configuring courses of action and on-going practices. Her mode</w:t>
      </w:r>
      <w:r w:rsidR="003A4E10" w:rsidRPr="00BF2CE5">
        <w:rPr>
          <w:sz w:val="22"/>
          <w:szCs w:val="22"/>
        </w:rPr>
        <w:t>l included the notion that this</w:t>
      </w:r>
      <w:r w:rsidR="00936753" w:rsidRPr="00BF2CE5">
        <w:rPr>
          <w:sz w:val="22"/>
          <w:szCs w:val="22"/>
        </w:rPr>
        <w:t xml:space="preserve"> </w:t>
      </w:r>
      <w:r w:rsidR="00E01D80" w:rsidRPr="00BF2CE5">
        <w:rPr>
          <w:sz w:val="22"/>
          <w:szCs w:val="22"/>
        </w:rPr>
        <w:t>process is driven by the ordinary mental capacity to consider oneself in relation to different social contexts, namely re</w:t>
      </w:r>
      <w:r w:rsidR="0056246B" w:rsidRPr="00BF2CE5">
        <w:rPr>
          <w:sz w:val="22"/>
          <w:szCs w:val="22"/>
        </w:rPr>
        <w:t>flexivity</w:t>
      </w:r>
      <w:r w:rsidR="004E2D6C" w:rsidRPr="00BF2CE5">
        <w:rPr>
          <w:sz w:val="22"/>
          <w:szCs w:val="22"/>
        </w:rPr>
        <w:t>. She</w:t>
      </w:r>
      <w:r w:rsidR="00E01D80" w:rsidRPr="00BF2CE5">
        <w:rPr>
          <w:sz w:val="22"/>
          <w:szCs w:val="22"/>
        </w:rPr>
        <w:t xml:space="preserve"> suggested that the prioritisation of different sets of concerns alongside experiences of social </w:t>
      </w:r>
      <w:r w:rsidR="0056246B" w:rsidRPr="00BF2CE5">
        <w:rPr>
          <w:sz w:val="22"/>
          <w:szCs w:val="22"/>
        </w:rPr>
        <w:t xml:space="preserve">continuity or discontinuity </w:t>
      </w:r>
      <w:r w:rsidR="00E01D80" w:rsidRPr="00BF2CE5">
        <w:rPr>
          <w:sz w:val="22"/>
          <w:szCs w:val="22"/>
        </w:rPr>
        <w:t>lead</w:t>
      </w:r>
      <w:r w:rsidR="0056246B" w:rsidRPr="00BF2CE5">
        <w:rPr>
          <w:sz w:val="22"/>
          <w:szCs w:val="22"/>
        </w:rPr>
        <w:t>s</w:t>
      </w:r>
      <w:r w:rsidR="00E01D80" w:rsidRPr="00BF2CE5">
        <w:rPr>
          <w:sz w:val="22"/>
          <w:szCs w:val="22"/>
        </w:rPr>
        <w:t xml:space="preserve"> to </w:t>
      </w:r>
      <w:r w:rsidR="0056246B" w:rsidRPr="00BF2CE5">
        <w:rPr>
          <w:sz w:val="22"/>
          <w:szCs w:val="22"/>
        </w:rPr>
        <w:t>characteristic modes of reflexivity, highlighting also the different outcomes for social mobility that were seen to result.</w:t>
      </w:r>
    </w:p>
    <w:p w14:paraId="7B2CF521" w14:textId="1D2FEF53" w:rsidR="00925D70" w:rsidRPr="00BF2CE5" w:rsidRDefault="00085943" w:rsidP="00BF2CE5">
      <w:pPr>
        <w:spacing w:after="60"/>
        <w:ind w:firstLine="720"/>
        <w:rPr>
          <w:sz w:val="22"/>
          <w:szCs w:val="22"/>
          <w:shd w:val="clear" w:color="auto" w:fill="FFFFFF"/>
        </w:rPr>
      </w:pPr>
      <w:r w:rsidRPr="00BF2CE5">
        <w:rPr>
          <w:sz w:val="22"/>
          <w:szCs w:val="22"/>
        </w:rPr>
        <w:t>A number of studies have argued for the relevance of this model of agency to the agency of students</w:t>
      </w:r>
      <w:r w:rsidR="00BF4581" w:rsidRPr="00BF2CE5">
        <w:rPr>
          <w:sz w:val="22"/>
          <w:szCs w:val="22"/>
        </w:rPr>
        <w:t xml:space="preserve">, including Clegg </w:t>
      </w:r>
      <w:r w:rsidR="00A804AE" w:rsidRPr="00BF2CE5">
        <w:rPr>
          <w:noProof/>
          <w:sz w:val="22"/>
          <w:szCs w:val="22"/>
        </w:rPr>
        <w:t>(2005)</w:t>
      </w:r>
      <w:r w:rsidRPr="00BF2CE5">
        <w:rPr>
          <w:sz w:val="22"/>
          <w:szCs w:val="22"/>
        </w:rPr>
        <w:t>,</w:t>
      </w:r>
      <w:r w:rsidR="00BF4581" w:rsidRPr="00BF2CE5">
        <w:rPr>
          <w:sz w:val="22"/>
          <w:szCs w:val="22"/>
        </w:rPr>
        <w:t xml:space="preserve"> Kahn</w:t>
      </w:r>
      <w:r w:rsidR="003C351C" w:rsidRPr="00BF2CE5">
        <w:rPr>
          <w:sz w:val="22"/>
          <w:szCs w:val="22"/>
        </w:rPr>
        <w:t xml:space="preserve"> </w:t>
      </w:r>
      <w:r w:rsidR="00A804AE" w:rsidRPr="00BF2CE5">
        <w:rPr>
          <w:noProof/>
          <w:sz w:val="22"/>
          <w:szCs w:val="22"/>
        </w:rPr>
        <w:t>(2009)</w:t>
      </w:r>
      <w:r w:rsidR="00A7642A" w:rsidRPr="00BF2CE5">
        <w:rPr>
          <w:sz w:val="22"/>
          <w:szCs w:val="22"/>
        </w:rPr>
        <w:t>, Case (2013)</w:t>
      </w:r>
      <w:r w:rsidR="003C351C" w:rsidRPr="00BF2CE5">
        <w:rPr>
          <w:sz w:val="22"/>
          <w:szCs w:val="22"/>
        </w:rPr>
        <w:t xml:space="preserve"> </w:t>
      </w:r>
      <w:r w:rsidR="00815580" w:rsidRPr="00BF2CE5">
        <w:rPr>
          <w:sz w:val="22"/>
          <w:szCs w:val="22"/>
        </w:rPr>
        <w:t>and</w:t>
      </w:r>
      <w:r w:rsidR="00BF4581" w:rsidRPr="00BF2CE5">
        <w:rPr>
          <w:sz w:val="22"/>
          <w:szCs w:val="22"/>
        </w:rPr>
        <w:t xml:space="preserve"> </w:t>
      </w:r>
      <w:r w:rsidR="00967877" w:rsidRPr="00BF2CE5">
        <w:rPr>
          <w:sz w:val="22"/>
          <w:szCs w:val="22"/>
        </w:rPr>
        <w:t>Archer</w:t>
      </w:r>
      <w:r w:rsidR="00DA644A" w:rsidRPr="00BF2CE5">
        <w:rPr>
          <w:sz w:val="22"/>
          <w:szCs w:val="22"/>
        </w:rPr>
        <w:t xml:space="preserve"> and Donati </w:t>
      </w:r>
      <w:r w:rsidR="00A804AE" w:rsidRPr="00BF2CE5">
        <w:rPr>
          <w:noProof/>
          <w:sz w:val="22"/>
          <w:szCs w:val="22"/>
        </w:rPr>
        <w:t>(2015)</w:t>
      </w:r>
      <w:r w:rsidR="00815580" w:rsidRPr="00BF2CE5">
        <w:rPr>
          <w:sz w:val="22"/>
          <w:szCs w:val="22"/>
        </w:rPr>
        <w:t>.</w:t>
      </w:r>
      <w:r w:rsidR="00DA644A" w:rsidRPr="00BF2CE5">
        <w:rPr>
          <w:sz w:val="22"/>
          <w:szCs w:val="22"/>
        </w:rPr>
        <w:t xml:space="preserve"> </w:t>
      </w:r>
      <w:r w:rsidR="00DD02AE" w:rsidRPr="00BF2CE5">
        <w:rPr>
          <w:sz w:val="22"/>
          <w:szCs w:val="22"/>
        </w:rPr>
        <w:t xml:space="preserve">In a theoretical study, </w:t>
      </w:r>
      <w:r w:rsidR="00B25E3A" w:rsidRPr="00BF2CE5">
        <w:rPr>
          <w:sz w:val="22"/>
          <w:szCs w:val="22"/>
          <w:shd w:val="clear" w:color="auto" w:fill="FFFFFF"/>
        </w:rPr>
        <w:t>Kahn</w:t>
      </w:r>
      <w:r w:rsidR="00815580" w:rsidRPr="00BF2CE5">
        <w:rPr>
          <w:sz w:val="22"/>
          <w:szCs w:val="22"/>
          <w:shd w:val="clear" w:color="auto" w:fill="FFFFFF"/>
        </w:rPr>
        <w:t xml:space="preserve"> </w:t>
      </w:r>
      <w:r w:rsidR="00A804AE" w:rsidRPr="00BF2CE5">
        <w:rPr>
          <w:noProof/>
          <w:sz w:val="22"/>
          <w:szCs w:val="22"/>
          <w:shd w:val="clear" w:color="auto" w:fill="FFFFFF"/>
        </w:rPr>
        <w:t>(2014)</w:t>
      </w:r>
      <w:r w:rsidR="00DD02AE" w:rsidRPr="00BF2CE5">
        <w:rPr>
          <w:sz w:val="22"/>
          <w:szCs w:val="22"/>
          <w:shd w:val="clear" w:color="auto" w:fill="FFFFFF"/>
        </w:rPr>
        <w:t xml:space="preserve"> </w:t>
      </w:r>
      <w:r w:rsidR="00815580" w:rsidRPr="00BF2CE5">
        <w:rPr>
          <w:sz w:val="22"/>
          <w:szCs w:val="22"/>
          <w:shd w:val="clear" w:color="auto" w:fill="FFFFFF"/>
        </w:rPr>
        <w:t>specifically considered how this model might be adapted</w:t>
      </w:r>
      <w:r w:rsidR="00B25E3A" w:rsidRPr="00BF2CE5">
        <w:rPr>
          <w:sz w:val="22"/>
          <w:szCs w:val="22"/>
          <w:shd w:val="clear" w:color="auto" w:fill="FFFFFF"/>
        </w:rPr>
        <w:t xml:space="preserve"> </w:t>
      </w:r>
      <w:r w:rsidR="00E01D80" w:rsidRPr="00BF2CE5">
        <w:rPr>
          <w:sz w:val="22"/>
          <w:szCs w:val="22"/>
          <w:shd w:val="clear" w:color="auto" w:fill="FFFFFF"/>
        </w:rPr>
        <w:t>to understand student eng</w:t>
      </w:r>
      <w:r w:rsidR="00967877" w:rsidRPr="00BF2CE5">
        <w:rPr>
          <w:sz w:val="22"/>
          <w:szCs w:val="22"/>
          <w:shd w:val="clear" w:color="auto" w:fill="FFFFFF"/>
        </w:rPr>
        <w:t xml:space="preserve">agement in higher education. </w:t>
      </w:r>
      <w:r w:rsidR="00427EBF" w:rsidRPr="00BF2CE5">
        <w:rPr>
          <w:sz w:val="22"/>
          <w:szCs w:val="22"/>
          <w:shd w:val="clear" w:color="auto" w:fill="FFFFFF"/>
        </w:rPr>
        <w:t xml:space="preserve">He argued that </w:t>
      </w:r>
      <w:r w:rsidR="00E01D80" w:rsidRPr="00BF2CE5">
        <w:rPr>
          <w:sz w:val="22"/>
          <w:szCs w:val="22"/>
          <w:shd w:val="clear" w:color="auto" w:fill="FFFFFF"/>
        </w:rPr>
        <w:t xml:space="preserve">students </w:t>
      </w:r>
      <w:r w:rsidR="004E2D6C" w:rsidRPr="00BF2CE5">
        <w:rPr>
          <w:sz w:val="22"/>
          <w:szCs w:val="22"/>
          <w:shd w:val="clear" w:color="auto" w:fill="FFFFFF"/>
        </w:rPr>
        <w:t xml:space="preserve">engage </w:t>
      </w:r>
      <w:r w:rsidR="00427EBF" w:rsidRPr="00BF2CE5">
        <w:rPr>
          <w:sz w:val="22"/>
          <w:szCs w:val="22"/>
          <w:shd w:val="clear" w:color="auto" w:fill="FFFFFF"/>
        </w:rPr>
        <w:t xml:space="preserve">in learning </w:t>
      </w:r>
      <w:r w:rsidR="004E2D6C" w:rsidRPr="00BF2CE5">
        <w:rPr>
          <w:sz w:val="22"/>
          <w:szCs w:val="22"/>
          <w:shd w:val="clear" w:color="auto" w:fill="FFFFFF"/>
        </w:rPr>
        <w:t xml:space="preserve">by </w:t>
      </w:r>
      <w:r w:rsidR="00E01D80" w:rsidRPr="00BF2CE5">
        <w:rPr>
          <w:sz w:val="22"/>
          <w:szCs w:val="22"/>
          <w:shd w:val="clear" w:color="auto" w:fill="FFFFFF"/>
        </w:rPr>
        <w:t>establish</w:t>
      </w:r>
      <w:r w:rsidR="004E2D6C" w:rsidRPr="00BF2CE5">
        <w:rPr>
          <w:sz w:val="22"/>
          <w:szCs w:val="22"/>
          <w:shd w:val="clear" w:color="auto" w:fill="FFFFFF"/>
        </w:rPr>
        <w:t>ing</w:t>
      </w:r>
      <w:r w:rsidR="00E01D80" w:rsidRPr="00BF2CE5">
        <w:rPr>
          <w:sz w:val="22"/>
          <w:szCs w:val="22"/>
          <w:shd w:val="clear" w:color="auto" w:fill="FFFFFF"/>
        </w:rPr>
        <w:t xml:space="preserve"> concerns within given educational settings, and as learners translate these concerns into projects and</w:t>
      </w:r>
      <w:r w:rsidR="004E2D6C" w:rsidRPr="00BF2CE5">
        <w:rPr>
          <w:sz w:val="22"/>
          <w:szCs w:val="22"/>
          <w:shd w:val="clear" w:color="auto" w:fill="FFFFFF"/>
        </w:rPr>
        <w:t xml:space="preserve"> on-going practices. Learning occurs to the </w:t>
      </w:r>
      <w:r w:rsidR="00E01D80" w:rsidRPr="00BF2CE5">
        <w:rPr>
          <w:sz w:val="22"/>
          <w:szCs w:val="22"/>
          <w:shd w:val="clear" w:color="auto" w:fill="FFFFFF"/>
        </w:rPr>
        <w:t xml:space="preserve">extent </w:t>
      </w:r>
      <w:r w:rsidR="004E2D6C" w:rsidRPr="00BF2CE5">
        <w:rPr>
          <w:sz w:val="22"/>
          <w:szCs w:val="22"/>
          <w:shd w:val="clear" w:color="auto" w:fill="FFFFFF"/>
        </w:rPr>
        <w:t xml:space="preserve">that educational concerns, projects and practices are </w:t>
      </w:r>
      <w:r w:rsidR="00463FFD" w:rsidRPr="00BF2CE5">
        <w:rPr>
          <w:sz w:val="22"/>
          <w:szCs w:val="22"/>
          <w:shd w:val="clear" w:color="auto" w:fill="FFFFFF"/>
        </w:rPr>
        <w:t xml:space="preserve">prioritised and pursued above </w:t>
      </w:r>
      <w:r w:rsidR="004E2D6C" w:rsidRPr="00BF2CE5">
        <w:rPr>
          <w:sz w:val="22"/>
          <w:szCs w:val="22"/>
          <w:shd w:val="clear" w:color="auto" w:fill="FFFFFF"/>
        </w:rPr>
        <w:t>competing agendas</w:t>
      </w:r>
      <w:r w:rsidR="00E01D80" w:rsidRPr="00BF2CE5">
        <w:rPr>
          <w:sz w:val="22"/>
          <w:szCs w:val="22"/>
          <w:shd w:val="clear" w:color="auto" w:fill="FFFFFF"/>
        </w:rPr>
        <w:t>.</w:t>
      </w:r>
      <w:r w:rsidR="00815580" w:rsidRPr="00BF2CE5">
        <w:rPr>
          <w:sz w:val="22"/>
          <w:szCs w:val="22"/>
          <w:shd w:val="clear" w:color="auto" w:fill="FFFFFF"/>
        </w:rPr>
        <w:t xml:space="preserve"> </w:t>
      </w:r>
      <w:r w:rsidR="00B17777" w:rsidRPr="00BF2CE5">
        <w:rPr>
          <w:sz w:val="22"/>
          <w:szCs w:val="22"/>
          <w:shd w:val="clear" w:color="auto" w:fill="FFFFFF"/>
        </w:rPr>
        <w:t>A readiness to learn cannot be assumed simply because a student is subject to educa</w:t>
      </w:r>
      <w:r w:rsidR="00DD02AE" w:rsidRPr="00BF2CE5">
        <w:rPr>
          <w:sz w:val="22"/>
          <w:szCs w:val="22"/>
          <w:shd w:val="clear" w:color="auto" w:fill="FFFFFF"/>
        </w:rPr>
        <w:t xml:space="preserve">tional constraints. In an empirical investigation of students taking a set of online degree programmes, </w:t>
      </w:r>
      <w:r w:rsidR="00A36D8A" w:rsidRPr="00BF2CE5">
        <w:rPr>
          <w:sz w:val="22"/>
          <w:szCs w:val="22"/>
          <w:shd w:val="clear" w:color="auto" w:fill="FFFFFF"/>
        </w:rPr>
        <w:t xml:space="preserve">Kahn </w:t>
      </w:r>
      <w:r w:rsidR="0003247B" w:rsidRPr="00BF2CE5">
        <w:rPr>
          <w:sz w:val="22"/>
          <w:szCs w:val="22"/>
          <w:shd w:val="clear" w:color="auto" w:fill="FFFFFF"/>
        </w:rPr>
        <w:t xml:space="preserve">et al. </w:t>
      </w:r>
      <w:r w:rsidR="004C4735" w:rsidRPr="00BF2CE5">
        <w:rPr>
          <w:noProof/>
          <w:sz w:val="22"/>
          <w:szCs w:val="22"/>
          <w:shd w:val="clear" w:color="auto" w:fill="FFFFFF"/>
        </w:rPr>
        <w:t>(2017</w:t>
      </w:r>
      <w:r w:rsidR="00A804AE" w:rsidRPr="00BF2CE5">
        <w:rPr>
          <w:noProof/>
          <w:sz w:val="22"/>
          <w:szCs w:val="22"/>
          <w:shd w:val="clear" w:color="auto" w:fill="FFFFFF"/>
        </w:rPr>
        <w:t>)</w:t>
      </w:r>
      <w:r w:rsidR="00A36D8A" w:rsidRPr="00BF2CE5">
        <w:rPr>
          <w:sz w:val="22"/>
          <w:szCs w:val="22"/>
          <w:shd w:val="clear" w:color="auto" w:fill="FFFFFF"/>
        </w:rPr>
        <w:t xml:space="preserve"> identified ways in which </w:t>
      </w:r>
      <w:r w:rsidR="00925D70" w:rsidRPr="00BF2CE5">
        <w:rPr>
          <w:sz w:val="22"/>
          <w:szCs w:val="22"/>
          <w:shd w:val="clear" w:color="auto" w:fill="FFFFFF"/>
        </w:rPr>
        <w:t>students</w:t>
      </w:r>
      <w:r w:rsidR="00A36D8A" w:rsidRPr="00BF2CE5">
        <w:rPr>
          <w:sz w:val="22"/>
          <w:szCs w:val="22"/>
          <w:shd w:val="clear" w:color="auto" w:fill="FFFFFF"/>
        </w:rPr>
        <w:t xml:space="preserve"> who</w:t>
      </w:r>
      <w:r w:rsidR="00925D70" w:rsidRPr="00BF2CE5">
        <w:rPr>
          <w:sz w:val="22"/>
          <w:szCs w:val="22"/>
          <w:shd w:val="clear" w:color="auto" w:fill="FFFFFF"/>
        </w:rPr>
        <w:t xml:space="preserve"> faced uncertainty with exten</w:t>
      </w:r>
      <w:r w:rsidR="00A36D8A" w:rsidRPr="00BF2CE5">
        <w:rPr>
          <w:sz w:val="22"/>
          <w:szCs w:val="22"/>
          <w:shd w:val="clear" w:color="auto" w:fill="FFFFFF"/>
        </w:rPr>
        <w:t xml:space="preserve">ded expressions of reflexivity could </w:t>
      </w:r>
      <w:r w:rsidR="00925D70" w:rsidRPr="00BF2CE5">
        <w:rPr>
          <w:sz w:val="22"/>
          <w:szCs w:val="22"/>
          <w:shd w:val="clear" w:color="auto" w:fill="FFFFFF"/>
        </w:rPr>
        <w:t>flourish as learners</w:t>
      </w:r>
      <w:r w:rsidR="003A4E10" w:rsidRPr="00BF2CE5">
        <w:rPr>
          <w:sz w:val="22"/>
          <w:szCs w:val="22"/>
          <w:shd w:val="clear" w:color="auto" w:fill="FFFFFF"/>
        </w:rPr>
        <w:t>, with this study</w:t>
      </w:r>
      <w:r w:rsidR="008243AC" w:rsidRPr="00BF2CE5">
        <w:rPr>
          <w:sz w:val="22"/>
          <w:szCs w:val="22"/>
          <w:shd w:val="clear" w:color="auto" w:fill="FFFFFF"/>
        </w:rPr>
        <w:t xml:space="preserve"> also suggesting that responding to required tasks with restricted forms of reflexive deliberation led to weaker student engagement in learning. </w:t>
      </w:r>
      <w:r w:rsidR="00A36D8A" w:rsidRPr="00BF2CE5">
        <w:rPr>
          <w:sz w:val="22"/>
          <w:szCs w:val="22"/>
          <w:shd w:val="clear" w:color="auto" w:fill="FFFFFF"/>
        </w:rPr>
        <w:t xml:space="preserve">Kahn </w:t>
      </w:r>
      <w:r w:rsidR="0003247B" w:rsidRPr="00BF2CE5">
        <w:rPr>
          <w:sz w:val="22"/>
          <w:szCs w:val="22"/>
          <w:shd w:val="clear" w:color="auto" w:fill="FFFFFF"/>
        </w:rPr>
        <w:t xml:space="preserve">et al. </w:t>
      </w:r>
      <w:r w:rsidR="004C4735" w:rsidRPr="00BF2CE5">
        <w:rPr>
          <w:sz w:val="22"/>
          <w:szCs w:val="22"/>
          <w:shd w:val="clear" w:color="auto" w:fill="FFFFFF"/>
        </w:rPr>
        <w:t>(2017</w:t>
      </w:r>
      <w:r w:rsidR="00A36D8A" w:rsidRPr="00BF2CE5">
        <w:rPr>
          <w:sz w:val="22"/>
          <w:szCs w:val="22"/>
          <w:shd w:val="clear" w:color="auto" w:fill="FFFFFF"/>
        </w:rPr>
        <w:t xml:space="preserve">) specifically identified a relationship between the richness of the reflexive life of the students in the study and their capacity to exercise agency </w:t>
      </w:r>
      <w:r w:rsidR="00A7642A" w:rsidRPr="00BF2CE5">
        <w:rPr>
          <w:sz w:val="22"/>
          <w:szCs w:val="22"/>
          <w:shd w:val="clear" w:color="auto" w:fill="FFFFFF"/>
        </w:rPr>
        <w:t>as le</w:t>
      </w:r>
      <w:r w:rsidR="008243AC" w:rsidRPr="00BF2CE5">
        <w:rPr>
          <w:sz w:val="22"/>
          <w:szCs w:val="22"/>
          <w:shd w:val="clear" w:color="auto" w:fill="FFFFFF"/>
        </w:rPr>
        <w:t xml:space="preserve">arners. The reflexive deliberations apparent in this study </w:t>
      </w:r>
      <w:r w:rsidR="00A7642A" w:rsidRPr="00BF2CE5">
        <w:rPr>
          <w:sz w:val="22"/>
          <w:szCs w:val="22"/>
          <w:shd w:val="clear" w:color="auto" w:fill="FFFFFF"/>
        </w:rPr>
        <w:t>were seen to cross</w:t>
      </w:r>
      <w:r w:rsidR="008243AC" w:rsidRPr="00BF2CE5">
        <w:rPr>
          <w:sz w:val="22"/>
          <w:szCs w:val="22"/>
          <w:shd w:val="clear" w:color="auto" w:fill="FFFFFF"/>
        </w:rPr>
        <w:t xml:space="preserve"> all </w:t>
      </w:r>
      <w:r w:rsidR="00A36D8A" w:rsidRPr="00BF2CE5">
        <w:rPr>
          <w:sz w:val="22"/>
          <w:szCs w:val="22"/>
          <w:shd w:val="clear" w:color="auto" w:fill="FFFFFF"/>
        </w:rPr>
        <w:t>of Archer’s characteristics modes of reflexivity</w:t>
      </w:r>
      <w:r w:rsidR="008243AC" w:rsidRPr="00BF2CE5">
        <w:rPr>
          <w:sz w:val="22"/>
          <w:szCs w:val="22"/>
          <w:shd w:val="clear" w:color="auto" w:fill="FFFFFF"/>
        </w:rPr>
        <w:t xml:space="preserve"> </w:t>
      </w:r>
      <w:r w:rsidR="002A4C59" w:rsidRPr="00BF2CE5">
        <w:rPr>
          <w:noProof/>
          <w:sz w:val="22"/>
          <w:szCs w:val="22"/>
          <w:shd w:val="clear" w:color="auto" w:fill="FFFFFF"/>
        </w:rPr>
        <w:t>(</w:t>
      </w:r>
      <w:r w:rsidR="00A804AE" w:rsidRPr="00BF2CE5">
        <w:rPr>
          <w:noProof/>
          <w:sz w:val="22"/>
          <w:szCs w:val="22"/>
          <w:shd w:val="clear" w:color="auto" w:fill="FFFFFF"/>
        </w:rPr>
        <w:t>Archer 2007)</w:t>
      </w:r>
      <w:r w:rsidR="00A36D8A" w:rsidRPr="00BF2CE5">
        <w:rPr>
          <w:sz w:val="22"/>
          <w:szCs w:val="22"/>
          <w:shd w:val="clear" w:color="auto" w:fill="FFFFFF"/>
        </w:rPr>
        <w:t xml:space="preserve">, with students </w:t>
      </w:r>
      <w:r w:rsidR="00A7642A" w:rsidRPr="00BF2CE5">
        <w:rPr>
          <w:sz w:val="22"/>
          <w:szCs w:val="22"/>
          <w:shd w:val="clear" w:color="auto" w:fill="FFFFFF"/>
        </w:rPr>
        <w:t>at times al</w:t>
      </w:r>
      <w:r w:rsidR="00A36D8A" w:rsidRPr="00BF2CE5">
        <w:rPr>
          <w:sz w:val="22"/>
          <w:szCs w:val="22"/>
          <w:shd w:val="clear" w:color="auto" w:fill="FFFFFF"/>
        </w:rPr>
        <w:t>so exhibiti</w:t>
      </w:r>
      <w:r w:rsidR="008243AC" w:rsidRPr="00BF2CE5">
        <w:rPr>
          <w:sz w:val="22"/>
          <w:szCs w:val="22"/>
          <w:shd w:val="clear" w:color="auto" w:fill="FFFFFF"/>
        </w:rPr>
        <w:t xml:space="preserve">ng reflexive deliberations </w:t>
      </w:r>
      <w:r w:rsidR="00A36D8A" w:rsidRPr="00BF2CE5">
        <w:rPr>
          <w:sz w:val="22"/>
          <w:szCs w:val="22"/>
          <w:shd w:val="clear" w:color="auto" w:fill="FFFFFF"/>
        </w:rPr>
        <w:t>linked to an a</w:t>
      </w:r>
      <w:r w:rsidR="008243AC" w:rsidRPr="00BF2CE5">
        <w:rPr>
          <w:sz w:val="22"/>
          <w:szCs w:val="22"/>
          <w:shd w:val="clear" w:color="auto" w:fill="FFFFFF"/>
        </w:rPr>
        <w:t xml:space="preserve">bsence of agency. </w:t>
      </w:r>
    </w:p>
    <w:p w14:paraId="4DB3AA11" w14:textId="77777777" w:rsidR="003A4E10" w:rsidRPr="00BF2CE5" w:rsidRDefault="00BB6F50" w:rsidP="00BF2CE5">
      <w:pPr>
        <w:spacing w:after="60"/>
        <w:ind w:firstLine="720"/>
        <w:rPr>
          <w:sz w:val="22"/>
          <w:szCs w:val="22"/>
          <w:shd w:val="clear" w:color="auto" w:fill="FFFFFF"/>
        </w:rPr>
      </w:pPr>
      <w:r w:rsidRPr="00BF2CE5">
        <w:rPr>
          <w:sz w:val="22"/>
          <w:szCs w:val="22"/>
          <w:shd w:val="clear" w:color="auto" w:fill="FFFFFF"/>
        </w:rPr>
        <w:t>Education places significant demands on one’s capacity to engage in reflexive deliberation</w:t>
      </w:r>
      <w:r w:rsidR="005118AD" w:rsidRPr="00BF2CE5">
        <w:rPr>
          <w:sz w:val="22"/>
          <w:szCs w:val="22"/>
          <w:shd w:val="clear" w:color="auto" w:fill="FFFFFF"/>
        </w:rPr>
        <w:t xml:space="preserve">. Dealing with uncertainty is as integral part of education, as evident in considering how best to respond to a question posed by a tutor, pondering on how to shape an essay, deciding on which lines of enquiry to pursue during a project, and so on – as well as in making sense of the troublesome knowledge that disciplines incorporate within them </w:t>
      </w:r>
      <w:r w:rsidR="005118AD" w:rsidRPr="00BF2CE5">
        <w:rPr>
          <w:noProof/>
          <w:sz w:val="22"/>
          <w:szCs w:val="22"/>
          <w:shd w:val="clear" w:color="auto" w:fill="FFFFFF"/>
        </w:rPr>
        <w:t>(Perkins 2006)</w:t>
      </w:r>
      <w:r w:rsidR="005118AD" w:rsidRPr="00BF2CE5">
        <w:rPr>
          <w:sz w:val="22"/>
          <w:szCs w:val="22"/>
          <w:shd w:val="clear" w:color="auto" w:fill="FFFFFF"/>
        </w:rPr>
        <w:t xml:space="preserve">. </w:t>
      </w:r>
      <w:r w:rsidR="00A36D8A" w:rsidRPr="00BF2CE5">
        <w:rPr>
          <w:sz w:val="22"/>
          <w:szCs w:val="22"/>
          <w:shd w:val="clear" w:color="auto" w:fill="FFFFFF"/>
        </w:rPr>
        <w:t>Significant growth is typically required if one is to develop the capacity for reflexive deliberation that will enabl</w:t>
      </w:r>
      <w:r w:rsidR="003A4E10" w:rsidRPr="00BF2CE5">
        <w:rPr>
          <w:sz w:val="22"/>
          <w:szCs w:val="22"/>
          <w:shd w:val="clear" w:color="auto" w:fill="FFFFFF"/>
        </w:rPr>
        <w:t>e one to gain mastery of knowledge and to acquire expertise</w:t>
      </w:r>
      <w:r w:rsidR="00A36D8A" w:rsidRPr="00BF2CE5">
        <w:rPr>
          <w:sz w:val="22"/>
          <w:szCs w:val="22"/>
          <w:shd w:val="clear" w:color="auto" w:fill="FFFFFF"/>
        </w:rPr>
        <w:t>.</w:t>
      </w:r>
      <w:r w:rsidR="001A40E2" w:rsidRPr="00BF2CE5">
        <w:rPr>
          <w:sz w:val="22"/>
          <w:szCs w:val="22"/>
          <w:shd w:val="clear" w:color="auto" w:fill="FFFFFF"/>
        </w:rPr>
        <w:t xml:space="preserve"> </w:t>
      </w:r>
    </w:p>
    <w:p w14:paraId="38E84A42" w14:textId="77777777" w:rsidR="003A4E10" w:rsidRPr="00BF2CE5" w:rsidRDefault="005D21D5" w:rsidP="00BF2CE5">
      <w:pPr>
        <w:spacing w:after="60"/>
        <w:ind w:firstLine="720"/>
        <w:rPr>
          <w:sz w:val="22"/>
          <w:szCs w:val="22"/>
          <w:shd w:val="clear" w:color="auto" w:fill="FFFFFF"/>
        </w:rPr>
      </w:pPr>
      <w:r w:rsidRPr="00BF2CE5">
        <w:rPr>
          <w:sz w:val="22"/>
          <w:szCs w:val="22"/>
          <w:shd w:val="clear" w:color="auto" w:fill="FFFFFF"/>
        </w:rPr>
        <w:t>Given the central role taken by reflexivity in shaping agency, c</w:t>
      </w:r>
      <w:r w:rsidR="00A7642A" w:rsidRPr="00BF2CE5">
        <w:rPr>
          <w:sz w:val="22"/>
          <w:szCs w:val="22"/>
          <w:shd w:val="clear" w:color="auto" w:fill="FFFFFF"/>
        </w:rPr>
        <w:t xml:space="preserve">hange in one’s capacity to engage in reflexive deliberation represents a central feature of any morphogenesis of agency. </w:t>
      </w:r>
      <w:r w:rsidR="001A40E2" w:rsidRPr="00BF2CE5">
        <w:rPr>
          <w:sz w:val="22"/>
          <w:szCs w:val="22"/>
          <w:shd w:val="clear" w:color="auto" w:fill="FFFFFF"/>
        </w:rPr>
        <w:t xml:space="preserve">It must be noted, though, that one speaks of the morphogenesis of agency most properly where that agency takes expressions that are </w:t>
      </w:r>
      <w:r w:rsidR="00473FAA" w:rsidRPr="00BF2CE5">
        <w:rPr>
          <w:sz w:val="22"/>
          <w:szCs w:val="22"/>
          <w:shd w:val="clear" w:color="auto" w:fill="FFFFFF"/>
        </w:rPr>
        <w:t xml:space="preserve">both </w:t>
      </w:r>
      <w:r w:rsidR="001A40E2" w:rsidRPr="00BF2CE5">
        <w:rPr>
          <w:sz w:val="22"/>
          <w:szCs w:val="22"/>
          <w:shd w:val="clear" w:color="auto" w:fill="FFFFFF"/>
        </w:rPr>
        <w:t xml:space="preserve">freely chosen and </w:t>
      </w:r>
      <w:r w:rsidR="00473FAA" w:rsidRPr="00BF2CE5">
        <w:rPr>
          <w:sz w:val="22"/>
          <w:szCs w:val="22"/>
          <w:shd w:val="clear" w:color="auto" w:fill="FFFFFF"/>
        </w:rPr>
        <w:t>in employed in the service of ends that are not simply framed by others</w:t>
      </w:r>
      <w:r w:rsidR="001C7A33" w:rsidRPr="00BF2CE5">
        <w:rPr>
          <w:sz w:val="22"/>
          <w:szCs w:val="22"/>
          <w:shd w:val="clear" w:color="auto" w:fill="FFFFFF"/>
        </w:rPr>
        <w:t xml:space="preserve">. </w:t>
      </w:r>
      <w:r w:rsidR="004B1CE3" w:rsidRPr="00BF2CE5">
        <w:rPr>
          <w:sz w:val="22"/>
          <w:szCs w:val="22"/>
          <w:shd w:val="clear" w:color="auto" w:fill="FFFFFF"/>
        </w:rPr>
        <w:t>T</w:t>
      </w:r>
      <w:r w:rsidR="00473FAA" w:rsidRPr="00BF2CE5">
        <w:rPr>
          <w:sz w:val="22"/>
          <w:szCs w:val="22"/>
          <w:shd w:val="clear" w:color="auto" w:fill="FFFFFF"/>
        </w:rPr>
        <w:t>he capacity to entertain multifacete</w:t>
      </w:r>
      <w:r w:rsidR="004B1CE3" w:rsidRPr="00BF2CE5">
        <w:rPr>
          <w:sz w:val="22"/>
          <w:szCs w:val="22"/>
          <w:shd w:val="clear" w:color="auto" w:fill="FFFFFF"/>
        </w:rPr>
        <w:t xml:space="preserve">d reflexive deliberations </w:t>
      </w:r>
      <w:r w:rsidR="00473FAA" w:rsidRPr="00BF2CE5">
        <w:rPr>
          <w:sz w:val="22"/>
          <w:szCs w:val="22"/>
          <w:shd w:val="clear" w:color="auto" w:fill="FFFFFF"/>
        </w:rPr>
        <w:t>provide</w:t>
      </w:r>
      <w:r w:rsidR="004B1CE3" w:rsidRPr="00BF2CE5">
        <w:rPr>
          <w:sz w:val="22"/>
          <w:szCs w:val="22"/>
          <w:shd w:val="clear" w:color="auto" w:fill="FFFFFF"/>
        </w:rPr>
        <w:t xml:space="preserve">s a basis on which to </w:t>
      </w:r>
      <w:r w:rsidR="00391E22" w:rsidRPr="00BF2CE5">
        <w:rPr>
          <w:sz w:val="22"/>
          <w:szCs w:val="22"/>
          <w:shd w:val="clear" w:color="auto" w:fill="FFFFFF"/>
        </w:rPr>
        <w:t xml:space="preserve">determine the ends that are to be </w:t>
      </w:r>
      <w:r w:rsidR="00473FAA" w:rsidRPr="00BF2CE5">
        <w:rPr>
          <w:sz w:val="22"/>
          <w:szCs w:val="22"/>
          <w:shd w:val="clear" w:color="auto" w:fill="FFFFFF"/>
        </w:rPr>
        <w:t>pursue</w:t>
      </w:r>
      <w:r w:rsidR="00391E22" w:rsidRPr="00BF2CE5">
        <w:rPr>
          <w:sz w:val="22"/>
          <w:szCs w:val="22"/>
          <w:shd w:val="clear" w:color="auto" w:fill="FFFFFF"/>
        </w:rPr>
        <w:t>d</w:t>
      </w:r>
      <w:r w:rsidR="00473FAA" w:rsidRPr="00BF2CE5">
        <w:rPr>
          <w:sz w:val="22"/>
          <w:szCs w:val="22"/>
          <w:shd w:val="clear" w:color="auto" w:fill="FFFFFF"/>
        </w:rPr>
        <w:t>.</w:t>
      </w:r>
      <w:r w:rsidR="00A7642A" w:rsidRPr="00BF2CE5">
        <w:rPr>
          <w:sz w:val="22"/>
          <w:szCs w:val="22"/>
          <w:shd w:val="clear" w:color="auto" w:fill="FFFFFF"/>
        </w:rPr>
        <w:t xml:space="preserve"> Refl</w:t>
      </w:r>
      <w:r w:rsidR="008C1388" w:rsidRPr="00BF2CE5">
        <w:rPr>
          <w:sz w:val="22"/>
          <w:szCs w:val="22"/>
          <w:shd w:val="clear" w:color="auto" w:fill="FFFFFF"/>
        </w:rPr>
        <w:t xml:space="preserve">exivity that crosses into the criticality typical of meta-reflexivity, that engages with others through an openness to communicative reflexivity and that also maintains a close connection to the optimisation of practice in autonomous reflexivity constitutes a seed-bed for morphogenesis. </w:t>
      </w:r>
    </w:p>
    <w:p w14:paraId="6D877D24" w14:textId="35C02F38" w:rsidR="00473FAA" w:rsidRPr="00BF2CE5" w:rsidRDefault="008C1388" w:rsidP="00BF2CE5">
      <w:pPr>
        <w:spacing w:after="60"/>
        <w:ind w:firstLine="720"/>
        <w:rPr>
          <w:sz w:val="22"/>
          <w:szCs w:val="22"/>
          <w:shd w:val="clear" w:color="auto" w:fill="FFFFFF"/>
        </w:rPr>
      </w:pPr>
      <w:r w:rsidRPr="00BF2CE5">
        <w:rPr>
          <w:sz w:val="22"/>
          <w:szCs w:val="22"/>
          <w:shd w:val="clear" w:color="auto" w:fill="FFFFFF"/>
        </w:rPr>
        <w:t xml:space="preserve">If educators were </w:t>
      </w:r>
      <w:r w:rsidR="00A7642A" w:rsidRPr="00BF2CE5">
        <w:rPr>
          <w:sz w:val="22"/>
          <w:szCs w:val="22"/>
          <w:shd w:val="clear" w:color="auto" w:fill="FFFFFF"/>
        </w:rPr>
        <w:t xml:space="preserve">in some way </w:t>
      </w:r>
      <w:r w:rsidRPr="00BF2CE5">
        <w:rPr>
          <w:sz w:val="22"/>
          <w:szCs w:val="22"/>
          <w:shd w:val="clear" w:color="auto" w:fill="FFFFFF"/>
        </w:rPr>
        <w:t>to mandate a rich reflexive life</w:t>
      </w:r>
      <w:r w:rsidR="00A7642A" w:rsidRPr="00BF2CE5">
        <w:rPr>
          <w:sz w:val="22"/>
          <w:szCs w:val="22"/>
          <w:shd w:val="clear" w:color="auto" w:fill="FFFFFF"/>
        </w:rPr>
        <w:t xml:space="preserve"> on the part of their students</w:t>
      </w:r>
      <w:r w:rsidR="005C5AAA" w:rsidRPr="00BF2CE5">
        <w:rPr>
          <w:sz w:val="22"/>
          <w:szCs w:val="22"/>
          <w:shd w:val="clear" w:color="auto" w:fill="FFFFFF"/>
        </w:rPr>
        <w:t xml:space="preserve"> </w:t>
      </w:r>
      <w:r w:rsidR="007C0646" w:rsidRPr="00BF2CE5">
        <w:rPr>
          <w:sz w:val="22"/>
          <w:szCs w:val="22"/>
          <w:shd w:val="clear" w:color="auto" w:fill="FFFFFF"/>
        </w:rPr>
        <w:t>through requiring an engagement in particular tasks and interactions,</w:t>
      </w:r>
      <w:r w:rsidR="003A4E10" w:rsidRPr="00BF2CE5">
        <w:rPr>
          <w:sz w:val="22"/>
          <w:szCs w:val="22"/>
          <w:shd w:val="clear" w:color="auto" w:fill="FFFFFF"/>
        </w:rPr>
        <w:t xml:space="preserve"> however,</w:t>
      </w:r>
      <w:r w:rsidR="007C0646" w:rsidRPr="00BF2CE5">
        <w:rPr>
          <w:sz w:val="22"/>
          <w:szCs w:val="22"/>
          <w:shd w:val="clear" w:color="auto" w:fill="FFFFFF"/>
        </w:rPr>
        <w:t xml:space="preserve"> </w:t>
      </w:r>
      <w:r w:rsidRPr="00BF2CE5">
        <w:rPr>
          <w:sz w:val="22"/>
          <w:szCs w:val="22"/>
          <w:shd w:val="clear" w:color="auto" w:fill="FFFFFF"/>
        </w:rPr>
        <w:t xml:space="preserve">it would be inadequate to describe this simply as a morphostatic </w:t>
      </w:r>
      <w:r w:rsidR="008243AC" w:rsidRPr="00BF2CE5">
        <w:rPr>
          <w:sz w:val="22"/>
          <w:szCs w:val="22"/>
          <w:shd w:val="clear" w:color="auto" w:fill="FFFFFF"/>
        </w:rPr>
        <w:t xml:space="preserve">educational </w:t>
      </w:r>
      <w:r w:rsidRPr="00BF2CE5">
        <w:rPr>
          <w:sz w:val="22"/>
          <w:szCs w:val="22"/>
          <w:shd w:val="clear" w:color="auto" w:fill="FFFFFF"/>
        </w:rPr>
        <w:t>scenario.</w:t>
      </w:r>
      <w:r w:rsidR="0060049D" w:rsidRPr="00BF2CE5">
        <w:rPr>
          <w:sz w:val="22"/>
          <w:szCs w:val="22"/>
          <w:shd w:val="clear" w:color="auto" w:fill="FFFFFF"/>
        </w:rPr>
        <w:t xml:space="preserve"> If the free choice of the individual is integral to emancipation, as Bhaskar (1993) suggests, then the means by which this choice is exercised (i.e. reflex</w:t>
      </w:r>
      <w:r w:rsidR="00F91D4F" w:rsidRPr="00BF2CE5">
        <w:rPr>
          <w:sz w:val="22"/>
          <w:szCs w:val="22"/>
          <w:shd w:val="clear" w:color="auto" w:fill="FFFFFF"/>
        </w:rPr>
        <w:t>ivity) is central to any subsequent morphogenesis</w:t>
      </w:r>
      <w:r w:rsidR="0060049D" w:rsidRPr="00BF2CE5">
        <w:rPr>
          <w:sz w:val="22"/>
          <w:szCs w:val="22"/>
          <w:shd w:val="clear" w:color="auto" w:fill="FFFFFF"/>
        </w:rPr>
        <w:t>.</w:t>
      </w:r>
      <w:r w:rsidR="00333174" w:rsidRPr="00BF2CE5">
        <w:rPr>
          <w:sz w:val="22"/>
          <w:szCs w:val="22"/>
          <w:shd w:val="clear" w:color="auto" w:fill="FFFFFF"/>
        </w:rPr>
        <w:t xml:space="preserve"> A more fully morphostatic scenario would be one in which a narrow reflexive life was in evidence</w:t>
      </w:r>
      <w:r w:rsidR="00F712A1" w:rsidRPr="00BF2CE5">
        <w:rPr>
          <w:sz w:val="22"/>
          <w:szCs w:val="22"/>
          <w:shd w:val="clear" w:color="auto" w:fill="FFFFFF"/>
        </w:rPr>
        <w:t xml:space="preserve"> as well</w:t>
      </w:r>
      <w:r w:rsidR="00897820" w:rsidRPr="00BF2CE5">
        <w:rPr>
          <w:sz w:val="22"/>
          <w:szCs w:val="22"/>
          <w:shd w:val="clear" w:color="auto" w:fill="FFFFFF"/>
        </w:rPr>
        <w:t xml:space="preserve">, leaving little prospect of </w:t>
      </w:r>
      <w:r w:rsidR="005078C3" w:rsidRPr="00BF2CE5">
        <w:rPr>
          <w:sz w:val="22"/>
          <w:szCs w:val="22"/>
          <w:shd w:val="clear" w:color="auto" w:fill="FFFFFF"/>
        </w:rPr>
        <w:t xml:space="preserve">escaping the framings of </w:t>
      </w:r>
      <w:r w:rsidR="005D3822" w:rsidRPr="00BF2CE5">
        <w:rPr>
          <w:sz w:val="22"/>
          <w:szCs w:val="22"/>
          <w:shd w:val="clear" w:color="auto" w:fill="FFFFFF"/>
        </w:rPr>
        <w:t>other</w:t>
      </w:r>
      <w:r w:rsidR="005078C3" w:rsidRPr="00BF2CE5">
        <w:rPr>
          <w:sz w:val="22"/>
          <w:szCs w:val="22"/>
          <w:shd w:val="clear" w:color="auto" w:fill="FFFFFF"/>
        </w:rPr>
        <w:t>s</w:t>
      </w:r>
      <w:r w:rsidR="00333174" w:rsidRPr="00BF2CE5">
        <w:rPr>
          <w:sz w:val="22"/>
          <w:szCs w:val="22"/>
          <w:shd w:val="clear" w:color="auto" w:fill="FFFFFF"/>
        </w:rPr>
        <w:t>.</w:t>
      </w:r>
      <w:r w:rsidRPr="00BF2CE5">
        <w:rPr>
          <w:sz w:val="22"/>
          <w:szCs w:val="22"/>
          <w:shd w:val="clear" w:color="auto" w:fill="FFFFFF"/>
        </w:rPr>
        <w:t xml:space="preserve"> </w:t>
      </w:r>
      <w:r w:rsidR="00473FAA" w:rsidRPr="00BF2CE5">
        <w:rPr>
          <w:sz w:val="22"/>
          <w:szCs w:val="22"/>
          <w:shd w:val="clear" w:color="auto" w:fill="FFFFFF"/>
        </w:rPr>
        <w:t xml:space="preserve">When one considers </w:t>
      </w:r>
      <w:r w:rsidR="005078C3" w:rsidRPr="00BF2CE5">
        <w:rPr>
          <w:sz w:val="22"/>
          <w:szCs w:val="22"/>
          <w:shd w:val="clear" w:color="auto" w:fill="FFFFFF"/>
        </w:rPr>
        <w:t xml:space="preserve">the </w:t>
      </w:r>
      <w:r w:rsidR="00473FAA" w:rsidRPr="00BF2CE5">
        <w:rPr>
          <w:sz w:val="22"/>
          <w:szCs w:val="22"/>
          <w:shd w:val="clear" w:color="auto" w:fill="FFFFFF"/>
        </w:rPr>
        <w:t>morphogenesis</w:t>
      </w:r>
      <w:r w:rsidR="005078C3" w:rsidRPr="00BF2CE5">
        <w:rPr>
          <w:sz w:val="22"/>
          <w:szCs w:val="22"/>
          <w:shd w:val="clear" w:color="auto" w:fill="FFFFFF"/>
        </w:rPr>
        <w:t xml:space="preserve"> and morphostasis of</w:t>
      </w:r>
      <w:r w:rsidR="00473FAA" w:rsidRPr="00BF2CE5">
        <w:rPr>
          <w:sz w:val="22"/>
          <w:szCs w:val="22"/>
          <w:shd w:val="clear" w:color="auto" w:fill="FFFFFF"/>
        </w:rPr>
        <w:t xml:space="preserve"> agency</w:t>
      </w:r>
      <w:r w:rsidR="0060049D" w:rsidRPr="00BF2CE5">
        <w:rPr>
          <w:sz w:val="22"/>
          <w:szCs w:val="22"/>
          <w:shd w:val="clear" w:color="auto" w:fill="FFFFFF"/>
        </w:rPr>
        <w:t xml:space="preserve"> </w:t>
      </w:r>
      <w:r w:rsidR="005078C3" w:rsidRPr="00BF2CE5">
        <w:rPr>
          <w:sz w:val="22"/>
          <w:szCs w:val="22"/>
          <w:shd w:val="clear" w:color="auto" w:fill="FFFFFF"/>
        </w:rPr>
        <w:t xml:space="preserve">rather than that of social </w:t>
      </w:r>
      <w:r w:rsidR="0060049D" w:rsidRPr="00BF2CE5">
        <w:rPr>
          <w:sz w:val="22"/>
          <w:szCs w:val="22"/>
          <w:shd w:val="clear" w:color="auto" w:fill="FFFFFF"/>
        </w:rPr>
        <w:t>structure</w:t>
      </w:r>
      <w:r w:rsidR="00473FAA" w:rsidRPr="00BF2CE5">
        <w:rPr>
          <w:sz w:val="22"/>
          <w:szCs w:val="22"/>
          <w:shd w:val="clear" w:color="auto" w:fill="FFFFFF"/>
        </w:rPr>
        <w:t>, it</w:t>
      </w:r>
      <w:r w:rsidRPr="00BF2CE5">
        <w:rPr>
          <w:sz w:val="22"/>
          <w:szCs w:val="22"/>
          <w:shd w:val="clear" w:color="auto" w:fill="FFFFFF"/>
        </w:rPr>
        <w:t xml:space="preserve"> is not possible to retain </w:t>
      </w:r>
      <w:r w:rsidR="00473FAA" w:rsidRPr="00BF2CE5">
        <w:rPr>
          <w:sz w:val="22"/>
          <w:szCs w:val="22"/>
          <w:shd w:val="clear" w:color="auto" w:fill="FFFFFF"/>
        </w:rPr>
        <w:t xml:space="preserve">as sharp </w:t>
      </w:r>
      <w:r w:rsidRPr="00BF2CE5">
        <w:rPr>
          <w:sz w:val="22"/>
          <w:szCs w:val="22"/>
          <w:shd w:val="clear" w:color="auto" w:fill="FFFFFF"/>
        </w:rPr>
        <w:t>a separation</w:t>
      </w:r>
      <w:r w:rsidR="00473FAA" w:rsidRPr="00BF2CE5">
        <w:rPr>
          <w:sz w:val="22"/>
          <w:szCs w:val="22"/>
          <w:shd w:val="clear" w:color="auto" w:fill="FFFFFF"/>
        </w:rPr>
        <w:t xml:space="preserve"> between the two categories as Archer</w:t>
      </w:r>
      <w:r w:rsidR="00B43B50" w:rsidRPr="00BF2CE5">
        <w:rPr>
          <w:sz w:val="22"/>
          <w:szCs w:val="22"/>
          <w:shd w:val="clear" w:color="auto" w:fill="FFFFFF"/>
        </w:rPr>
        <w:t xml:space="preserve"> </w:t>
      </w:r>
      <w:r w:rsidR="00A804AE" w:rsidRPr="00BF2CE5">
        <w:rPr>
          <w:noProof/>
          <w:sz w:val="22"/>
          <w:szCs w:val="22"/>
          <w:shd w:val="clear" w:color="auto" w:fill="FFFFFF"/>
        </w:rPr>
        <w:t>(1995)</w:t>
      </w:r>
      <w:r w:rsidR="00B460F3" w:rsidRPr="00BF2CE5">
        <w:rPr>
          <w:noProof/>
          <w:sz w:val="22"/>
          <w:szCs w:val="22"/>
          <w:shd w:val="clear" w:color="auto" w:fill="FFFFFF"/>
        </w:rPr>
        <w:t xml:space="preserve"> might</w:t>
      </w:r>
      <w:r w:rsidR="004D0DD8" w:rsidRPr="00BF2CE5">
        <w:rPr>
          <w:sz w:val="22"/>
          <w:szCs w:val="22"/>
          <w:shd w:val="clear" w:color="auto" w:fill="FFFFFF"/>
        </w:rPr>
        <w:t xml:space="preserve"> suggest</w:t>
      </w:r>
      <w:r w:rsidR="00473FAA" w:rsidRPr="00BF2CE5">
        <w:rPr>
          <w:sz w:val="22"/>
          <w:szCs w:val="22"/>
          <w:shd w:val="clear" w:color="auto" w:fill="FFFFFF"/>
        </w:rPr>
        <w:t xml:space="preserve">. </w:t>
      </w:r>
    </w:p>
    <w:p w14:paraId="15C4E6BC" w14:textId="77777777" w:rsidR="00764EAC" w:rsidRPr="00BF2CE5" w:rsidRDefault="00764EAC" w:rsidP="00BF2CE5">
      <w:pPr>
        <w:spacing w:after="60"/>
        <w:ind w:firstLine="720"/>
        <w:rPr>
          <w:sz w:val="22"/>
          <w:szCs w:val="22"/>
          <w:shd w:val="clear" w:color="auto" w:fill="FFFFFF"/>
        </w:rPr>
      </w:pPr>
    </w:p>
    <w:p w14:paraId="6EC85B02" w14:textId="77777777" w:rsidR="00764EAC" w:rsidRPr="00BF2CE5" w:rsidRDefault="00764EAC" w:rsidP="00BF2CE5">
      <w:pPr>
        <w:spacing w:after="60"/>
        <w:rPr>
          <w:b/>
          <w:i/>
          <w:sz w:val="22"/>
          <w:szCs w:val="22"/>
        </w:rPr>
      </w:pPr>
      <w:r w:rsidRPr="00BF2CE5">
        <w:rPr>
          <w:b/>
          <w:i/>
          <w:sz w:val="22"/>
          <w:szCs w:val="22"/>
        </w:rPr>
        <w:t>Reflexivity and cultural structures</w:t>
      </w:r>
    </w:p>
    <w:p w14:paraId="32E9487E" w14:textId="19BE6DC3" w:rsidR="002F7132" w:rsidRPr="00BF2CE5" w:rsidRDefault="00764EAC" w:rsidP="00BF2CE5">
      <w:pPr>
        <w:spacing w:after="60"/>
        <w:rPr>
          <w:rFonts w:eastAsia="Times New Roman"/>
          <w:sz w:val="22"/>
          <w:szCs w:val="22"/>
        </w:rPr>
      </w:pPr>
      <w:r w:rsidRPr="00BF2CE5">
        <w:rPr>
          <w:sz w:val="22"/>
          <w:szCs w:val="22"/>
        </w:rPr>
        <w:t xml:space="preserve">Case (2015b) observed that curricular knowledge, the immediate cultural structure in play as far as students are concerned, is a particularly significant influence on teaching-learning interactions. She suggested that curriculum </w:t>
      </w:r>
      <w:r w:rsidRPr="00BF2CE5">
        <w:rPr>
          <w:rFonts w:eastAsia="Times New Roman"/>
          <w:sz w:val="22"/>
          <w:szCs w:val="22"/>
        </w:rPr>
        <w:t xml:space="preserve">operates as the key facet of the structural and cultural conditioning that shapes the environment within which learning occurs, with agency exercised in relation to the constraints imposed by the curriculum. </w:t>
      </w:r>
    </w:p>
    <w:p w14:paraId="7B48CB8F" w14:textId="7F9DEBCA" w:rsidR="00373DC9" w:rsidRPr="00BF2CE5" w:rsidRDefault="00764EAC" w:rsidP="00BF2CE5">
      <w:pPr>
        <w:spacing w:after="60"/>
        <w:ind w:firstLine="720"/>
        <w:rPr>
          <w:sz w:val="22"/>
          <w:szCs w:val="22"/>
        </w:rPr>
      </w:pPr>
      <w:r w:rsidRPr="00BF2CE5">
        <w:rPr>
          <w:rFonts w:eastAsia="Times New Roman"/>
          <w:sz w:val="22"/>
          <w:szCs w:val="22"/>
        </w:rPr>
        <w:t>It is important to emphasise, though, that c</w:t>
      </w:r>
      <w:r w:rsidRPr="00BF2CE5">
        <w:rPr>
          <w:sz w:val="22"/>
          <w:szCs w:val="22"/>
        </w:rPr>
        <w:t xml:space="preserve">ultural structures provide a focus for the reflexivity of students. Archer </w:t>
      </w:r>
      <w:r w:rsidRPr="00BF2CE5">
        <w:rPr>
          <w:noProof/>
          <w:sz w:val="22"/>
          <w:szCs w:val="22"/>
        </w:rPr>
        <w:t>(2003)</w:t>
      </w:r>
      <w:r w:rsidRPr="00BF2CE5">
        <w:rPr>
          <w:sz w:val="22"/>
          <w:szCs w:val="22"/>
        </w:rPr>
        <w:t xml:space="preserve"> included</w:t>
      </w:r>
      <w:r w:rsidR="004C37DC" w:rsidRPr="00BF2CE5">
        <w:rPr>
          <w:sz w:val="22"/>
          <w:szCs w:val="22"/>
        </w:rPr>
        <w:t xml:space="preserve"> scope for reflexivity bend back upo</w:t>
      </w:r>
      <w:r w:rsidRPr="00BF2CE5">
        <w:rPr>
          <w:sz w:val="22"/>
          <w:szCs w:val="22"/>
        </w:rPr>
        <w:t>n ideas, but the emphasis in her account remains on reflexive deliberation in relation to one’s place in society. Given that cultural stru</w:t>
      </w:r>
      <w:r w:rsidR="004C37DC" w:rsidRPr="00BF2CE5">
        <w:rPr>
          <w:sz w:val="22"/>
          <w:szCs w:val="22"/>
        </w:rPr>
        <w:t>ctures are constituted on</w:t>
      </w:r>
      <w:r w:rsidRPr="00BF2CE5">
        <w:rPr>
          <w:sz w:val="22"/>
          <w:szCs w:val="22"/>
        </w:rPr>
        <w:t xml:space="preserve"> an ideational basis </w:t>
      </w:r>
      <w:r w:rsidRPr="00BF2CE5">
        <w:rPr>
          <w:noProof/>
          <w:sz w:val="22"/>
          <w:szCs w:val="22"/>
        </w:rPr>
        <w:t>(Archer 1996)</w:t>
      </w:r>
      <w:r w:rsidRPr="00BF2CE5">
        <w:rPr>
          <w:sz w:val="22"/>
          <w:szCs w:val="22"/>
        </w:rPr>
        <w:t xml:space="preserve">, one can refer to reflexivity that is focused on knowledge as ideational. Students deliberate on cultural artefacts as an integral way of identifying or prioritising concerns as learners, and progressing educational actions and practices. </w:t>
      </w:r>
      <w:r w:rsidR="004C37DC" w:rsidRPr="00BF2CE5">
        <w:rPr>
          <w:sz w:val="22"/>
          <w:szCs w:val="22"/>
        </w:rPr>
        <w:t xml:space="preserve">This incorporates a mastery of the knowledge base and expertise associated with the discipline or profession that forms the object of study. </w:t>
      </w:r>
    </w:p>
    <w:p w14:paraId="57F0C7DA" w14:textId="77777777" w:rsidR="00832F9C" w:rsidRPr="00BF2CE5" w:rsidRDefault="00764EAC" w:rsidP="00BF2CE5">
      <w:pPr>
        <w:spacing w:after="60"/>
        <w:ind w:firstLine="720"/>
        <w:rPr>
          <w:sz w:val="22"/>
          <w:szCs w:val="22"/>
        </w:rPr>
      </w:pPr>
      <w:r w:rsidRPr="00BF2CE5">
        <w:rPr>
          <w:sz w:val="22"/>
          <w:szCs w:val="22"/>
        </w:rPr>
        <w:t>There is a parallel here with the way in which Archer (2003) characterised communicative reflexivity, in which subjects only engage in courses of action after sharing their reflexive deliberations with others. It is true, nonetheless, that ideational reflexivity is closely allied to autonomous reflexivity, given the role that knowledge plays in optimising practice. And it remains the case that ideational reflexivity in the setting of higher education is inherently open to interactions with others, given the challenges entailed in both making sense for the first time of ideas and in framing (socially-constrained) activity that is predicat</w:t>
      </w:r>
      <w:r w:rsidR="00832F9C" w:rsidRPr="00BF2CE5">
        <w:rPr>
          <w:sz w:val="22"/>
          <w:szCs w:val="22"/>
        </w:rPr>
        <w:t>ed on those ideas. O</w:t>
      </w:r>
      <w:r w:rsidRPr="00BF2CE5">
        <w:rPr>
          <w:sz w:val="22"/>
          <w:szCs w:val="22"/>
        </w:rPr>
        <w:t xml:space="preserve">verlap also potentially exists between ideational reflexivity and meta-reflexivity, given the role that cultural structures can play in identifying undesirable aspects within a context (a critique that is an essential element of meta-reflexivity). </w:t>
      </w:r>
      <w:r w:rsidR="00832F9C" w:rsidRPr="00BF2CE5">
        <w:rPr>
          <w:sz w:val="22"/>
          <w:szCs w:val="22"/>
        </w:rPr>
        <w:t xml:space="preserve">Learning is inherently open to a richly-varied reflexive deliberation.  </w:t>
      </w:r>
    </w:p>
    <w:p w14:paraId="17585689" w14:textId="476A1C71" w:rsidR="00764EAC" w:rsidRPr="00BF2CE5" w:rsidRDefault="00832F9C" w:rsidP="00BF2CE5">
      <w:pPr>
        <w:spacing w:after="60"/>
        <w:ind w:firstLine="720"/>
        <w:rPr>
          <w:sz w:val="22"/>
          <w:szCs w:val="22"/>
        </w:rPr>
      </w:pPr>
      <w:r w:rsidRPr="00BF2CE5">
        <w:rPr>
          <w:sz w:val="22"/>
          <w:szCs w:val="22"/>
        </w:rPr>
        <w:t>Furthermore, t</w:t>
      </w:r>
      <w:r w:rsidR="00373DC9" w:rsidRPr="00BF2CE5">
        <w:rPr>
          <w:sz w:val="22"/>
          <w:szCs w:val="22"/>
        </w:rPr>
        <w:t xml:space="preserve">he choice of topics for a syllabus and the way in which teaching-learning interactions frame one’s </w:t>
      </w:r>
      <w:r w:rsidRPr="00BF2CE5">
        <w:rPr>
          <w:sz w:val="22"/>
          <w:szCs w:val="22"/>
        </w:rPr>
        <w:t>attention upon those topics</w:t>
      </w:r>
      <w:r w:rsidR="00373DC9" w:rsidRPr="00BF2CE5">
        <w:rPr>
          <w:sz w:val="22"/>
          <w:szCs w:val="22"/>
        </w:rPr>
        <w:t xml:space="preserve"> closely affects the nature of the reflexive deliberation undertaken while learning. </w:t>
      </w:r>
      <w:r w:rsidR="009027A8" w:rsidRPr="00BF2CE5">
        <w:rPr>
          <w:sz w:val="22"/>
          <w:szCs w:val="22"/>
        </w:rPr>
        <w:t>Whether a teacher closes down uncertainty or models a form of critique in relation to curricular knowledge during a teaching-learning interacti</w:t>
      </w:r>
      <w:r w:rsidRPr="00BF2CE5">
        <w:rPr>
          <w:sz w:val="22"/>
          <w:szCs w:val="22"/>
        </w:rPr>
        <w:t xml:space="preserve">on will affect whether or not </w:t>
      </w:r>
      <w:r w:rsidR="009027A8" w:rsidRPr="00BF2CE5">
        <w:rPr>
          <w:sz w:val="22"/>
          <w:szCs w:val="22"/>
        </w:rPr>
        <w:t>student</w:t>
      </w:r>
      <w:r w:rsidRPr="00BF2CE5">
        <w:rPr>
          <w:sz w:val="22"/>
          <w:szCs w:val="22"/>
        </w:rPr>
        <w:t>s begin to master</w:t>
      </w:r>
      <w:r w:rsidR="009027A8" w:rsidRPr="00BF2CE5">
        <w:rPr>
          <w:sz w:val="22"/>
          <w:szCs w:val="22"/>
        </w:rPr>
        <w:t xml:space="preserve"> new mode</w:t>
      </w:r>
      <w:r w:rsidRPr="00BF2CE5">
        <w:rPr>
          <w:sz w:val="22"/>
          <w:szCs w:val="22"/>
        </w:rPr>
        <w:t>s</w:t>
      </w:r>
      <w:r w:rsidR="009027A8" w:rsidRPr="00BF2CE5">
        <w:rPr>
          <w:sz w:val="22"/>
          <w:szCs w:val="22"/>
        </w:rPr>
        <w:t xml:space="preserve"> of reflexivity for themselv</w:t>
      </w:r>
      <w:r w:rsidR="00CE573D" w:rsidRPr="00BF2CE5">
        <w:rPr>
          <w:sz w:val="22"/>
          <w:szCs w:val="22"/>
        </w:rPr>
        <w:t>es</w:t>
      </w:r>
      <w:r w:rsidR="009027A8" w:rsidRPr="00BF2CE5">
        <w:rPr>
          <w:sz w:val="22"/>
          <w:szCs w:val="22"/>
        </w:rPr>
        <w:t xml:space="preserve">. </w:t>
      </w:r>
      <w:r w:rsidR="00373DC9" w:rsidRPr="00BF2CE5">
        <w:rPr>
          <w:sz w:val="22"/>
          <w:szCs w:val="22"/>
        </w:rPr>
        <w:t>These curric</w:t>
      </w:r>
      <w:r w:rsidRPr="00BF2CE5">
        <w:rPr>
          <w:sz w:val="22"/>
          <w:szCs w:val="22"/>
        </w:rPr>
        <w:t>ular and pedagogic choices constitute an integral aspect</w:t>
      </w:r>
      <w:r w:rsidR="00373DC9" w:rsidRPr="00BF2CE5">
        <w:rPr>
          <w:sz w:val="22"/>
          <w:szCs w:val="22"/>
        </w:rPr>
        <w:t xml:space="preserve"> of the generative mechanism that affects how student agency changes its form over time. </w:t>
      </w:r>
    </w:p>
    <w:p w14:paraId="1A198FE1" w14:textId="0CCB9F7B" w:rsidR="00764EAC" w:rsidRPr="00BF2CE5" w:rsidRDefault="00764EAC" w:rsidP="00BF2CE5">
      <w:pPr>
        <w:spacing w:after="60"/>
        <w:rPr>
          <w:sz w:val="22"/>
          <w:szCs w:val="22"/>
        </w:rPr>
      </w:pPr>
      <w:r w:rsidRPr="00BF2CE5">
        <w:rPr>
          <w:sz w:val="22"/>
          <w:szCs w:val="22"/>
        </w:rPr>
        <w:tab/>
      </w:r>
      <w:r w:rsidR="00CE573D" w:rsidRPr="00BF2CE5">
        <w:rPr>
          <w:sz w:val="22"/>
          <w:szCs w:val="22"/>
        </w:rPr>
        <w:t>S</w:t>
      </w:r>
      <w:r w:rsidRPr="00BF2CE5">
        <w:rPr>
          <w:sz w:val="22"/>
          <w:szCs w:val="22"/>
        </w:rPr>
        <w:t xml:space="preserve">tudents are only </w:t>
      </w:r>
      <w:r w:rsidR="00CE573D" w:rsidRPr="00BF2CE5">
        <w:rPr>
          <w:sz w:val="22"/>
          <w:szCs w:val="22"/>
        </w:rPr>
        <w:t>able to flourish as learners</w:t>
      </w:r>
      <w:r w:rsidRPr="00BF2CE5">
        <w:rPr>
          <w:sz w:val="22"/>
          <w:szCs w:val="22"/>
        </w:rPr>
        <w:t xml:space="preserve"> in so far as they are able to master the ideational demands of their discipline or area of study. Education that downplays these ideational demands, as Wheelahan </w:t>
      </w:r>
      <w:r w:rsidRPr="00BF2CE5">
        <w:rPr>
          <w:noProof/>
          <w:sz w:val="22"/>
          <w:szCs w:val="22"/>
        </w:rPr>
        <w:t>(2012)</w:t>
      </w:r>
      <w:r w:rsidR="00C9093F" w:rsidRPr="00BF2CE5">
        <w:rPr>
          <w:sz w:val="22"/>
          <w:szCs w:val="22"/>
        </w:rPr>
        <w:t xml:space="preserve"> has claimed </w:t>
      </w:r>
      <w:r w:rsidRPr="00BF2CE5">
        <w:rPr>
          <w:sz w:val="22"/>
          <w:szCs w:val="22"/>
        </w:rPr>
        <w:t>in relation to curricula that prioritise generic skills and work-relevant knowledge above theoretical knowledge, effectively cuts away the basis for the individual to exercise agen</w:t>
      </w:r>
      <w:r w:rsidR="00CE573D" w:rsidRPr="00BF2CE5">
        <w:rPr>
          <w:sz w:val="22"/>
          <w:szCs w:val="22"/>
        </w:rPr>
        <w:t>cy</w:t>
      </w:r>
      <w:r w:rsidRPr="00BF2CE5">
        <w:rPr>
          <w:sz w:val="22"/>
          <w:szCs w:val="22"/>
        </w:rPr>
        <w:t>.</w:t>
      </w:r>
      <w:r w:rsidR="000701CB" w:rsidRPr="00BF2CE5">
        <w:rPr>
          <w:sz w:val="22"/>
          <w:szCs w:val="22"/>
        </w:rPr>
        <w:t xml:space="preserve"> There is more than one way to frame any given discipline, as critiques grounded in postcolonial studies have made clear </w:t>
      </w:r>
      <w:r w:rsidR="000701CB" w:rsidRPr="00BF2CE5">
        <w:rPr>
          <w:noProof/>
          <w:sz w:val="22"/>
          <w:szCs w:val="22"/>
        </w:rPr>
        <w:t>(Loomba 2015)</w:t>
      </w:r>
      <w:r w:rsidR="000701CB" w:rsidRPr="00BF2CE5">
        <w:rPr>
          <w:sz w:val="22"/>
          <w:szCs w:val="22"/>
        </w:rPr>
        <w:t>.  A</w:t>
      </w:r>
      <w:r w:rsidRPr="00BF2CE5">
        <w:rPr>
          <w:sz w:val="22"/>
          <w:szCs w:val="22"/>
        </w:rPr>
        <w:t>gency is</w:t>
      </w:r>
      <w:r w:rsidR="000701CB" w:rsidRPr="00BF2CE5">
        <w:rPr>
          <w:sz w:val="22"/>
          <w:szCs w:val="22"/>
        </w:rPr>
        <w:t>, nonetheless,</w:t>
      </w:r>
      <w:r w:rsidRPr="00BF2CE5">
        <w:rPr>
          <w:sz w:val="22"/>
          <w:szCs w:val="22"/>
        </w:rPr>
        <w:t xml:space="preserve"> exercised in different ways across different disciplines</w:t>
      </w:r>
      <w:r w:rsidR="003A48B4" w:rsidRPr="00BF2CE5">
        <w:rPr>
          <w:sz w:val="22"/>
          <w:szCs w:val="22"/>
        </w:rPr>
        <w:t>, posing varied reflexive demands upon students</w:t>
      </w:r>
      <w:r w:rsidRPr="00BF2CE5">
        <w:rPr>
          <w:sz w:val="22"/>
          <w:szCs w:val="22"/>
        </w:rPr>
        <w:t xml:space="preserve">. </w:t>
      </w:r>
      <w:r w:rsidR="00B23CA1" w:rsidRPr="00BF2CE5">
        <w:rPr>
          <w:sz w:val="22"/>
          <w:szCs w:val="22"/>
        </w:rPr>
        <w:t>Bernstein (2000) argued</w:t>
      </w:r>
      <w:r w:rsidR="003A48B4" w:rsidRPr="00BF2CE5">
        <w:rPr>
          <w:sz w:val="22"/>
          <w:szCs w:val="22"/>
        </w:rPr>
        <w:t xml:space="preserve">, for instance, that the sciences are </w:t>
      </w:r>
      <w:r w:rsidR="00875158" w:rsidRPr="00BF2CE5">
        <w:rPr>
          <w:sz w:val="22"/>
          <w:szCs w:val="22"/>
        </w:rPr>
        <w:t xml:space="preserve">hierarchically-constituted, and </w:t>
      </w:r>
      <w:r w:rsidR="003A48B4" w:rsidRPr="00BF2CE5">
        <w:rPr>
          <w:sz w:val="22"/>
          <w:szCs w:val="22"/>
        </w:rPr>
        <w:t>characterised by theories that entail high levels of generality in order to integrate phenomena</w:t>
      </w:r>
      <w:r w:rsidR="00875158" w:rsidRPr="00BF2CE5">
        <w:rPr>
          <w:sz w:val="22"/>
          <w:szCs w:val="22"/>
        </w:rPr>
        <w:t xml:space="preserve">. In such disciplines if one it to progress as a learner, it is essential </w:t>
      </w:r>
      <w:r w:rsidRPr="00BF2CE5">
        <w:rPr>
          <w:sz w:val="22"/>
          <w:szCs w:val="22"/>
        </w:rPr>
        <w:t>to return to fundamental ideas that have not</w:t>
      </w:r>
      <w:r w:rsidR="00875158" w:rsidRPr="00BF2CE5">
        <w:rPr>
          <w:sz w:val="22"/>
          <w:szCs w:val="22"/>
        </w:rPr>
        <w:t xml:space="preserve"> been</w:t>
      </w:r>
      <w:r w:rsidRPr="00BF2CE5">
        <w:rPr>
          <w:sz w:val="22"/>
          <w:szCs w:val="22"/>
        </w:rPr>
        <w:t xml:space="preserve"> sufficiently</w:t>
      </w:r>
      <w:r w:rsidR="00875158" w:rsidRPr="00BF2CE5">
        <w:rPr>
          <w:sz w:val="22"/>
          <w:szCs w:val="22"/>
        </w:rPr>
        <w:t xml:space="preserve"> well</w:t>
      </w:r>
      <w:r w:rsidRPr="00BF2CE5">
        <w:rPr>
          <w:sz w:val="22"/>
          <w:szCs w:val="22"/>
        </w:rPr>
        <w:t xml:space="preserve"> understood as an integral aspect of how one en</w:t>
      </w:r>
      <w:r w:rsidR="00875158" w:rsidRPr="00BF2CE5">
        <w:rPr>
          <w:sz w:val="22"/>
          <w:szCs w:val="22"/>
        </w:rPr>
        <w:t>gages in ideational reflexivity</w:t>
      </w:r>
      <w:r w:rsidRPr="00BF2CE5">
        <w:rPr>
          <w:sz w:val="22"/>
          <w:szCs w:val="22"/>
        </w:rPr>
        <w:t xml:space="preserve">. </w:t>
      </w:r>
      <w:r w:rsidR="00875158" w:rsidRPr="00BF2CE5">
        <w:rPr>
          <w:sz w:val="22"/>
          <w:szCs w:val="22"/>
        </w:rPr>
        <w:t>Other</w:t>
      </w:r>
      <w:r w:rsidRPr="00BF2CE5">
        <w:rPr>
          <w:sz w:val="22"/>
          <w:szCs w:val="22"/>
        </w:rPr>
        <w:t xml:space="preserve"> disciplines, meanwhile, remain characteristically open to an incorporation of social critique, and thus to a meta-reflexive dimension. But even in disciplines for which social critique is less apparent, there remains scope to develop the capacity for meta-reflexivity in relation to learning and the framing of the discipline itself. </w:t>
      </w:r>
    </w:p>
    <w:p w14:paraId="18F17B2F" w14:textId="77777777" w:rsidR="00EF4FF9" w:rsidRPr="00BF2CE5" w:rsidRDefault="00EF4FF9" w:rsidP="00BF2CE5">
      <w:pPr>
        <w:spacing w:after="60"/>
        <w:rPr>
          <w:sz w:val="22"/>
          <w:szCs w:val="22"/>
          <w:shd w:val="clear" w:color="auto" w:fill="FFFFFF"/>
        </w:rPr>
      </w:pPr>
    </w:p>
    <w:p w14:paraId="16B508F2" w14:textId="77777777" w:rsidR="008C1388" w:rsidRPr="00BF2CE5" w:rsidRDefault="008C1388" w:rsidP="00BF2CE5">
      <w:pPr>
        <w:spacing w:after="60"/>
        <w:rPr>
          <w:rFonts w:eastAsia="Times New Roman"/>
          <w:b/>
          <w:i/>
          <w:sz w:val="22"/>
          <w:szCs w:val="22"/>
        </w:rPr>
      </w:pPr>
      <w:r w:rsidRPr="00BF2CE5">
        <w:rPr>
          <w:rFonts w:eastAsia="Times New Roman"/>
          <w:b/>
          <w:i/>
          <w:sz w:val="22"/>
          <w:szCs w:val="22"/>
        </w:rPr>
        <w:t>Agency through a collective lens</w:t>
      </w:r>
    </w:p>
    <w:p w14:paraId="37D5624D" w14:textId="47AA82C7" w:rsidR="008C1388" w:rsidRPr="00BF2CE5" w:rsidRDefault="00CA0119" w:rsidP="00BF2CE5">
      <w:pPr>
        <w:spacing w:after="60"/>
        <w:rPr>
          <w:sz w:val="22"/>
          <w:szCs w:val="22"/>
        </w:rPr>
      </w:pPr>
      <w:r w:rsidRPr="00BF2CE5">
        <w:rPr>
          <w:sz w:val="22"/>
          <w:szCs w:val="22"/>
        </w:rPr>
        <w:t xml:space="preserve">In focusing on the way that agency changes its shape over the period of a degree programme, it is important to bear in mind that morphogenesis of social structure itself entails corporate agency.  </w:t>
      </w:r>
      <w:r w:rsidR="008C1388" w:rsidRPr="00BF2CE5">
        <w:rPr>
          <w:sz w:val="22"/>
          <w:szCs w:val="22"/>
        </w:rPr>
        <w:t xml:space="preserve">Kahn (2014), furthermore, suggested that educational settings specifically include requirements for students </w:t>
      </w:r>
      <w:r w:rsidR="006A40C0" w:rsidRPr="00BF2CE5">
        <w:rPr>
          <w:sz w:val="22"/>
          <w:szCs w:val="22"/>
        </w:rPr>
        <w:t>to engage with tasks that incorporate</w:t>
      </w:r>
      <w:r w:rsidR="004D0DD8" w:rsidRPr="00BF2CE5">
        <w:rPr>
          <w:sz w:val="22"/>
          <w:szCs w:val="22"/>
        </w:rPr>
        <w:t xml:space="preserve"> a social dimension. In addition, students may be required to interact with others as an integral aspect of their education, whether in tutorials, seminars, lectures and so on.</w:t>
      </w:r>
      <w:r w:rsidR="008C1388" w:rsidRPr="00BF2CE5">
        <w:rPr>
          <w:sz w:val="22"/>
          <w:szCs w:val="22"/>
        </w:rPr>
        <w:t xml:space="preserve"> </w:t>
      </w:r>
      <w:r w:rsidR="004D0DD8" w:rsidRPr="00BF2CE5">
        <w:rPr>
          <w:sz w:val="22"/>
          <w:szCs w:val="22"/>
        </w:rPr>
        <w:t xml:space="preserve">The </w:t>
      </w:r>
      <w:r w:rsidR="005078C3" w:rsidRPr="00BF2CE5">
        <w:rPr>
          <w:sz w:val="22"/>
          <w:szCs w:val="22"/>
        </w:rPr>
        <w:t>agency of learners</w:t>
      </w:r>
      <w:r w:rsidR="008C1388" w:rsidRPr="00BF2CE5">
        <w:rPr>
          <w:sz w:val="22"/>
          <w:szCs w:val="22"/>
        </w:rPr>
        <w:t xml:space="preserve"> needs</w:t>
      </w:r>
      <w:r w:rsidR="005078C3" w:rsidRPr="00BF2CE5">
        <w:rPr>
          <w:sz w:val="22"/>
          <w:szCs w:val="22"/>
        </w:rPr>
        <w:t xml:space="preserve"> to be considered on a collective</w:t>
      </w:r>
      <w:r w:rsidR="008C1388" w:rsidRPr="00BF2CE5">
        <w:rPr>
          <w:sz w:val="22"/>
          <w:szCs w:val="22"/>
        </w:rPr>
        <w:t xml:space="preserve"> as well as an individual basis. </w:t>
      </w:r>
      <w:r w:rsidR="001C7A33" w:rsidRPr="00BF2CE5">
        <w:rPr>
          <w:rFonts w:eastAsia="Times New Roman"/>
          <w:sz w:val="22"/>
          <w:szCs w:val="22"/>
        </w:rPr>
        <w:t>T</w:t>
      </w:r>
      <w:r w:rsidR="008C1388" w:rsidRPr="00BF2CE5">
        <w:rPr>
          <w:rFonts w:eastAsia="Times New Roman"/>
          <w:sz w:val="22"/>
          <w:szCs w:val="22"/>
        </w:rPr>
        <w:t>he exercise of corporate agency</w:t>
      </w:r>
      <w:r w:rsidR="001C7A33" w:rsidRPr="00BF2CE5">
        <w:rPr>
          <w:rFonts w:eastAsia="Times New Roman"/>
          <w:sz w:val="22"/>
          <w:szCs w:val="22"/>
        </w:rPr>
        <w:t xml:space="preserve"> plays a particular role in the way</w:t>
      </w:r>
      <w:r w:rsidR="001C619A" w:rsidRPr="00BF2CE5">
        <w:rPr>
          <w:rFonts w:eastAsia="Times New Roman"/>
          <w:sz w:val="22"/>
          <w:szCs w:val="22"/>
        </w:rPr>
        <w:t xml:space="preserve"> that morphogenesis </w:t>
      </w:r>
      <w:r w:rsidR="001C7A33" w:rsidRPr="00BF2CE5">
        <w:rPr>
          <w:rFonts w:eastAsia="Times New Roman"/>
          <w:sz w:val="22"/>
          <w:szCs w:val="22"/>
        </w:rPr>
        <w:t>occur</w:t>
      </w:r>
      <w:r w:rsidR="001C619A" w:rsidRPr="00BF2CE5">
        <w:rPr>
          <w:rFonts w:eastAsia="Times New Roman"/>
          <w:sz w:val="22"/>
          <w:szCs w:val="22"/>
        </w:rPr>
        <w:t xml:space="preserve">s in the account offered by </w:t>
      </w:r>
      <w:r w:rsidR="001C7A33" w:rsidRPr="00BF2CE5">
        <w:rPr>
          <w:rFonts w:eastAsia="Times New Roman"/>
          <w:sz w:val="22"/>
          <w:szCs w:val="22"/>
        </w:rPr>
        <w:t xml:space="preserve">Archer (1995). </w:t>
      </w:r>
      <w:r w:rsidR="001C7A33" w:rsidRPr="00BF2CE5">
        <w:rPr>
          <w:sz w:val="22"/>
          <w:szCs w:val="22"/>
        </w:rPr>
        <w:t xml:space="preserve">Corporate agency is understood to refer to the way that agents join together in order to agree and promote mutual interests. It is focused on systemic change, whereby corporate groups change the structure of the system. </w:t>
      </w:r>
      <w:r w:rsidR="00526F1D" w:rsidRPr="00BF2CE5">
        <w:rPr>
          <w:sz w:val="22"/>
          <w:szCs w:val="22"/>
        </w:rPr>
        <w:t>This framing of agency</w:t>
      </w:r>
      <w:r w:rsidRPr="00BF2CE5">
        <w:rPr>
          <w:sz w:val="22"/>
          <w:szCs w:val="22"/>
        </w:rPr>
        <w:t xml:space="preserve"> extends beyond concern with</w:t>
      </w:r>
      <w:r w:rsidR="00E03784" w:rsidRPr="00BF2CE5">
        <w:rPr>
          <w:sz w:val="22"/>
          <w:szCs w:val="22"/>
        </w:rPr>
        <w:t xml:space="preserve"> the </w:t>
      </w:r>
      <w:r w:rsidR="00526F1D" w:rsidRPr="00BF2CE5">
        <w:rPr>
          <w:sz w:val="22"/>
          <w:szCs w:val="22"/>
        </w:rPr>
        <w:t>individual</w:t>
      </w:r>
      <w:r w:rsidR="00E03784" w:rsidRPr="00BF2CE5">
        <w:rPr>
          <w:sz w:val="22"/>
          <w:szCs w:val="22"/>
        </w:rPr>
        <w:t xml:space="preserve"> that </w:t>
      </w:r>
      <w:r w:rsidR="00E03784" w:rsidRPr="00BF2CE5">
        <w:rPr>
          <w:rFonts w:eastAsia="Times New Roman"/>
          <w:noProof/>
          <w:sz w:val="22"/>
          <w:szCs w:val="22"/>
        </w:rPr>
        <w:t xml:space="preserve">Wilson-Strydom and Walker (2015) </w:t>
      </w:r>
      <w:r w:rsidR="00E03784" w:rsidRPr="00BF2CE5">
        <w:rPr>
          <w:sz w:val="22"/>
          <w:szCs w:val="22"/>
        </w:rPr>
        <w:t>highlight</w:t>
      </w:r>
      <w:r w:rsidR="00962F53" w:rsidRPr="00BF2CE5">
        <w:rPr>
          <w:sz w:val="22"/>
          <w:szCs w:val="22"/>
        </w:rPr>
        <w:t>ed</w:t>
      </w:r>
      <w:r w:rsidR="00E03784" w:rsidRPr="00BF2CE5">
        <w:rPr>
          <w:sz w:val="22"/>
          <w:szCs w:val="22"/>
        </w:rPr>
        <w:t xml:space="preserve"> as characteristic of </w:t>
      </w:r>
      <w:r w:rsidR="00526F1D" w:rsidRPr="00BF2CE5">
        <w:rPr>
          <w:sz w:val="22"/>
          <w:szCs w:val="22"/>
        </w:rPr>
        <w:t xml:space="preserve">agency in </w:t>
      </w:r>
      <w:r w:rsidR="00E03784" w:rsidRPr="00BF2CE5">
        <w:rPr>
          <w:sz w:val="22"/>
          <w:szCs w:val="22"/>
        </w:rPr>
        <w:t>the capabilities approach</w:t>
      </w:r>
      <w:r w:rsidRPr="00BF2CE5">
        <w:rPr>
          <w:sz w:val="22"/>
          <w:szCs w:val="22"/>
        </w:rPr>
        <w:t>. It</w:t>
      </w:r>
      <w:r w:rsidR="00526F1D" w:rsidRPr="00BF2CE5">
        <w:rPr>
          <w:sz w:val="22"/>
          <w:szCs w:val="22"/>
        </w:rPr>
        <w:t xml:space="preserve"> </w:t>
      </w:r>
      <w:r w:rsidRPr="00BF2CE5">
        <w:rPr>
          <w:sz w:val="22"/>
          <w:szCs w:val="22"/>
        </w:rPr>
        <w:t xml:space="preserve">provides </w:t>
      </w:r>
      <w:r w:rsidR="00962F53" w:rsidRPr="00BF2CE5">
        <w:rPr>
          <w:sz w:val="22"/>
          <w:szCs w:val="22"/>
        </w:rPr>
        <w:t>a sharper focus than simply seeing individuals as agents</w:t>
      </w:r>
      <w:r w:rsidR="001C619A" w:rsidRPr="00BF2CE5">
        <w:rPr>
          <w:sz w:val="22"/>
          <w:szCs w:val="22"/>
        </w:rPr>
        <w:t xml:space="preserve"> operating</w:t>
      </w:r>
      <w:r w:rsidR="00962F53" w:rsidRPr="00BF2CE5">
        <w:rPr>
          <w:sz w:val="22"/>
          <w:szCs w:val="22"/>
        </w:rPr>
        <w:t xml:space="preserve"> within economic and social life. </w:t>
      </w:r>
      <w:r w:rsidR="001C7A33" w:rsidRPr="00BF2CE5">
        <w:rPr>
          <w:sz w:val="22"/>
          <w:szCs w:val="22"/>
        </w:rPr>
        <w:t xml:space="preserve">Archer (1995) contrasted </w:t>
      </w:r>
      <w:r w:rsidR="00526F1D" w:rsidRPr="00BF2CE5">
        <w:rPr>
          <w:sz w:val="22"/>
          <w:szCs w:val="22"/>
        </w:rPr>
        <w:t xml:space="preserve">corporate </w:t>
      </w:r>
      <w:r w:rsidR="001C7A33" w:rsidRPr="00BF2CE5">
        <w:rPr>
          <w:sz w:val="22"/>
          <w:szCs w:val="22"/>
        </w:rPr>
        <w:t>age</w:t>
      </w:r>
      <w:r w:rsidR="00962F53" w:rsidRPr="00BF2CE5">
        <w:rPr>
          <w:sz w:val="22"/>
          <w:szCs w:val="22"/>
        </w:rPr>
        <w:t>ncy with primary agency, in which</w:t>
      </w:r>
      <w:r w:rsidR="001C7A33" w:rsidRPr="00BF2CE5">
        <w:rPr>
          <w:sz w:val="22"/>
          <w:szCs w:val="22"/>
        </w:rPr>
        <w:t xml:space="preserve"> agents work</w:t>
      </w:r>
      <w:r w:rsidR="00962F53" w:rsidRPr="00BF2CE5">
        <w:rPr>
          <w:sz w:val="22"/>
          <w:szCs w:val="22"/>
        </w:rPr>
        <w:t xml:space="preserve"> w</w:t>
      </w:r>
      <w:r w:rsidR="001C7A33" w:rsidRPr="00BF2CE5">
        <w:rPr>
          <w:sz w:val="22"/>
          <w:szCs w:val="22"/>
        </w:rPr>
        <w:t xml:space="preserve">ithin existing systems. Primary agents are those who act within a system that is shaped by others, even in cases where they act together. </w:t>
      </w:r>
      <w:r w:rsidR="006951F4" w:rsidRPr="00BF2CE5">
        <w:rPr>
          <w:sz w:val="22"/>
          <w:szCs w:val="22"/>
        </w:rPr>
        <w:t>C</w:t>
      </w:r>
      <w:r w:rsidR="0034474F" w:rsidRPr="00BF2CE5">
        <w:rPr>
          <w:sz w:val="22"/>
          <w:szCs w:val="22"/>
        </w:rPr>
        <w:t>orporate agency may be evident in a range of settings within higher education, both within</w:t>
      </w:r>
      <w:r w:rsidR="006E56EB" w:rsidRPr="00BF2CE5">
        <w:rPr>
          <w:sz w:val="22"/>
          <w:szCs w:val="22"/>
        </w:rPr>
        <w:t xml:space="preserve"> </w:t>
      </w:r>
      <w:r w:rsidR="0034474F" w:rsidRPr="00BF2CE5">
        <w:rPr>
          <w:sz w:val="22"/>
          <w:szCs w:val="22"/>
        </w:rPr>
        <w:t xml:space="preserve">the </w:t>
      </w:r>
      <w:r w:rsidR="00BE262E" w:rsidRPr="00BF2CE5">
        <w:rPr>
          <w:sz w:val="22"/>
          <w:szCs w:val="22"/>
        </w:rPr>
        <w:t>curriculum and</w:t>
      </w:r>
      <w:r w:rsidR="0034474F" w:rsidRPr="00BF2CE5">
        <w:rPr>
          <w:sz w:val="22"/>
          <w:szCs w:val="22"/>
        </w:rPr>
        <w:t xml:space="preserve"> beyond it.</w:t>
      </w:r>
      <w:r w:rsidR="00BE262E" w:rsidRPr="00BF2CE5">
        <w:rPr>
          <w:sz w:val="22"/>
          <w:szCs w:val="22"/>
        </w:rPr>
        <w:t xml:space="preserve"> The curriculum is often too tightly framed to allow for corporate agency to occur</w:t>
      </w:r>
      <w:r w:rsidR="006951F4" w:rsidRPr="00BF2CE5">
        <w:rPr>
          <w:sz w:val="22"/>
          <w:szCs w:val="22"/>
        </w:rPr>
        <w:t xml:space="preserve"> as an integral aspect of student learning</w:t>
      </w:r>
      <w:r w:rsidR="00BE262E" w:rsidRPr="00BF2CE5">
        <w:rPr>
          <w:sz w:val="22"/>
          <w:szCs w:val="22"/>
        </w:rPr>
        <w:t>, but in rec</w:t>
      </w:r>
      <w:r w:rsidR="00B129B6" w:rsidRPr="00BF2CE5">
        <w:rPr>
          <w:sz w:val="22"/>
          <w:szCs w:val="22"/>
        </w:rPr>
        <w:t>ent times both the focus on research-based learning</w:t>
      </w:r>
      <w:r w:rsidR="009A68C0" w:rsidRPr="00BF2CE5">
        <w:rPr>
          <w:sz w:val="22"/>
          <w:szCs w:val="22"/>
        </w:rPr>
        <w:t xml:space="preserve"> </w:t>
      </w:r>
      <w:r w:rsidR="00571A78" w:rsidRPr="00BF2CE5">
        <w:rPr>
          <w:noProof/>
          <w:sz w:val="22"/>
          <w:szCs w:val="22"/>
        </w:rPr>
        <w:t>(Healey 2005)</w:t>
      </w:r>
      <w:r w:rsidR="00B129B6" w:rsidRPr="00BF2CE5">
        <w:rPr>
          <w:sz w:val="22"/>
          <w:szCs w:val="22"/>
        </w:rPr>
        <w:t xml:space="preserve"> and the</w:t>
      </w:r>
      <w:r w:rsidR="00BE262E" w:rsidRPr="00BF2CE5">
        <w:rPr>
          <w:sz w:val="22"/>
          <w:szCs w:val="22"/>
        </w:rPr>
        <w:t xml:space="preserve"> movement to promote students as partners in their education </w:t>
      </w:r>
      <w:r w:rsidR="00A804AE" w:rsidRPr="00BF2CE5">
        <w:rPr>
          <w:noProof/>
          <w:sz w:val="22"/>
          <w:szCs w:val="22"/>
        </w:rPr>
        <w:t>(Dickerson, Jarvis, and Stockwell 2016)</w:t>
      </w:r>
      <w:r w:rsidR="00B129B6" w:rsidRPr="00BF2CE5">
        <w:rPr>
          <w:noProof/>
          <w:sz w:val="22"/>
          <w:szCs w:val="22"/>
        </w:rPr>
        <w:t xml:space="preserve"> </w:t>
      </w:r>
      <w:r w:rsidR="00C9093F" w:rsidRPr="00BF2CE5">
        <w:rPr>
          <w:sz w:val="22"/>
          <w:szCs w:val="22"/>
        </w:rPr>
        <w:t>have</w:t>
      </w:r>
      <w:r w:rsidR="00B129B6" w:rsidRPr="00BF2CE5">
        <w:rPr>
          <w:sz w:val="22"/>
          <w:szCs w:val="22"/>
        </w:rPr>
        <w:t xml:space="preserve"> opened up a range of spaces in which students </w:t>
      </w:r>
      <w:r w:rsidR="00884938" w:rsidRPr="00BF2CE5">
        <w:rPr>
          <w:sz w:val="22"/>
          <w:szCs w:val="22"/>
        </w:rPr>
        <w:t xml:space="preserve">and staff can act together in </w:t>
      </w:r>
      <w:r w:rsidR="00B129B6" w:rsidRPr="00BF2CE5">
        <w:rPr>
          <w:sz w:val="22"/>
          <w:szCs w:val="22"/>
        </w:rPr>
        <w:t>framing education</w:t>
      </w:r>
      <w:r w:rsidR="00BE262E" w:rsidRPr="00BF2CE5">
        <w:rPr>
          <w:sz w:val="22"/>
          <w:szCs w:val="22"/>
        </w:rPr>
        <w:t>. Extra-curricular activity</w:t>
      </w:r>
      <w:r w:rsidR="005078C3" w:rsidRPr="00BF2CE5">
        <w:rPr>
          <w:sz w:val="22"/>
          <w:szCs w:val="22"/>
        </w:rPr>
        <w:t>, meanwhile, has long provided a focus for corporate agency</w:t>
      </w:r>
      <w:r w:rsidR="00BE262E" w:rsidRPr="00BF2CE5">
        <w:rPr>
          <w:sz w:val="22"/>
          <w:szCs w:val="22"/>
        </w:rPr>
        <w:t>, whether in the form of stude</w:t>
      </w:r>
      <w:r w:rsidR="005078C3" w:rsidRPr="00BF2CE5">
        <w:rPr>
          <w:sz w:val="22"/>
          <w:szCs w:val="22"/>
        </w:rPr>
        <w:t>nt protest movements or through student</w:t>
      </w:r>
      <w:r w:rsidR="00BE262E" w:rsidRPr="00BF2CE5">
        <w:rPr>
          <w:sz w:val="22"/>
          <w:szCs w:val="22"/>
        </w:rPr>
        <w:t xml:space="preserve"> associations, as Kahn</w:t>
      </w:r>
      <w:r w:rsidR="001A1107" w:rsidRPr="00BF2CE5">
        <w:rPr>
          <w:sz w:val="22"/>
          <w:szCs w:val="22"/>
        </w:rPr>
        <w:t xml:space="preserve"> </w:t>
      </w:r>
      <w:r w:rsidR="00A804AE" w:rsidRPr="00BF2CE5">
        <w:rPr>
          <w:noProof/>
          <w:sz w:val="22"/>
          <w:szCs w:val="22"/>
        </w:rPr>
        <w:t>(2017)</w:t>
      </w:r>
      <w:r w:rsidR="00BE262E" w:rsidRPr="00BF2CE5">
        <w:rPr>
          <w:sz w:val="22"/>
          <w:szCs w:val="22"/>
        </w:rPr>
        <w:t xml:space="preserve"> has noted. </w:t>
      </w:r>
    </w:p>
    <w:p w14:paraId="0260D2CB" w14:textId="4F7F99C9" w:rsidR="00C719B4" w:rsidRPr="00BF2CE5" w:rsidRDefault="008C1388" w:rsidP="00BF2CE5">
      <w:pPr>
        <w:spacing w:after="60"/>
        <w:ind w:firstLine="720"/>
        <w:rPr>
          <w:sz w:val="22"/>
          <w:szCs w:val="22"/>
          <w:shd w:val="clear" w:color="auto" w:fill="FFFFFF"/>
        </w:rPr>
      </w:pPr>
      <w:r w:rsidRPr="00BF2CE5">
        <w:rPr>
          <w:sz w:val="22"/>
          <w:szCs w:val="22"/>
        </w:rPr>
        <w:t>Kahn</w:t>
      </w:r>
      <w:r w:rsidR="0003247B" w:rsidRPr="00BF2CE5">
        <w:rPr>
          <w:sz w:val="22"/>
          <w:szCs w:val="22"/>
        </w:rPr>
        <w:t xml:space="preserve"> et al.</w:t>
      </w:r>
      <w:r w:rsidR="001A1107" w:rsidRPr="00BF2CE5">
        <w:rPr>
          <w:sz w:val="22"/>
          <w:szCs w:val="22"/>
        </w:rPr>
        <w:t xml:space="preserve"> </w:t>
      </w:r>
      <w:r w:rsidR="004C4735" w:rsidRPr="00BF2CE5">
        <w:rPr>
          <w:noProof/>
          <w:sz w:val="22"/>
          <w:szCs w:val="22"/>
        </w:rPr>
        <w:t>(2017</w:t>
      </w:r>
      <w:r w:rsidR="00A804AE" w:rsidRPr="00BF2CE5">
        <w:rPr>
          <w:noProof/>
          <w:sz w:val="22"/>
          <w:szCs w:val="22"/>
        </w:rPr>
        <w:t>)</w:t>
      </w:r>
      <w:r w:rsidRPr="00BF2CE5">
        <w:rPr>
          <w:sz w:val="22"/>
          <w:szCs w:val="22"/>
        </w:rPr>
        <w:t xml:space="preserve"> specifically saw ways in which the reflexivity exhibited by learners manifested a collective dimension,</w:t>
      </w:r>
      <w:r w:rsidR="001A1107" w:rsidRPr="00BF2CE5">
        <w:rPr>
          <w:sz w:val="22"/>
          <w:szCs w:val="22"/>
        </w:rPr>
        <w:t xml:space="preserve"> identifying this as an example of collective reflexivity.</w:t>
      </w:r>
      <w:r w:rsidR="00410D31" w:rsidRPr="00BF2CE5">
        <w:rPr>
          <w:sz w:val="22"/>
          <w:szCs w:val="22"/>
        </w:rPr>
        <w:t xml:space="preserve"> In such reflexivity, the parties to a social relation maintain a common orientation to the emergent effects of their relation together, even as each one engages in their own reflexive deliberations </w:t>
      </w:r>
      <w:r w:rsidR="00A804AE" w:rsidRPr="00BF2CE5">
        <w:rPr>
          <w:noProof/>
          <w:sz w:val="22"/>
          <w:szCs w:val="22"/>
        </w:rPr>
        <w:t>(Donati and Archer 2015)</w:t>
      </w:r>
      <w:r w:rsidR="00410D31" w:rsidRPr="00BF2CE5">
        <w:rPr>
          <w:sz w:val="22"/>
          <w:szCs w:val="22"/>
        </w:rPr>
        <w:t>.</w:t>
      </w:r>
      <w:r w:rsidR="00BE262E" w:rsidRPr="00BF2CE5">
        <w:rPr>
          <w:sz w:val="22"/>
          <w:szCs w:val="22"/>
        </w:rPr>
        <w:t xml:space="preserve"> This does not mean that the parties exhibit identical thoughts in some way, but that they are oriented together towards the products that eme</w:t>
      </w:r>
      <w:r w:rsidR="00884938" w:rsidRPr="00BF2CE5">
        <w:rPr>
          <w:sz w:val="22"/>
          <w:szCs w:val="22"/>
        </w:rPr>
        <w:t>rge from their relation</w:t>
      </w:r>
      <w:r w:rsidR="00BE262E" w:rsidRPr="00BF2CE5">
        <w:rPr>
          <w:sz w:val="22"/>
          <w:szCs w:val="22"/>
        </w:rPr>
        <w:t xml:space="preserve">. </w:t>
      </w:r>
      <w:r w:rsidR="00410D31" w:rsidRPr="00BF2CE5">
        <w:rPr>
          <w:sz w:val="22"/>
          <w:szCs w:val="22"/>
        </w:rPr>
        <w:t>The nature of the</w:t>
      </w:r>
      <w:r w:rsidR="000E4F44" w:rsidRPr="00BF2CE5">
        <w:rPr>
          <w:sz w:val="22"/>
          <w:szCs w:val="22"/>
        </w:rPr>
        <w:t xml:space="preserve"> insights</w:t>
      </w:r>
      <w:r w:rsidR="00410D31" w:rsidRPr="00BF2CE5">
        <w:rPr>
          <w:sz w:val="22"/>
          <w:szCs w:val="22"/>
        </w:rPr>
        <w:t xml:space="preserve"> that emerge as one learns</w:t>
      </w:r>
      <w:r w:rsidR="000E4F44" w:rsidRPr="00BF2CE5">
        <w:rPr>
          <w:sz w:val="22"/>
          <w:szCs w:val="22"/>
        </w:rPr>
        <w:t xml:space="preserve"> co</w:t>
      </w:r>
      <w:r w:rsidR="00410D31" w:rsidRPr="00BF2CE5">
        <w:rPr>
          <w:sz w:val="22"/>
          <w:szCs w:val="22"/>
        </w:rPr>
        <w:t xml:space="preserve">uld </w:t>
      </w:r>
      <w:r w:rsidR="000E4F44" w:rsidRPr="00BF2CE5">
        <w:rPr>
          <w:sz w:val="22"/>
          <w:szCs w:val="22"/>
        </w:rPr>
        <w:t>be framed in different ways. It might be the case that the</w:t>
      </w:r>
      <w:r w:rsidR="00DA12E3" w:rsidRPr="00BF2CE5">
        <w:rPr>
          <w:sz w:val="22"/>
          <w:szCs w:val="22"/>
        </w:rPr>
        <w:t xml:space="preserve">se insights </w:t>
      </w:r>
      <w:r w:rsidR="009B40E9" w:rsidRPr="00BF2CE5">
        <w:rPr>
          <w:sz w:val="22"/>
          <w:szCs w:val="22"/>
        </w:rPr>
        <w:t>r</w:t>
      </w:r>
      <w:r w:rsidR="00884938" w:rsidRPr="00BF2CE5">
        <w:rPr>
          <w:sz w:val="22"/>
          <w:szCs w:val="22"/>
        </w:rPr>
        <w:t>etain a narrow framing, as would</w:t>
      </w:r>
      <w:r w:rsidR="009B40E9" w:rsidRPr="00BF2CE5">
        <w:rPr>
          <w:sz w:val="22"/>
          <w:szCs w:val="22"/>
        </w:rPr>
        <w:t xml:space="preserve"> occur if th</w:t>
      </w:r>
      <w:r w:rsidR="00F91591" w:rsidRPr="00BF2CE5">
        <w:rPr>
          <w:sz w:val="22"/>
          <w:szCs w:val="22"/>
        </w:rPr>
        <w:t>eir horizon were to be limited</w:t>
      </w:r>
      <w:r w:rsidR="00884938" w:rsidRPr="00BF2CE5">
        <w:rPr>
          <w:sz w:val="22"/>
          <w:szCs w:val="22"/>
        </w:rPr>
        <w:t>,</w:t>
      </w:r>
      <w:r w:rsidR="00F91591" w:rsidRPr="00BF2CE5">
        <w:rPr>
          <w:sz w:val="22"/>
          <w:szCs w:val="22"/>
        </w:rPr>
        <w:t xml:space="preserve"> say</w:t>
      </w:r>
      <w:r w:rsidR="00884938" w:rsidRPr="00BF2CE5">
        <w:rPr>
          <w:sz w:val="22"/>
          <w:szCs w:val="22"/>
        </w:rPr>
        <w:t>,</w:t>
      </w:r>
      <w:r w:rsidR="00F91591" w:rsidRPr="00BF2CE5">
        <w:rPr>
          <w:sz w:val="22"/>
          <w:szCs w:val="22"/>
        </w:rPr>
        <w:t xml:space="preserve"> to developing the employability of their students. Or</w:t>
      </w:r>
      <w:r w:rsidR="009B40E9" w:rsidRPr="00BF2CE5">
        <w:rPr>
          <w:sz w:val="22"/>
          <w:szCs w:val="22"/>
        </w:rPr>
        <w:t xml:space="preserve"> it could be the case that </w:t>
      </w:r>
      <w:r w:rsidR="00CC7BDA" w:rsidRPr="00BF2CE5">
        <w:rPr>
          <w:sz w:val="22"/>
          <w:szCs w:val="22"/>
        </w:rPr>
        <w:t xml:space="preserve">an educational context is established with </w:t>
      </w:r>
      <w:r w:rsidR="009B40E9" w:rsidRPr="00BF2CE5">
        <w:rPr>
          <w:sz w:val="22"/>
          <w:szCs w:val="22"/>
        </w:rPr>
        <w:t xml:space="preserve">constraints </w:t>
      </w:r>
      <w:r w:rsidR="00CC7BDA" w:rsidRPr="00BF2CE5">
        <w:rPr>
          <w:sz w:val="22"/>
          <w:szCs w:val="22"/>
        </w:rPr>
        <w:t xml:space="preserve">that promote a </w:t>
      </w:r>
      <w:r w:rsidR="009B40E9" w:rsidRPr="00BF2CE5">
        <w:rPr>
          <w:sz w:val="22"/>
          <w:szCs w:val="22"/>
        </w:rPr>
        <w:t>collective reflexivit</w:t>
      </w:r>
      <w:r w:rsidR="003E5B47" w:rsidRPr="00BF2CE5">
        <w:rPr>
          <w:sz w:val="22"/>
          <w:szCs w:val="22"/>
        </w:rPr>
        <w:t>y</w:t>
      </w:r>
      <w:r w:rsidR="00CC7BDA" w:rsidRPr="00BF2CE5">
        <w:rPr>
          <w:sz w:val="22"/>
          <w:szCs w:val="22"/>
        </w:rPr>
        <w:t xml:space="preserve"> that is open to </w:t>
      </w:r>
      <w:r w:rsidR="003E5B47" w:rsidRPr="00BF2CE5">
        <w:rPr>
          <w:sz w:val="22"/>
          <w:szCs w:val="22"/>
        </w:rPr>
        <w:t>critique</w:t>
      </w:r>
      <w:r w:rsidR="00CC7BDA" w:rsidRPr="00BF2CE5">
        <w:rPr>
          <w:sz w:val="22"/>
          <w:szCs w:val="22"/>
        </w:rPr>
        <w:t xml:space="preserve"> on the part of students</w:t>
      </w:r>
      <w:r w:rsidR="003E5B47" w:rsidRPr="00BF2CE5">
        <w:rPr>
          <w:sz w:val="22"/>
          <w:szCs w:val="22"/>
        </w:rPr>
        <w:t xml:space="preserve">, </w:t>
      </w:r>
      <w:r w:rsidR="00CC7BDA" w:rsidRPr="00BF2CE5">
        <w:rPr>
          <w:sz w:val="22"/>
          <w:szCs w:val="22"/>
        </w:rPr>
        <w:t xml:space="preserve">and thus to meta-reflexivity. </w:t>
      </w:r>
      <w:r w:rsidR="003E5B47" w:rsidRPr="00BF2CE5">
        <w:rPr>
          <w:sz w:val="22"/>
          <w:szCs w:val="22"/>
        </w:rPr>
        <w:t xml:space="preserve">There is no immediate guarantee that collective reflexivity will lead to emancipation. </w:t>
      </w:r>
      <w:r w:rsidR="003E5B47" w:rsidRPr="00BF2CE5">
        <w:rPr>
          <w:sz w:val="22"/>
          <w:szCs w:val="22"/>
          <w:shd w:val="clear" w:color="auto" w:fill="FFFFFF"/>
        </w:rPr>
        <w:t xml:space="preserve">After all, </w:t>
      </w:r>
      <w:r w:rsidR="00345AD5" w:rsidRPr="00BF2CE5">
        <w:rPr>
          <w:sz w:val="22"/>
          <w:szCs w:val="22"/>
          <w:shd w:val="clear" w:color="auto" w:fill="FFFFFF"/>
        </w:rPr>
        <w:t>groups of learners often engage</w:t>
      </w:r>
      <w:r w:rsidR="003E5B47" w:rsidRPr="00BF2CE5">
        <w:rPr>
          <w:sz w:val="22"/>
          <w:szCs w:val="22"/>
          <w:shd w:val="clear" w:color="auto" w:fill="FFFFFF"/>
        </w:rPr>
        <w:t xml:space="preserve"> in activity that remains entirely framed by others. </w:t>
      </w:r>
      <w:r w:rsidR="00345AD5" w:rsidRPr="00BF2CE5">
        <w:rPr>
          <w:sz w:val="22"/>
          <w:szCs w:val="22"/>
          <w:shd w:val="clear" w:color="auto" w:fill="FFFFFF"/>
        </w:rPr>
        <w:t xml:space="preserve">Posthumanist approaches, meanwhile, </w:t>
      </w:r>
      <w:r w:rsidR="00C719B4" w:rsidRPr="00BF2CE5">
        <w:rPr>
          <w:sz w:val="22"/>
          <w:szCs w:val="22"/>
          <w:shd w:val="clear" w:color="auto" w:fill="FFFFFF"/>
        </w:rPr>
        <w:t xml:space="preserve">have </w:t>
      </w:r>
      <w:r w:rsidR="00CC7BDA" w:rsidRPr="00BF2CE5">
        <w:rPr>
          <w:sz w:val="22"/>
          <w:szCs w:val="22"/>
          <w:shd w:val="clear" w:color="auto" w:fill="FFFFFF"/>
        </w:rPr>
        <w:t>highlight</w:t>
      </w:r>
      <w:r w:rsidR="00C719B4" w:rsidRPr="00BF2CE5">
        <w:rPr>
          <w:sz w:val="22"/>
          <w:szCs w:val="22"/>
          <w:shd w:val="clear" w:color="auto" w:fill="FFFFFF"/>
        </w:rPr>
        <w:t xml:space="preserve">ed the </w:t>
      </w:r>
      <w:r w:rsidR="00B41855" w:rsidRPr="00BF2CE5">
        <w:rPr>
          <w:sz w:val="22"/>
          <w:szCs w:val="22"/>
          <w:shd w:val="clear" w:color="auto" w:fill="FFFFFF"/>
        </w:rPr>
        <w:t>absen</w:t>
      </w:r>
      <w:r w:rsidR="00C719B4" w:rsidRPr="00BF2CE5">
        <w:rPr>
          <w:sz w:val="22"/>
          <w:szCs w:val="22"/>
          <w:shd w:val="clear" w:color="auto" w:fill="FFFFFF"/>
        </w:rPr>
        <w:t xml:space="preserve">ce of attention to inter-subjectivity in pedagogy </w:t>
      </w:r>
      <w:r w:rsidR="00A804AE" w:rsidRPr="00BF2CE5">
        <w:rPr>
          <w:noProof/>
          <w:sz w:val="22"/>
          <w:szCs w:val="22"/>
          <w:shd w:val="clear" w:color="auto" w:fill="FFFFFF"/>
        </w:rPr>
        <w:t>(Edwards and Usher 2002)</w:t>
      </w:r>
      <w:r w:rsidR="00C719B4" w:rsidRPr="00BF2CE5">
        <w:rPr>
          <w:sz w:val="22"/>
          <w:szCs w:val="22"/>
          <w:shd w:val="clear" w:color="auto" w:fill="FFFFFF"/>
        </w:rPr>
        <w:t xml:space="preserve">, but framing education around </w:t>
      </w:r>
      <w:r w:rsidR="00345AD5" w:rsidRPr="00BF2CE5">
        <w:rPr>
          <w:sz w:val="22"/>
          <w:szCs w:val="22"/>
          <w:shd w:val="clear" w:color="auto" w:fill="FFFFFF"/>
        </w:rPr>
        <w:t xml:space="preserve">assemblages of the </w:t>
      </w:r>
      <w:r w:rsidR="00C719B4" w:rsidRPr="00BF2CE5">
        <w:rPr>
          <w:sz w:val="22"/>
          <w:szCs w:val="22"/>
          <w:shd w:val="clear" w:color="auto" w:fill="FFFFFF"/>
        </w:rPr>
        <w:t>human and the non-human downplays human responsibility for the direction taken by morphogenesis.</w:t>
      </w:r>
    </w:p>
    <w:p w14:paraId="180754B4" w14:textId="779AA993" w:rsidR="00F91D4F" w:rsidRPr="00BF2CE5" w:rsidRDefault="00CC7BDA" w:rsidP="00BF2CE5">
      <w:pPr>
        <w:spacing w:after="60"/>
        <w:ind w:firstLine="720"/>
        <w:rPr>
          <w:sz w:val="22"/>
          <w:szCs w:val="22"/>
        </w:rPr>
      </w:pPr>
      <w:r w:rsidRPr="00BF2CE5">
        <w:rPr>
          <w:sz w:val="22"/>
          <w:szCs w:val="22"/>
          <w:shd w:val="clear" w:color="auto" w:fill="FFFFFF"/>
        </w:rPr>
        <w:t xml:space="preserve">However, it </w:t>
      </w:r>
      <w:r w:rsidR="003E5B47" w:rsidRPr="00BF2CE5">
        <w:rPr>
          <w:sz w:val="22"/>
          <w:szCs w:val="22"/>
          <w:shd w:val="clear" w:color="auto" w:fill="FFFFFF"/>
        </w:rPr>
        <w:t>remain</w:t>
      </w:r>
      <w:r w:rsidRPr="00BF2CE5">
        <w:rPr>
          <w:sz w:val="22"/>
          <w:szCs w:val="22"/>
          <w:shd w:val="clear" w:color="auto" w:fill="FFFFFF"/>
        </w:rPr>
        <w:t>s</w:t>
      </w:r>
      <w:r w:rsidR="003E5B47" w:rsidRPr="00BF2CE5">
        <w:rPr>
          <w:sz w:val="22"/>
          <w:szCs w:val="22"/>
          <w:shd w:val="clear" w:color="auto" w:fill="FFFFFF"/>
        </w:rPr>
        <w:t xml:space="preserve"> the case tha</w:t>
      </w:r>
      <w:r w:rsidR="003E5B47" w:rsidRPr="00BF2CE5">
        <w:rPr>
          <w:sz w:val="22"/>
          <w:szCs w:val="22"/>
        </w:rPr>
        <w:t xml:space="preserve">t the capacity to engage in collective reflexivity and to pursue joint action with others is a pre-condition for </w:t>
      </w:r>
      <w:r w:rsidR="001813B6" w:rsidRPr="00BF2CE5">
        <w:rPr>
          <w:sz w:val="22"/>
          <w:szCs w:val="22"/>
        </w:rPr>
        <w:t xml:space="preserve">the </w:t>
      </w:r>
      <w:r w:rsidR="003E5B47" w:rsidRPr="00BF2CE5">
        <w:rPr>
          <w:sz w:val="22"/>
          <w:szCs w:val="22"/>
        </w:rPr>
        <w:t>morphogenesis</w:t>
      </w:r>
      <w:r w:rsidR="00A52333" w:rsidRPr="00BF2CE5">
        <w:rPr>
          <w:sz w:val="22"/>
          <w:szCs w:val="22"/>
        </w:rPr>
        <w:t xml:space="preserve"> of social structures</w:t>
      </w:r>
      <w:r w:rsidR="003E5B47" w:rsidRPr="00BF2CE5">
        <w:rPr>
          <w:sz w:val="22"/>
          <w:szCs w:val="22"/>
        </w:rPr>
        <w:t>.</w:t>
      </w:r>
      <w:r w:rsidR="009505E7" w:rsidRPr="00BF2CE5">
        <w:rPr>
          <w:sz w:val="22"/>
          <w:szCs w:val="22"/>
        </w:rPr>
        <w:t xml:space="preserve"> For Smith (2010)</w:t>
      </w:r>
      <w:r w:rsidR="001813B6" w:rsidRPr="00BF2CE5">
        <w:rPr>
          <w:sz w:val="22"/>
          <w:szCs w:val="22"/>
        </w:rPr>
        <w:t>,</w:t>
      </w:r>
      <w:r w:rsidR="009505E7" w:rsidRPr="00BF2CE5">
        <w:rPr>
          <w:sz w:val="22"/>
          <w:szCs w:val="22"/>
        </w:rPr>
        <w:t xml:space="preserve"> the</w:t>
      </w:r>
      <w:r w:rsidR="00AC41B6" w:rsidRPr="00BF2CE5">
        <w:rPr>
          <w:sz w:val="22"/>
          <w:szCs w:val="22"/>
        </w:rPr>
        <w:t xml:space="preserve"> capacity to act in concert with others c</w:t>
      </w:r>
      <w:r w:rsidR="00380E13" w:rsidRPr="00BF2CE5">
        <w:rPr>
          <w:sz w:val="22"/>
          <w:szCs w:val="22"/>
        </w:rPr>
        <w:t>onstitutes a central feature of what it mea</w:t>
      </w:r>
      <w:r w:rsidR="009505E7" w:rsidRPr="00BF2CE5">
        <w:rPr>
          <w:sz w:val="22"/>
          <w:szCs w:val="22"/>
        </w:rPr>
        <w:t>ns to be a person. O</w:t>
      </w:r>
      <w:r w:rsidR="00380E13" w:rsidRPr="00BF2CE5">
        <w:rPr>
          <w:sz w:val="22"/>
          <w:szCs w:val="22"/>
        </w:rPr>
        <w:t xml:space="preserve">ne flourishes as one supports the flourishing of others. </w:t>
      </w:r>
      <w:r w:rsidR="00AC41B6" w:rsidRPr="00BF2CE5">
        <w:rPr>
          <w:sz w:val="22"/>
          <w:szCs w:val="22"/>
        </w:rPr>
        <w:t>Bhaskar (1986) recognised that emancipatory action requires solidarity with others if a transformation of social structures is to occur, even if</w:t>
      </w:r>
      <w:r w:rsidR="009505E7" w:rsidRPr="00BF2CE5">
        <w:rPr>
          <w:sz w:val="22"/>
          <w:szCs w:val="22"/>
        </w:rPr>
        <w:t xml:space="preserve"> his account focused most directly on</w:t>
      </w:r>
      <w:r w:rsidR="00AC41B6" w:rsidRPr="00BF2CE5">
        <w:rPr>
          <w:sz w:val="22"/>
          <w:szCs w:val="22"/>
        </w:rPr>
        <w:t xml:space="preserve"> emancipation as a form of se</w:t>
      </w:r>
      <w:r w:rsidR="009505E7" w:rsidRPr="00BF2CE5">
        <w:rPr>
          <w:sz w:val="22"/>
          <w:szCs w:val="22"/>
        </w:rPr>
        <w:t xml:space="preserve">lf-determination. In commenting in this way on </w:t>
      </w:r>
      <w:r w:rsidR="00AC41B6" w:rsidRPr="00BF2CE5">
        <w:rPr>
          <w:sz w:val="22"/>
          <w:szCs w:val="22"/>
        </w:rPr>
        <w:t>Bhaskar’s perspectives on emancipation,</w:t>
      </w:r>
      <w:r w:rsidR="00F91591" w:rsidRPr="00BF2CE5">
        <w:rPr>
          <w:sz w:val="22"/>
          <w:szCs w:val="22"/>
        </w:rPr>
        <w:t xml:space="preserve"> </w:t>
      </w:r>
      <w:r w:rsidR="00AC41B6" w:rsidRPr="00BF2CE5">
        <w:rPr>
          <w:sz w:val="22"/>
          <w:szCs w:val="22"/>
        </w:rPr>
        <w:t>Lacey (1997)</w:t>
      </w:r>
      <w:r w:rsidR="00F91D4F" w:rsidRPr="00BF2CE5">
        <w:rPr>
          <w:sz w:val="22"/>
          <w:szCs w:val="22"/>
        </w:rPr>
        <w:t xml:space="preserve"> pointed out that a commitment to emancipation requires both appreciating the actual limits of current structures and developing forms of organisation that could provide a basis for new social structures</w:t>
      </w:r>
      <w:r w:rsidR="00AC41B6" w:rsidRPr="00BF2CE5">
        <w:rPr>
          <w:sz w:val="22"/>
          <w:szCs w:val="22"/>
        </w:rPr>
        <w:t>. The capacity to act in concert with others constitutes a central element of what it means for a person to flourish.</w:t>
      </w:r>
    </w:p>
    <w:p w14:paraId="7F4A90DC" w14:textId="39F176A6" w:rsidR="00AA5F7A" w:rsidRPr="00BF2CE5" w:rsidRDefault="00AC41B6" w:rsidP="00BF2CE5">
      <w:pPr>
        <w:pStyle w:val="Body"/>
        <w:spacing w:after="60"/>
        <w:ind w:firstLine="720"/>
        <w:rPr>
          <w:rFonts w:ascii="Times New Roman" w:eastAsia="Times New Roman" w:hAnsi="Times New Roman" w:cs="Times New Roman"/>
        </w:rPr>
      </w:pPr>
      <w:r w:rsidRPr="00BF2CE5">
        <w:rPr>
          <w:rFonts w:ascii="Times New Roman" w:eastAsia="Times New Roman" w:hAnsi="Times New Roman" w:cs="Times New Roman"/>
        </w:rPr>
        <w:t>It is important</w:t>
      </w:r>
      <w:r w:rsidR="008408A9" w:rsidRPr="00BF2CE5">
        <w:rPr>
          <w:rFonts w:ascii="Times New Roman" w:eastAsia="Times New Roman" w:hAnsi="Times New Roman" w:cs="Times New Roman"/>
        </w:rPr>
        <w:t>, therefore,</w:t>
      </w:r>
      <w:r w:rsidRPr="00BF2CE5">
        <w:rPr>
          <w:rFonts w:ascii="Times New Roman" w:eastAsia="Times New Roman" w:hAnsi="Times New Roman" w:cs="Times New Roman"/>
        </w:rPr>
        <w:t xml:space="preserve"> to consider the extent to which</w:t>
      </w:r>
      <w:r w:rsidR="008408A9" w:rsidRPr="00BF2CE5">
        <w:rPr>
          <w:rFonts w:ascii="Times New Roman" w:eastAsia="Times New Roman" w:hAnsi="Times New Roman" w:cs="Times New Roman"/>
        </w:rPr>
        <w:t xml:space="preserve"> higher educa</w:t>
      </w:r>
      <w:r w:rsidR="00461678" w:rsidRPr="00BF2CE5">
        <w:rPr>
          <w:rFonts w:ascii="Times New Roman" w:eastAsia="Times New Roman" w:hAnsi="Times New Roman" w:cs="Times New Roman"/>
        </w:rPr>
        <w:t>tion can help to develop capacity</w:t>
      </w:r>
      <w:r w:rsidR="008408A9" w:rsidRPr="00BF2CE5">
        <w:rPr>
          <w:rFonts w:ascii="Times New Roman" w:eastAsia="Times New Roman" w:hAnsi="Times New Roman" w:cs="Times New Roman"/>
        </w:rPr>
        <w:t xml:space="preserve"> for </w:t>
      </w:r>
      <w:r w:rsidRPr="00BF2CE5">
        <w:rPr>
          <w:rFonts w:ascii="Times New Roman" w:eastAsia="Times New Roman" w:hAnsi="Times New Roman" w:cs="Times New Roman"/>
        </w:rPr>
        <w:t xml:space="preserve">corporate agency. </w:t>
      </w:r>
      <w:r w:rsidR="001C7A33" w:rsidRPr="00BF2CE5">
        <w:rPr>
          <w:rFonts w:ascii="Times New Roman" w:eastAsia="Times New Roman" w:hAnsi="Times New Roman" w:cs="Times New Roman"/>
        </w:rPr>
        <w:t xml:space="preserve">Archer and Donati </w:t>
      </w:r>
      <w:r w:rsidR="00A804AE" w:rsidRPr="00BF2CE5">
        <w:rPr>
          <w:rFonts w:ascii="Times New Roman" w:eastAsia="Times New Roman" w:hAnsi="Times New Roman" w:cs="Times New Roman"/>
          <w:noProof/>
        </w:rPr>
        <w:t>(2015)</w:t>
      </w:r>
      <w:r w:rsidR="008C1388" w:rsidRPr="00BF2CE5">
        <w:rPr>
          <w:rFonts w:ascii="Times New Roman" w:eastAsia="Times New Roman" w:hAnsi="Times New Roman" w:cs="Times New Roman"/>
        </w:rPr>
        <w:t xml:space="preserve"> </w:t>
      </w:r>
      <w:r w:rsidR="001C7A33" w:rsidRPr="00BF2CE5">
        <w:rPr>
          <w:rFonts w:ascii="Times New Roman" w:hAnsi="Times New Roman" w:cs="Times New Roman"/>
          <w:shd w:val="clear" w:color="auto" w:fill="FFFFFF"/>
        </w:rPr>
        <w:t>claimed that the social relations maintained by individuals constitute a significant influence on</w:t>
      </w:r>
      <w:r w:rsidR="00F91591" w:rsidRPr="00BF2CE5">
        <w:rPr>
          <w:rFonts w:ascii="Times New Roman" w:hAnsi="Times New Roman" w:cs="Times New Roman"/>
          <w:shd w:val="clear" w:color="auto" w:fill="FFFFFF"/>
        </w:rPr>
        <w:t xml:space="preserve"> reflexivity</w:t>
      </w:r>
      <w:r w:rsidR="001C7A33" w:rsidRPr="00BF2CE5">
        <w:rPr>
          <w:rFonts w:ascii="Times New Roman" w:hAnsi="Times New Roman" w:cs="Times New Roman"/>
          <w:shd w:val="clear" w:color="auto" w:fill="FFFFFF"/>
        </w:rPr>
        <w:t xml:space="preserve">. </w:t>
      </w:r>
      <w:r w:rsidR="005078C3" w:rsidRPr="00BF2CE5">
        <w:rPr>
          <w:rFonts w:ascii="Times New Roman" w:hAnsi="Times New Roman" w:cs="Times New Roman"/>
          <w:shd w:val="clear" w:color="auto" w:fill="FFFFFF"/>
        </w:rPr>
        <w:t xml:space="preserve">Social relations can give rise to a range of relational goods that sustain </w:t>
      </w:r>
      <w:r w:rsidR="005078C3" w:rsidRPr="00BF2CE5">
        <w:rPr>
          <w:rFonts w:ascii="Times New Roman" w:eastAsia="Times New Roman" w:hAnsi="Times New Roman" w:cs="Times New Roman"/>
        </w:rPr>
        <w:t xml:space="preserve">the reflexivity needed to support the projects and practices that students pursue as learners, including trust, mutual support, advocacy and so on. </w:t>
      </w:r>
      <w:r w:rsidR="00AA5F7A" w:rsidRPr="00BF2CE5">
        <w:rPr>
          <w:rFonts w:ascii="Times New Roman" w:eastAsia="Times New Roman" w:hAnsi="Times New Roman" w:cs="Times New Roman"/>
        </w:rPr>
        <w:t>Taylor (1989) argued for the intelligibility of the notion of a good itself, while acknowledging that our understanding of what is good only makes sense against given forms of social interactions within a society. Nonetheless, he suggested that the notion of a good forms a part of the best or most realistic account of that which makes sense of our lives. A good is something that is perceived by a person as he or she actually lives out his or her life. It is reasonable to argue that a realist explanation of human flourishing can be supported by lived experience.</w:t>
      </w:r>
    </w:p>
    <w:p w14:paraId="657E974D" w14:textId="35E3E125" w:rsidR="008C0583" w:rsidRPr="00BF2CE5" w:rsidRDefault="008C0583" w:rsidP="00BF2CE5">
      <w:pPr>
        <w:pStyle w:val="Body"/>
        <w:spacing w:after="60"/>
        <w:ind w:firstLine="720"/>
        <w:rPr>
          <w:rFonts w:ascii="Times New Roman" w:eastAsia="Times New Roman" w:hAnsi="Times New Roman" w:cs="Times New Roman"/>
        </w:rPr>
      </w:pPr>
      <w:r w:rsidRPr="00BF2CE5">
        <w:rPr>
          <w:rFonts w:ascii="Times New Roman" w:eastAsia="Times New Roman" w:hAnsi="Times New Roman" w:cs="Times New Roman"/>
        </w:rPr>
        <w:t>Relational goods can enable students to give precedence to learning in the face of other priorities, sustaining their commitment amidst the uncertainties that are entailed. Supports are needed for students to develop capacity to engage in what is for them novel expressions of reflexivity, so that they can in time become stable and characteristic modes of reflexivity. Bear</w:t>
      </w:r>
      <w:r w:rsidR="00F36369" w:rsidRPr="00BF2CE5">
        <w:rPr>
          <w:rFonts w:ascii="Times New Roman" w:eastAsia="Times New Roman" w:hAnsi="Times New Roman" w:cs="Times New Roman"/>
        </w:rPr>
        <w:t xml:space="preserve">d, Clegg and Smith (2007) argued from a case study involving several hundred students that </w:t>
      </w:r>
      <w:r w:rsidRPr="00BF2CE5">
        <w:rPr>
          <w:rFonts w:ascii="Times New Roman" w:eastAsia="Times New Roman" w:hAnsi="Times New Roman" w:cs="Times New Roman"/>
        </w:rPr>
        <w:t>a set of connections exist between the relationships maintained by students, their changing emotions over the course of the studies, and their perceptions of life at university. Drawing on the work of Barbalet (2001), they argued that readiness to learn depends on social relationships, as well as on the identify and self-esteem of the learner.</w:t>
      </w:r>
    </w:p>
    <w:p w14:paraId="2BCDDB0C" w14:textId="4ABDD066" w:rsidR="00C1059B" w:rsidRPr="00BF2CE5" w:rsidRDefault="00AA5F7A" w:rsidP="00BF2CE5">
      <w:pPr>
        <w:pStyle w:val="Body"/>
        <w:spacing w:after="60"/>
        <w:ind w:firstLine="720"/>
        <w:rPr>
          <w:rFonts w:ascii="Times New Roman" w:eastAsia="Times New Roman" w:hAnsi="Times New Roman" w:cs="Times New Roman"/>
        </w:rPr>
      </w:pPr>
      <w:r w:rsidRPr="00BF2CE5">
        <w:rPr>
          <w:rFonts w:ascii="Times New Roman" w:eastAsia="Times New Roman" w:hAnsi="Times New Roman" w:cs="Times New Roman"/>
        </w:rPr>
        <w:t>Social relations</w:t>
      </w:r>
      <w:r w:rsidR="005078C3" w:rsidRPr="00BF2CE5">
        <w:rPr>
          <w:rFonts w:ascii="Times New Roman" w:eastAsia="Times New Roman" w:hAnsi="Times New Roman" w:cs="Times New Roman"/>
        </w:rPr>
        <w:t xml:space="preserve"> </w:t>
      </w:r>
      <w:r w:rsidRPr="00BF2CE5">
        <w:rPr>
          <w:rFonts w:ascii="Times New Roman" w:hAnsi="Times New Roman" w:cs="Times New Roman"/>
          <w:shd w:val="clear" w:color="auto" w:fill="FFFFFF"/>
        </w:rPr>
        <w:t>can give rise also to</w:t>
      </w:r>
      <w:r w:rsidR="005078C3" w:rsidRPr="00BF2CE5">
        <w:rPr>
          <w:rFonts w:ascii="Times New Roman" w:hAnsi="Times New Roman" w:cs="Times New Roman"/>
          <w:shd w:val="clear" w:color="auto" w:fill="FFFFFF"/>
        </w:rPr>
        <w:t xml:space="preserve"> evils, including suspicion and disdain, evils that can make it difficult to pursue joint acti</w:t>
      </w:r>
      <w:r w:rsidR="005078C3" w:rsidRPr="00BF2CE5">
        <w:rPr>
          <w:rFonts w:ascii="Times New Roman" w:eastAsia="Times New Roman" w:hAnsi="Times New Roman" w:cs="Times New Roman"/>
        </w:rPr>
        <w:t>on.</w:t>
      </w:r>
      <w:r w:rsidR="0044639B" w:rsidRPr="00BF2CE5">
        <w:rPr>
          <w:rFonts w:ascii="Times New Roman" w:eastAsia="Times New Roman" w:hAnsi="Times New Roman" w:cs="Times New Roman"/>
        </w:rPr>
        <w:t xml:space="preserve"> </w:t>
      </w:r>
      <w:r w:rsidR="002D26BD" w:rsidRPr="00BF2CE5">
        <w:rPr>
          <w:rFonts w:ascii="Times New Roman" w:eastAsia="Times New Roman" w:hAnsi="Times New Roman" w:cs="Times New Roman"/>
        </w:rPr>
        <w:t>It is challenging, for instance, for learners from different countries and cultural settings to pursue group work together</w:t>
      </w:r>
      <w:r w:rsidR="00343BAB" w:rsidRPr="00BF2CE5">
        <w:rPr>
          <w:rFonts w:ascii="Times New Roman" w:eastAsia="Times New Roman" w:hAnsi="Times New Roman" w:cs="Times New Roman"/>
        </w:rPr>
        <w:t xml:space="preserve"> </w:t>
      </w:r>
      <w:r w:rsidR="00A804AE" w:rsidRPr="00BF2CE5">
        <w:rPr>
          <w:rFonts w:ascii="Times New Roman" w:eastAsia="Times New Roman" w:hAnsi="Times New Roman" w:cs="Times New Roman"/>
        </w:rPr>
        <w:t>(Vita 2002)</w:t>
      </w:r>
      <w:r w:rsidR="002D26BD" w:rsidRPr="00BF2CE5">
        <w:rPr>
          <w:rFonts w:ascii="Times New Roman" w:eastAsia="Times New Roman" w:hAnsi="Times New Roman" w:cs="Times New Roman"/>
        </w:rPr>
        <w:t xml:space="preserve">. Scope for this is significantly enhanced, </w:t>
      </w:r>
      <w:r w:rsidR="002D26BD" w:rsidRPr="00BF2CE5">
        <w:rPr>
          <w:rFonts w:ascii="Times New Roman" w:hAnsi="Times New Roman" w:cs="Times New Roman"/>
          <w:shd w:val="clear" w:color="auto" w:fill="FFFFFF"/>
        </w:rPr>
        <w:t xml:space="preserve">though, if social relations are present between the learners </w:t>
      </w:r>
      <w:r w:rsidR="00FC7041" w:rsidRPr="00BF2CE5">
        <w:rPr>
          <w:rFonts w:ascii="Times New Roman" w:hAnsi="Times New Roman" w:cs="Times New Roman"/>
          <w:shd w:val="clear" w:color="auto" w:fill="FFFFFF"/>
        </w:rPr>
        <w:t xml:space="preserve">beyond the classroom </w:t>
      </w:r>
      <w:r w:rsidR="00A804AE" w:rsidRPr="00BF2CE5">
        <w:rPr>
          <w:rFonts w:ascii="Times New Roman" w:hAnsi="Times New Roman" w:cs="Times New Roman"/>
          <w:shd w:val="clear" w:color="auto" w:fill="FFFFFF"/>
        </w:rPr>
        <w:t>(Volet and Ang 1998)</w:t>
      </w:r>
      <w:r w:rsidR="002D26BD" w:rsidRPr="00BF2CE5">
        <w:rPr>
          <w:rFonts w:ascii="Times New Roman" w:hAnsi="Times New Roman" w:cs="Times New Roman"/>
          <w:shd w:val="clear" w:color="auto" w:fill="FFFFFF"/>
        </w:rPr>
        <w:t>.</w:t>
      </w:r>
      <w:r w:rsidR="003F2FA7" w:rsidRPr="00BF2CE5">
        <w:rPr>
          <w:rFonts w:ascii="Times New Roman" w:hAnsi="Times New Roman" w:cs="Times New Roman"/>
          <w:shd w:val="clear" w:color="auto" w:fill="FFFFFF"/>
        </w:rPr>
        <w:t xml:space="preserve"> </w:t>
      </w:r>
      <w:r w:rsidR="001C7A33" w:rsidRPr="00BF2CE5">
        <w:rPr>
          <w:rFonts w:ascii="Times New Roman" w:hAnsi="Times New Roman" w:cs="Times New Roman"/>
          <w:shd w:val="clear" w:color="auto" w:fill="FFFFFF"/>
        </w:rPr>
        <w:t xml:space="preserve">Students develop social relations on a range of fronts while at university, in ways that extend beyond </w:t>
      </w:r>
      <w:r w:rsidR="003F2FA7" w:rsidRPr="00BF2CE5">
        <w:rPr>
          <w:rFonts w:ascii="Times New Roman" w:hAnsi="Times New Roman" w:cs="Times New Roman"/>
          <w:shd w:val="clear" w:color="auto" w:fill="FFFFFF"/>
        </w:rPr>
        <w:t>classroom</w:t>
      </w:r>
      <w:r w:rsidR="001C7A33" w:rsidRPr="00BF2CE5">
        <w:rPr>
          <w:rFonts w:ascii="Times New Roman" w:hAnsi="Times New Roman" w:cs="Times New Roman"/>
          <w:shd w:val="clear" w:color="auto" w:fill="FFFFFF"/>
        </w:rPr>
        <w:t xml:space="preserve"> learning</w:t>
      </w:r>
      <w:r w:rsidR="00C1059B" w:rsidRPr="00BF2CE5">
        <w:rPr>
          <w:rFonts w:ascii="Times New Roman" w:hAnsi="Times New Roman" w:cs="Times New Roman"/>
          <w:shd w:val="clear" w:color="auto" w:fill="FFFFFF"/>
        </w:rPr>
        <w:t xml:space="preserve">. Flann (2010), meanwhile, highlighted ways in which dominant relations can repress reflexivity or particular foci for reflexivity, favouring morphostatic scenarios. One might also call such restricted reflexivity a form of </w:t>
      </w:r>
      <w:r w:rsidR="00424268">
        <w:rPr>
          <w:rFonts w:ascii="Times New Roman" w:hAnsi="Times New Roman" w:cs="Times New Roman"/>
          <w:shd w:val="clear" w:color="auto" w:fill="FFFFFF"/>
        </w:rPr>
        <w:t>dehumanization</w:t>
      </w:r>
      <w:r w:rsidR="00C1059B" w:rsidRPr="00BF2CE5">
        <w:rPr>
          <w:rFonts w:ascii="Times New Roman" w:hAnsi="Times New Roman" w:cs="Times New Roman"/>
          <w:shd w:val="clear" w:color="auto" w:fill="FFFFFF"/>
        </w:rPr>
        <w:t xml:space="preserve"> in an educational setting. These goods and evils that stem from relations between learners are closely linked to their social relations and to the associated reflexive deliberations.</w:t>
      </w:r>
    </w:p>
    <w:p w14:paraId="055C4CA5" w14:textId="22E3444C" w:rsidR="00C1059B" w:rsidRPr="00BF2CE5" w:rsidRDefault="001C7A33" w:rsidP="00BF2CE5">
      <w:pPr>
        <w:spacing w:after="60"/>
        <w:ind w:firstLine="720"/>
        <w:rPr>
          <w:sz w:val="22"/>
          <w:szCs w:val="22"/>
        </w:rPr>
      </w:pPr>
      <w:r w:rsidRPr="00BF2CE5">
        <w:rPr>
          <w:sz w:val="22"/>
          <w:szCs w:val="22"/>
        </w:rPr>
        <w:t xml:space="preserve">Moschella </w:t>
      </w:r>
      <w:r w:rsidR="00A804AE" w:rsidRPr="00BF2CE5">
        <w:rPr>
          <w:noProof/>
          <w:sz w:val="22"/>
          <w:szCs w:val="22"/>
        </w:rPr>
        <w:t>(2014)</w:t>
      </w:r>
      <w:r w:rsidRPr="00BF2CE5">
        <w:rPr>
          <w:sz w:val="22"/>
          <w:szCs w:val="22"/>
        </w:rPr>
        <w:t>, meanwhile, proposed that an ideal of the person as a free and equal individual is a central construct within Western culture, but that such a view masks the reality of human vulnerability, whether physical, moral, and intellectual.</w:t>
      </w:r>
      <w:r w:rsidR="00E7241D" w:rsidRPr="00BF2CE5">
        <w:rPr>
          <w:sz w:val="22"/>
          <w:szCs w:val="22"/>
        </w:rPr>
        <w:t xml:space="preserve"> As such, it is essential that care is offered and received as an integral feature of what it means to flourish. She </w:t>
      </w:r>
      <w:r w:rsidRPr="00BF2CE5">
        <w:rPr>
          <w:sz w:val="22"/>
          <w:szCs w:val="22"/>
        </w:rPr>
        <w:t>argued</w:t>
      </w:r>
      <w:r w:rsidR="00E7241D" w:rsidRPr="00BF2CE5">
        <w:rPr>
          <w:sz w:val="22"/>
          <w:szCs w:val="22"/>
        </w:rPr>
        <w:t xml:space="preserve"> further</w:t>
      </w:r>
      <w:r w:rsidRPr="00BF2CE5">
        <w:rPr>
          <w:sz w:val="22"/>
          <w:szCs w:val="22"/>
        </w:rPr>
        <w:t xml:space="preserve"> that liberal theories have failed to acknowledge how relationality and interdependence are fundamental for human beings.</w:t>
      </w:r>
      <w:r w:rsidR="00C1059B" w:rsidRPr="00BF2CE5">
        <w:rPr>
          <w:sz w:val="22"/>
          <w:szCs w:val="22"/>
        </w:rPr>
        <w:t xml:space="preserve"> </w:t>
      </w:r>
      <w:r w:rsidR="00C1059B" w:rsidRPr="00BF2CE5">
        <w:rPr>
          <w:rFonts w:eastAsia="Times New Roman"/>
          <w:sz w:val="22"/>
          <w:szCs w:val="22"/>
        </w:rPr>
        <w:t xml:space="preserve">Barnes </w:t>
      </w:r>
      <w:r w:rsidR="00C1059B" w:rsidRPr="00BF2CE5">
        <w:rPr>
          <w:rFonts w:eastAsia="Times New Roman"/>
          <w:noProof/>
          <w:sz w:val="22"/>
          <w:szCs w:val="22"/>
        </w:rPr>
        <w:t>(2007)</w:t>
      </w:r>
      <w:r w:rsidR="00C1059B" w:rsidRPr="00BF2CE5">
        <w:rPr>
          <w:rFonts w:eastAsia="Times New Roman"/>
          <w:sz w:val="22"/>
          <w:szCs w:val="22"/>
        </w:rPr>
        <w:t xml:space="preserve"> has noted that the absence of social relations between academics and those engaged in grass roots organisations for action on disability makes it difficult for universities to engage in a serious fashion with disability. He suggested that the absence of such relations stems in part from the increased levels of marketization and bureaucracy within universities.</w:t>
      </w:r>
    </w:p>
    <w:p w14:paraId="65366851" w14:textId="77777777" w:rsidR="00E976AF" w:rsidRPr="00BF2CE5" w:rsidRDefault="00E976AF" w:rsidP="00BF2CE5">
      <w:pPr>
        <w:rPr>
          <w:rFonts w:eastAsia="Times New Roman"/>
          <w:color w:val="333333"/>
          <w:sz w:val="22"/>
          <w:szCs w:val="22"/>
        </w:rPr>
      </w:pPr>
    </w:p>
    <w:p w14:paraId="34ABE167" w14:textId="412CB021" w:rsidR="00E93C99" w:rsidRPr="00BF2CE5" w:rsidRDefault="00DD5B1C" w:rsidP="00BF2CE5">
      <w:pPr>
        <w:spacing w:after="60"/>
        <w:rPr>
          <w:rFonts w:eastAsia="Times New Roman"/>
          <w:b/>
          <w:i/>
          <w:sz w:val="22"/>
          <w:szCs w:val="22"/>
        </w:rPr>
      </w:pPr>
      <w:r w:rsidRPr="00BF2CE5">
        <w:rPr>
          <w:rFonts w:eastAsia="Times New Roman"/>
          <w:b/>
          <w:i/>
          <w:sz w:val="22"/>
          <w:szCs w:val="22"/>
        </w:rPr>
        <w:t xml:space="preserve">The pursuit of what is good </w:t>
      </w:r>
    </w:p>
    <w:p w14:paraId="64DD5556" w14:textId="74452A1C" w:rsidR="00793C93" w:rsidRPr="00BF2CE5" w:rsidRDefault="006A124F" w:rsidP="00BF2CE5">
      <w:pPr>
        <w:spacing w:after="60"/>
        <w:rPr>
          <w:sz w:val="22"/>
          <w:szCs w:val="22"/>
        </w:rPr>
      </w:pPr>
      <w:r w:rsidRPr="00BF2CE5">
        <w:rPr>
          <w:sz w:val="22"/>
          <w:szCs w:val="22"/>
        </w:rPr>
        <w:t>I</w:t>
      </w:r>
      <w:r w:rsidR="003C351C" w:rsidRPr="00BF2CE5">
        <w:rPr>
          <w:sz w:val="22"/>
          <w:szCs w:val="22"/>
        </w:rPr>
        <w:t>f we are to trace the overarching influence of a university education on the agen</w:t>
      </w:r>
      <w:r w:rsidR="003E5E88" w:rsidRPr="00BF2CE5">
        <w:rPr>
          <w:sz w:val="22"/>
          <w:szCs w:val="22"/>
        </w:rPr>
        <w:t>c</w:t>
      </w:r>
      <w:r w:rsidR="00DD1AFE" w:rsidRPr="00BF2CE5">
        <w:rPr>
          <w:sz w:val="22"/>
          <w:szCs w:val="22"/>
        </w:rPr>
        <w:t xml:space="preserve">y of </w:t>
      </w:r>
      <w:r w:rsidRPr="00BF2CE5">
        <w:rPr>
          <w:sz w:val="22"/>
          <w:szCs w:val="22"/>
        </w:rPr>
        <w:t>student</w:t>
      </w:r>
      <w:r w:rsidR="00DD1AFE" w:rsidRPr="00BF2CE5">
        <w:rPr>
          <w:sz w:val="22"/>
          <w:szCs w:val="22"/>
        </w:rPr>
        <w:t>s</w:t>
      </w:r>
      <w:r w:rsidRPr="00BF2CE5">
        <w:rPr>
          <w:sz w:val="22"/>
          <w:szCs w:val="22"/>
        </w:rPr>
        <w:t>, however</w:t>
      </w:r>
      <w:r w:rsidR="00703455" w:rsidRPr="00BF2CE5">
        <w:rPr>
          <w:sz w:val="22"/>
          <w:szCs w:val="22"/>
        </w:rPr>
        <w:t>,</w:t>
      </w:r>
      <w:r w:rsidR="003C351C" w:rsidRPr="00BF2CE5">
        <w:rPr>
          <w:sz w:val="22"/>
          <w:szCs w:val="22"/>
        </w:rPr>
        <w:t xml:space="preserve"> it is</w:t>
      </w:r>
      <w:r w:rsidRPr="00BF2CE5">
        <w:rPr>
          <w:sz w:val="22"/>
          <w:szCs w:val="22"/>
        </w:rPr>
        <w:t xml:space="preserve"> important to consider a synthetic</w:t>
      </w:r>
      <w:r w:rsidR="003C351C" w:rsidRPr="00BF2CE5">
        <w:rPr>
          <w:sz w:val="22"/>
          <w:szCs w:val="22"/>
        </w:rPr>
        <w:t xml:space="preserve"> focus. </w:t>
      </w:r>
      <w:r w:rsidR="008120A9" w:rsidRPr="00BF2CE5">
        <w:rPr>
          <w:sz w:val="22"/>
          <w:szCs w:val="22"/>
        </w:rPr>
        <w:t>Archer</w:t>
      </w:r>
      <w:r w:rsidR="00784204" w:rsidRPr="00BF2CE5">
        <w:rPr>
          <w:sz w:val="22"/>
          <w:szCs w:val="22"/>
        </w:rPr>
        <w:t xml:space="preserve"> </w:t>
      </w:r>
      <w:r w:rsidR="00A804AE" w:rsidRPr="00BF2CE5">
        <w:rPr>
          <w:noProof/>
          <w:sz w:val="22"/>
          <w:szCs w:val="22"/>
        </w:rPr>
        <w:t>(2007)</w:t>
      </w:r>
      <w:r w:rsidR="008120A9" w:rsidRPr="00BF2CE5">
        <w:rPr>
          <w:sz w:val="22"/>
          <w:szCs w:val="22"/>
        </w:rPr>
        <w:t xml:space="preserve"> identified three </w:t>
      </w:r>
      <w:r w:rsidR="00DB1334" w:rsidRPr="00BF2CE5">
        <w:rPr>
          <w:sz w:val="22"/>
          <w:szCs w:val="22"/>
        </w:rPr>
        <w:t>phases to</w:t>
      </w:r>
      <w:r w:rsidR="008120A9" w:rsidRPr="00BF2CE5">
        <w:rPr>
          <w:sz w:val="22"/>
          <w:szCs w:val="22"/>
        </w:rPr>
        <w:t xml:space="preserve"> </w:t>
      </w:r>
      <w:r w:rsidR="006E2B25" w:rsidRPr="00BF2CE5">
        <w:rPr>
          <w:sz w:val="22"/>
          <w:szCs w:val="22"/>
        </w:rPr>
        <w:t xml:space="preserve">one’s </w:t>
      </w:r>
      <w:r w:rsidR="008120A9" w:rsidRPr="00BF2CE5">
        <w:rPr>
          <w:sz w:val="22"/>
          <w:szCs w:val="22"/>
        </w:rPr>
        <w:t>internal conversation. The first phase comprises the discernment through which we identify possible concerns. T</w:t>
      </w:r>
      <w:r w:rsidR="006E2B25" w:rsidRPr="00BF2CE5">
        <w:rPr>
          <w:sz w:val="22"/>
          <w:szCs w:val="22"/>
        </w:rPr>
        <w:t>his</w:t>
      </w:r>
      <w:r w:rsidR="008120A9" w:rsidRPr="00BF2CE5">
        <w:rPr>
          <w:sz w:val="22"/>
          <w:szCs w:val="22"/>
        </w:rPr>
        <w:t xml:space="preserve"> phase is followed</w:t>
      </w:r>
      <w:r w:rsidR="0070058D" w:rsidRPr="00BF2CE5">
        <w:rPr>
          <w:sz w:val="22"/>
          <w:szCs w:val="22"/>
        </w:rPr>
        <w:t xml:space="preserve"> first</w:t>
      </w:r>
      <w:r w:rsidR="008120A9" w:rsidRPr="00BF2CE5">
        <w:rPr>
          <w:sz w:val="22"/>
          <w:szCs w:val="22"/>
        </w:rPr>
        <w:t xml:space="preserve"> by the deliber</w:t>
      </w:r>
      <w:r w:rsidR="006E2B25" w:rsidRPr="00BF2CE5">
        <w:rPr>
          <w:sz w:val="22"/>
          <w:szCs w:val="22"/>
        </w:rPr>
        <w:t>ation through which someone</w:t>
      </w:r>
      <w:r w:rsidR="008120A9" w:rsidRPr="00BF2CE5">
        <w:rPr>
          <w:sz w:val="22"/>
          <w:szCs w:val="22"/>
        </w:rPr>
        <w:t xml:space="preserve"> rank</w:t>
      </w:r>
      <w:r w:rsidR="006E2B25" w:rsidRPr="00BF2CE5">
        <w:rPr>
          <w:sz w:val="22"/>
          <w:szCs w:val="22"/>
        </w:rPr>
        <w:t>s</w:t>
      </w:r>
      <w:r w:rsidR="008120A9" w:rsidRPr="00BF2CE5">
        <w:rPr>
          <w:sz w:val="22"/>
          <w:szCs w:val="22"/>
        </w:rPr>
        <w:t xml:space="preserve"> these concerns, and then by </w:t>
      </w:r>
      <w:r w:rsidR="0070058D" w:rsidRPr="00BF2CE5">
        <w:rPr>
          <w:sz w:val="22"/>
          <w:szCs w:val="22"/>
        </w:rPr>
        <w:t xml:space="preserve">the dedication through which </w:t>
      </w:r>
      <w:r w:rsidR="008120A9" w:rsidRPr="00BF2CE5">
        <w:rPr>
          <w:sz w:val="22"/>
          <w:szCs w:val="22"/>
        </w:rPr>
        <w:t>embar</w:t>
      </w:r>
      <w:r w:rsidR="004B22BD" w:rsidRPr="00BF2CE5">
        <w:rPr>
          <w:sz w:val="22"/>
          <w:szCs w:val="22"/>
        </w:rPr>
        <w:t>k upon a particular way of life</w:t>
      </w:r>
      <w:r w:rsidR="008120A9" w:rsidRPr="00BF2CE5">
        <w:rPr>
          <w:sz w:val="22"/>
          <w:szCs w:val="22"/>
        </w:rPr>
        <w:t xml:space="preserve"> or </w:t>
      </w:r>
      <w:r w:rsidR="008120A9" w:rsidRPr="00BF2CE5">
        <w:rPr>
          <w:i/>
          <w:sz w:val="22"/>
          <w:szCs w:val="22"/>
        </w:rPr>
        <w:t>modus vivendi</w:t>
      </w:r>
      <w:r w:rsidR="008120A9" w:rsidRPr="00BF2CE5">
        <w:rPr>
          <w:sz w:val="22"/>
          <w:szCs w:val="22"/>
        </w:rPr>
        <w:t>.</w:t>
      </w:r>
      <w:r w:rsidR="00654918" w:rsidRPr="00BF2CE5">
        <w:rPr>
          <w:sz w:val="22"/>
          <w:szCs w:val="22"/>
        </w:rPr>
        <w:t xml:space="preserve"> </w:t>
      </w:r>
      <w:r w:rsidR="002F7132" w:rsidRPr="00BF2CE5">
        <w:rPr>
          <w:sz w:val="22"/>
          <w:szCs w:val="22"/>
        </w:rPr>
        <w:t>One might say that agency’s</w:t>
      </w:r>
      <w:r w:rsidR="00793C93" w:rsidRPr="00BF2CE5">
        <w:rPr>
          <w:sz w:val="22"/>
          <w:szCs w:val="22"/>
        </w:rPr>
        <w:t xml:space="preserve"> form is only truly apparent when agents</w:t>
      </w:r>
      <w:r w:rsidR="002F7132" w:rsidRPr="00BF2CE5">
        <w:rPr>
          <w:sz w:val="22"/>
          <w:szCs w:val="22"/>
        </w:rPr>
        <w:t xml:space="preserve"> settle upon modi vivendi. Dedication on the part of the student is undoubtedly required in arriving at a modus vivendi predicated on education.   </w:t>
      </w:r>
      <w:r w:rsidR="00793C93" w:rsidRPr="00BF2CE5">
        <w:rPr>
          <w:sz w:val="22"/>
          <w:szCs w:val="22"/>
        </w:rPr>
        <w:t xml:space="preserve">  </w:t>
      </w:r>
    </w:p>
    <w:p w14:paraId="415822E9" w14:textId="1E17D9A6" w:rsidR="00793C93" w:rsidRPr="00BF2CE5" w:rsidRDefault="009105F2" w:rsidP="00BF2CE5">
      <w:pPr>
        <w:spacing w:after="60"/>
        <w:ind w:firstLine="720"/>
        <w:rPr>
          <w:sz w:val="22"/>
          <w:szCs w:val="22"/>
        </w:rPr>
      </w:pPr>
      <w:r w:rsidRPr="00BF2CE5">
        <w:rPr>
          <w:sz w:val="22"/>
          <w:szCs w:val="22"/>
        </w:rPr>
        <w:t>Reflexive deliberation plays an integral part of the process of arriving at a mo</w:t>
      </w:r>
      <w:r w:rsidR="00C51196" w:rsidRPr="00BF2CE5">
        <w:rPr>
          <w:sz w:val="22"/>
          <w:szCs w:val="22"/>
        </w:rPr>
        <w:t>dus vivendi</w:t>
      </w:r>
      <w:r w:rsidR="0071344D" w:rsidRPr="00BF2CE5">
        <w:rPr>
          <w:sz w:val="22"/>
          <w:szCs w:val="22"/>
        </w:rPr>
        <w:t>. T</w:t>
      </w:r>
      <w:r w:rsidR="00B460F3" w:rsidRPr="00BF2CE5">
        <w:rPr>
          <w:sz w:val="22"/>
          <w:szCs w:val="22"/>
        </w:rPr>
        <w:t>eachers can influence the direction taken by this deliberation</w:t>
      </w:r>
      <w:r w:rsidR="0071344D" w:rsidRPr="00BF2CE5">
        <w:rPr>
          <w:sz w:val="22"/>
          <w:szCs w:val="22"/>
        </w:rPr>
        <w:t>, especially where a social relation exists between a teacher and his or her students</w:t>
      </w:r>
      <w:r w:rsidR="00AA4F00" w:rsidRPr="00BF2CE5">
        <w:rPr>
          <w:sz w:val="22"/>
          <w:szCs w:val="22"/>
        </w:rPr>
        <w:t xml:space="preserve"> </w:t>
      </w:r>
      <w:r w:rsidR="006B4029" w:rsidRPr="00BF2CE5">
        <w:rPr>
          <w:noProof/>
          <w:sz w:val="22"/>
          <w:szCs w:val="22"/>
        </w:rPr>
        <w:t>(Korthagen et al. 2012)</w:t>
      </w:r>
      <w:r w:rsidR="00C51196" w:rsidRPr="00BF2CE5">
        <w:rPr>
          <w:sz w:val="22"/>
          <w:szCs w:val="22"/>
        </w:rPr>
        <w:t xml:space="preserve">. </w:t>
      </w:r>
      <w:r w:rsidR="00793C93" w:rsidRPr="00BF2CE5">
        <w:rPr>
          <w:sz w:val="22"/>
          <w:szCs w:val="22"/>
        </w:rPr>
        <w:t>A</w:t>
      </w:r>
      <w:r w:rsidR="00C51196" w:rsidRPr="00BF2CE5">
        <w:rPr>
          <w:sz w:val="22"/>
          <w:szCs w:val="22"/>
        </w:rPr>
        <w:t xml:space="preserve"> close relationship exists between one’s</w:t>
      </w:r>
      <w:r w:rsidRPr="00BF2CE5">
        <w:rPr>
          <w:sz w:val="22"/>
          <w:szCs w:val="22"/>
        </w:rPr>
        <w:t xml:space="preserve"> modus vivendi </w:t>
      </w:r>
      <w:r w:rsidR="00C51196" w:rsidRPr="00BF2CE5">
        <w:rPr>
          <w:sz w:val="22"/>
          <w:szCs w:val="22"/>
        </w:rPr>
        <w:t xml:space="preserve">and </w:t>
      </w:r>
      <w:r w:rsidRPr="00BF2CE5">
        <w:rPr>
          <w:sz w:val="22"/>
          <w:szCs w:val="22"/>
        </w:rPr>
        <w:t>the mode(s) of reflexivity that one i</w:t>
      </w:r>
      <w:r w:rsidR="00C51196" w:rsidRPr="00BF2CE5">
        <w:rPr>
          <w:sz w:val="22"/>
          <w:szCs w:val="22"/>
        </w:rPr>
        <w:t>s able to employ in a stable</w:t>
      </w:r>
      <w:r w:rsidRPr="00BF2CE5">
        <w:rPr>
          <w:sz w:val="22"/>
          <w:szCs w:val="22"/>
        </w:rPr>
        <w:t xml:space="preserve"> fashion</w:t>
      </w:r>
      <w:r w:rsidR="00F64E71" w:rsidRPr="00BF2CE5">
        <w:rPr>
          <w:sz w:val="22"/>
          <w:szCs w:val="22"/>
        </w:rPr>
        <w:t xml:space="preserve"> in order to underpin that way of life</w:t>
      </w:r>
      <w:r w:rsidR="00C51196" w:rsidRPr="00BF2CE5">
        <w:rPr>
          <w:sz w:val="22"/>
          <w:szCs w:val="22"/>
        </w:rPr>
        <w:t>.</w:t>
      </w:r>
      <w:r w:rsidR="00B460F3" w:rsidRPr="00BF2CE5">
        <w:rPr>
          <w:sz w:val="22"/>
          <w:szCs w:val="22"/>
        </w:rPr>
        <w:t xml:space="preserve"> Indeed, Archer </w:t>
      </w:r>
      <w:r w:rsidR="005D50E5" w:rsidRPr="00BF2CE5">
        <w:rPr>
          <w:sz w:val="22"/>
          <w:szCs w:val="22"/>
        </w:rPr>
        <w:t xml:space="preserve">(2007) </w:t>
      </w:r>
      <w:r w:rsidR="00793C93" w:rsidRPr="00BF2CE5">
        <w:rPr>
          <w:sz w:val="22"/>
          <w:szCs w:val="22"/>
        </w:rPr>
        <w:t xml:space="preserve">argued that distinctive stances towards society are integrally associated with different modes of reflexive deliberation. </w:t>
      </w:r>
      <w:r w:rsidR="00F64E71" w:rsidRPr="00BF2CE5">
        <w:rPr>
          <w:sz w:val="22"/>
          <w:szCs w:val="22"/>
          <w:shd w:val="clear" w:color="auto" w:fill="FFFFFF"/>
        </w:rPr>
        <w:t xml:space="preserve">Change in one’s capacities for reflexive deliberation, however, only occurs over time, even as it integrally involves dedication. </w:t>
      </w:r>
      <w:r w:rsidR="00793C93" w:rsidRPr="00BF2CE5">
        <w:rPr>
          <w:sz w:val="22"/>
          <w:szCs w:val="22"/>
        </w:rPr>
        <w:t>An affinity exists between the characteristics of reflexive deliberation</w:t>
      </w:r>
      <w:r w:rsidR="00F64E71" w:rsidRPr="00BF2CE5">
        <w:rPr>
          <w:sz w:val="22"/>
          <w:szCs w:val="22"/>
        </w:rPr>
        <w:t xml:space="preserve"> over time</w:t>
      </w:r>
      <w:r w:rsidR="00793C93" w:rsidRPr="00BF2CE5">
        <w:rPr>
          <w:sz w:val="22"/>
          <w:szCs w:val="22"/>
        </w:rPr>
        <w:t xml:space="preserve"> and the direction taken by agency.  </w:t>
      </w:r>
    </w:p>
    <w:p w14:paraId="6F9F1368" w14:textId="41E36D70" w:rsidR="009105F2" w:rsidRPr="00BF2CE5" w:rsidRDefault="00654918" w:rsidP="00BF2CE5">
      <w:pPr>
        <w:spacing w:after="60"/>
        <w:ind w:firstLine="720"/>
        <w:rPr>
          <w:sz w:val="22"/>
          <w:szCs w:val="22"/>
          <w:shd w:val="clear" w:color="auto" w:fill="FFFFFF"/>
        </w:rPr>
      </w:pPr>
      <w:r w:rsidRPr="00BF2CE5">
        <w:rPr>
          <w:sz w:val="22"/>
          <w:szCs w:val="22"/>
        </w:rPr>
        <w:t>A</w:t>
      </w:r>
      <w:r w:rsidRPr="00BF2CE5">
        <w:rPr>
          <w:sz w:val="22"/>
          <w:szCs w:val="22"/>
          <w:shd w:val="clear" w:color="auto" w:fill="FFFFFF"/>
        </w:rPr>
        <w:t xml:space="preserve">rcher </w:t>
      </w:r>
      <w:r w:rsidRPr="00BF2CE5">
        <w:rPr>
          <w:sz w:val="22"/>
          <w:szCs w:val="22"/>
        </w:rPr>
        <w:t>(2007), furthermore,</w:t>
      </w:r>
      <w:r w:rsidRPr="00BF2CE5">
        <w:rPr>
          <w:sz w:val="22"/>
          <w:szCs w:val="22"/>
          <w:shd w:val="clear" w:color="auto" w:fill="FFFFFF"/>
        </w:rPr>
        <w:t xml:space="preserve"> argued that establishing a settled configuration of enacted priorities represents an important stage of a person’s development. She suggested that this stage develops for many during one’s time at university, at least for those who attend university while still within their early years of adulthood </w:t>
      </w:r>
      <w:r w:rsidR="009105F2" w:rsidRPr="00BF2CE5">
        <w:rPr>
          <w:noProof/>
          <w:sz w:val="22"/>
          <w:szCs w:val="22"/>
          <w:shd w:val="clear" w:color="auto" w:fill="FFFFFF"/>
        </w:rPr>
        <w:t>(</w:t>
      </w:r>
      <w:r w:rsidR="00A804AE" w:rsidRPr="00BF2CE5">
        <w:rPr>
          <w:noProof/>
          <w:sz w:val="22"/>
          <w:szCs w:val="22"/>
          <w:shd w:val="clear" w:color="auto" w:fill="FFFFFF"/>
        </w:rPr>
        <w:t>Archer 2012)</w:t>
      </w:r>
      <w:r w:rsidRPr="00BF2CE5">
        <w:rPr>
          <w:sz w:val="22"/>
          <w:szCs w:val="22"/>
          <w:shd w:val="clear" w:color="auto" w:fill="FFFFFF"/>
        </w:rPr>
        <w:t>.</w:t>
      </w:r>
      <w:r w:rsidR="00AF5281" w:rsidRPr="00BF2CE5">
        <w:rPr>
          <w:sz w:val="22"/>
          <w:szCs w:val="22"/>
          <w:shd w:val="clear" w:color="auto" w:fill="FFFFFF"/>
        </w:rPr>
        <w:t xml:space="preserve"> </w:t>
      </w:r>
      <w:r w:rsidR="005C60D1" w:rsidRPr="00BF2CE5">
        <w:rPr>
          <w:sz w:val="22"/>
          <w:szCs w:val="22"/>
        </w:rPr>
        <w:t xml:space="preserve">Smith </w:t>
      </w:r>
      <w:r w:rsidR="00A804AE" w:rsidRPr="00BF2CE5">
        <w:rPr>
          <w:noProof/>
          <w:sz w:val="22"/>
          <w:szCs w:val="22"/>
        </w:rPr>
        <w:t>(2010, 71)</w:t>
      </w:r>
      <w:r w:rsidR="005C60D1" w:rsidRPr="00BF2CE5">
        <w:rPr>
          <w:sz w:val="22"/>
          <w:szCs w:val="22"/>
        </w:rPr>
        <w:t xml:space="preserve">, indeed, saw issues of purpose as central to what it means to be a person, and thus to flourish. He argued that a central aspect of what it means to be a person is ‘the personal project of developing and sustaining an incommunicable, personal self.’ </w:t>
      </w:r>
      <w:r w:rsidR="00AF5281" w:rsidRPr="00BF2CE5">
        <w:rPr>
          <w:sz w:val="22"/>
          <w:szCs w:val="22"/>
          <w:shd w:val="clear" w:color="auto" w:fill="FFFFFF"/>
        </w:rPr>
        <w:t xml:space="preserve">An enacted configuration of priorities entails an integral aspect of the </w:t>
      </w:r>
      <w:r w:rsidR="003E5E88" w:rsidRPr="00BF2CE5">
        <w:rPr>
          <w:sz w:val="22"/>
          <w:szCs w:val="22"/>
          <w:shd w:val="clear" w:color="auto" w:fill="FFFFFF"/>
        </w:rPr>
        <w:t>person</w:t>
      </w:r>
      <w:r w:rsidR="005C60D1" w:rsidRPr="00BF2CE5">
        <w:rPr>
          <w:sz w:val="22"/>
          <w:szCs w:val="22"/>
          <w:shd w:val="clear" w:color="auto" w:fill="FFFFFF"/>
        </w:rPr>
        <w:t>al and social identity</w:t>
      </w:r>
      <w:r w:rsidR="003E5E88" w:rsidRPr="00BF2CE5">
        <w:rPr>
          <w:sz w:val="22"/>
          <w:szCs w:val="22"/>
          <w:shd w:val="clear" w:color="auto" w:fill="FFFFFF"/>
        </w:rPr>
        <w:t xml:space="preserve"> that Case (2015</w:t>
      </w:r>
      <w:r w:rsidR="00935D31" w:rsidRPr="00BF2CE5">
        <w:rPr>
          <w:sz w:val="22"/>
          <w:szCs w:val="22"/>
          <w:shd w:val="clear" w:color="auto" w:fill="FFFFFF"/>
        </w:rPr>
        <w:t>a</w:t>
      </w:r>
      <w:r w:rsidR="005C60D1" w:rsidRPr="00BF2CE5">
        <w:rPr>
          <w:sz w:val="22"/>
          <w:szCs w:val="22"/>
          <w:shd w:val="clear" w:color="auto" w:fill="FFFFFF"/>
        </w:rPr>
        <w:t>)</w:t>
      </w:r>
      <w:r w:rsidR="003E5E88" w:rsidRPr="00BF2CE5">
        <w:rPr>
          <w:sz w:val="22"/>
          <w:szCs w:val="22"/>
          <w:shd w:val="clear" w:color="auto" w:fill="FFFFFF"/>
        </w:rPr>
        <w:t xml:space="preserve"> argued is a central outcome of </w:t>
      </w:r>
      <w:r w:rsidR="005C60D1" w:rsidRPr="00BF2CE5">
        <w:rPr>
          <w:sz w:val="22"/>
          <w:szCs w:val="22"/>
          <w:shd w:val="clear" w:color="auto" w:fill="FFFFFF"/>
        </w:rPr>
        <w:t xml:space="preserve">university study. </w:t>
      </w:r>
    </w:p>
    <w:p w14:paraId="43C2CDBC" w14:textId="44B87CD5" w:rsidR="003E5E88" w:rsidRPr="00BF2CE5" w:rsidRDefault="005C60D1" w:rsidP="00BF2CE5">
      <w:pPr>
        <w:spacing w:after="60"/>
        <w:ind w:firstLine="720"/>
        <w:rPr>
          <w:rFonts w:eastAsia="Times New Roman"/>
          <w:color w:val="000000"/>
          <w:sz w:val="22"/>
          <w:szCs w:val="22"/>
        </w:rPr>
      </w:pPr>
      <w:r w:rsidRPr="00BF2CE5">
        <w:rPr>
          <w:sz w:val="22"/>
          <w:szCs w:val="22"/>
          <w:shd w:val="clear" w:color="auto" w:fill="FFFFFF"/>
        </w:rPr>
        <w:t>It is important to highlight</w:t>
      </w:r>
      <w:r w:rsidR="003E5E88" w:rsidRPr="00BF2CE5">
        <w:rPr>
          <w:sz w:val="22"/>
          <w:szCs w:val="22"/>
          <w:shd w:val="clear" w:color="auto" w:fill="FFFFFF"/>
        </w:rPr>
        <w:t xml:space="preserve">, though, the reflexive basis for these expressions of identity. </w:t>
      </w:r>
      <w:r w:rsidRPr="00BF2CE5">
        <w:rPr>
          <w:rFonts w:eastAsia="Times New Roman"/>
          <w:sz w:val="22"/>
          <w:szCs w:val="22"/>
        </w:rPr>
        <w:t xml:space="preserve">MacIntyre </w:t>
      </w:r>
      <w:r w:rsidR="00A804AE" w:rsidRPr="00BF2CE5">
        <w:rPr>
          <w:rFonts w:eastAsia="Times New Roman"/>
          <w:noProof/>
          <w:sz w:val="22"/>
          <w:szCs w:val="22"/>
        </w:rPr>
        <w:t>(1999)</w:t>
      </w:r>
      <w:r w:rsidRPr="00BF2CE5">
        <w:rPr>
          <w:rFonts w:eastAsia="Times New Roman"/>
          <w:sz w:val="22"/>
          <w:szCs w:val="22"/>
        </w:rPr>
        <w:t xml:space="preserve"> observed that </w:t>
      </w:r>
      <w:r w:rsidR="009105F2" w:rsidRPr="00BF2CE5">
        <w:rPr>
          <w:rFonts w:eastAsia="Times New Roman"/>
          <w:sz w:val="22"/>
          <w:szCs w:val="22"/>
        </w:rPr>
        <w:t xml:space="preserve">empirical </w:t>
      </w:r>
      <w:r w:rsidRPr="00BF2CE5">
        <w:rPr>
          <w:rFonts w:eastAsia="Times New Roman"/>
          <w:sz w:val="22"/>
          <w:szCs w:val="22"/>
        </w:rPr>
        <w:t xml:space="preserve">studies have demonstrated that dolphins engage in an instrumental deliberation as they seek to achieve </w:t>
      </w:r>
      <w:r w:rsidR="009105F2" w:rsidRPr="00BF2CE5">
        <w:rPr>
          <w:rFonts w:eastAsia="Times New Roman"/>
          <w:sz w:val="22"/>
          <w:szCs w:val="22"/>
        </w:rPr>
        <w:t xml:space="preserve">the </w:t>
      </w:r>
      <w:r w:rsidRPr="00BF2CE5">
        <w:rPr>
          <w:rFonts w:eastAsia="Times New Roman"/>
          <w:sz w:val="22"/>
          <w:szCs w:val="22"/>
        </w:rPr>
        <w:t xml:space="preserve">goods by which they flourish, but that this deliberation does not entail a reflexive dimension in relation to the goods themselves. </w:t>
      </w:r>
      <w:r w:rsidRPr="00BF2CE5">
        <w:rPr>
          <w:rFonts w:eastAsia="Times New Roman"/>
          <w:color w:val="000000"/>
          <w:sz w:val="22"/>
          <w:szCs w:val="22"/>
        </w:rPr>
        <w:t>He suggested that the capacity to reason about what good should be pursued is something integral to what it means for humans to flourish.</w:t>
      </w:r>
    </w:p>
    <w:p w14:paraId="38C4D16F" w14:textId="77777777" w:rsidR="009105F2" w:rsidRPr="00BF2CE5" w:rsidRDefault="00FC6C1B" w:rsidP="00BF2CE5">
      <w:pPr>
        <w:spacing w:after="60"/>
        <w:ind w:firstLine="720"/>
        <w:rPr>
          <w:sz w:val="22"/>
          <w:szCs w:val="22"/>
          <w:shd w:val="clear" w:color="auto" w:fill="FFFFFF"/>
        </w:rPr>
      </w:pPr>
      <w:r w:rsidRPr="00BF2CE5">
        <w:rPr>
          <w:sz w:val="22"/>
          <w:szCs w:val="22"/>
          <w:shd w:val="clear" w:color="auto" w:fill="FFFFFF"/>
        </w:rPr>
        <w:t xml:space="preserve"> </w:t>
      </w:r>
      <w:r w:rsidR="00263A40" w:rsidRPr="00BF2CE5">
        <w:rPr>
          <w:sz w:val="22"/>
          <w:szCs w:val="22"/>
        </w:rPr>
        <w:t xml:space="preserve">Taylor </w:t>
      </w:r>
      <w:r w:rsidR="00A804AE" w:rsidRPr="00BF2CE5">
        <w:rPr>
          <w:noProof/>
          <w:sz w:val="22"/>
          <w:szCs w:val="22"/>
        </w:rPr>
        <w:t>(1989)</w:t>
      </w:r>
      <w:r w:rsidR="00263A40" w:rsidRPr="00BF2CE5">
        <w:rPr>
          <w:sz w:val="22"/>
          <w:szCs w:val="22"/>
        </w:rPr>
        <w:t xml:space="preserve"> </w:t>
      </w:r>
      <w:r w:rsidR="00865D56" w:rsidRPr="00BF2CE5">
        <w:rPr>
          <w:sz w:val="22"/>
          <w:szCs w:val="22"/>
        </w:rPr>
        <w:t xml:space="preserve">similarly argued </w:t>
      </w:r>
      <w:r w:rsidR="00263A40" w:rsidRPr="00BF2CE5">
        <w:rPr>
          <w:sz w:val="22"/>
          <w:szCs w:val="22"/>
        </w:rPr>
        <w:t>that the pursuit of different goods needs to be brought to</w:t>
      </w:r>
      <w:r w:rsidRPr="00BF2CE5">
        <w:rPr>
          <w:sz w:val="22"/>
          <w:szCs w:val="22"/>
        </w:rPr>
        <w:t>gether within a single life, and that this means th</w:t>
      </w:r>
      <w:r w:rsidR="00865D56" w:rsidRPr="00BF2CE5">
        <w:rPr>
          <w:rFonts w:eastAsia="Times New Roman"/>
          <w:color w:val="000000"/>
          <w:sz w:val="22"/>
          <w:szCs w:val="22"/>
        </w:rPr>
        <w:t>e</w:t>
      </w:r>
      <w:r w:rsidR="00F46A95" w:rsidRPr="00BF2CE5">
        <w:rPr>
          <w:rFonts w:eastAsia="Times New Roman"/>
          <w:color w:val="000000"/>
          <w:sz w:val="22"/>
          <w:szCs w:val="22"/>
        </w:rPr>
        <w:t xml:space="preserve"> pursui</w:t>
      </w:r>
      <w:r w:rsidR="00865D56" w:rsidRPr="00BF2CE5">
        <w:rPr>
          <w:rFonts w:eastAsia="Times New Roman"/>
          <w:color w:val="000000"/>
          <w:sz w:val="22"/>
          <w:szCs w:val="22"/>
        </w:rPr>
        <w:t xml:space="preserve">t of some goods </w:t>
      </w:r>
      <w:r w:rsidRPr="00BF2CE5">
        <w:rPr>
          <w:rFonts w:eastAsia="Times New Roman"/>
          <w:color w:val="000000"/>
          <w:sz w:val="22"/>
          <w:szCs w:val="22"/>
        </w:rPr>
        <w:t>will inevitably be</w:t>
      </w:r>
      <w:r w:rsidR="00865D56" w:rsidRPr="00BF2CE5">
        <w:rPr>
          <w:rFonts w:eastAsia="Times New Roman"/>
          <w:color w:val="000000"/>
          <w:sz w:val="22"/>
          <w:szCs w:val="22"/>
        </w:rPr>
        <w:t xml:space="preserve"> </w:t>
      </w:r>
      <w:r w:rsidR="00F46A95" w:rsidRPr="00BF2CE5">
        <w:rPr>
          <w:rFonts w:eastAsia="Times New Roman"/>
          <w:color w:val="000000"/>
          <w:sz w:val="22"/>
          <w:szCs w:val="22"/>
        </w:rPr>
        <w:t xml:space="preserve">subordinated to </w:t>
      </w:r>
      <w:r w:rsidR="00865D56" w:rsidRPr="00BF2CE5">
        <w:rPr>
          <w:rFonts w:eastAsia="Times New Roman"/>
          <w:color w:val="000000"/>
          <w:sz w:val="22"/>
          <w:szCs w:val="22"/>
        </w:rPr>
        <w:t xml:space="preserve">the pursuit of </w:t>
      </w:r>
      <w:r w:rsidR="00F46A95" w:rsidRPr="00BF2CE5">
        <w:rPr>
          <w:rFonts w:eastAsia="Times New Roman"/>
          <w:color w:val="000000"/>
          <w:sz w:val="22"/>
          <w:szCs w:val="22"/>
        </w:rPr>
        <w:t>other goods</w:t>
      </w:r>
      <w:r w:rsidR="00865D56" w:rsidRPr="00BF2CE5">
        <w:rPr>
          <w:rFonts w:eastAsia="Times New Roman"/>
          <w:color w:val="000000"/>
          <w:sz w:val="22"/>
          <w:szCs w:val="22"/>
        </w:rPr>
        <w:t>.</w:t>
      </w:r>
      <w:r w:rsidR="00F46A95" w:rsidRPr="00BF2CE5">
        <w:rPr>
          <w:rFonts w:eastAsia="Times New Roman"/>
          <w:color w:val="000000"/>
          <w:sz w:val="22"/>
          <w:szCs w:val="22"/>
        </w:rPr>
        <w:t xml:space="preserve"> Taylor (1989)</w:t>
      </w:r>
      <w:r w:rsidR="00D167A1" w:rsidRPr="00BF2CE5">
        <w:rPr>
          <w:sz w:val="22"/>
          <w:szCs w:val="22"/>
        </w:rPr>
        <w:t xml:space="preserve"> in this way</w:t>
      </w:r>
      <w:r w:rsidR="00263A40" w:rsidRPr="00BF2CE5">
        <w:rPr>
          <w:sz w:val="22"/>
          <w:szCs w:val="22"/>
        </w:rPr>
        <w:t xml:space="preserve"> arrived at the notion of a complete good, one that provides a sense of unity in the good</w:t>
      </w:r>
      <w:r w:rsidR="00244B15" w:rsidRPr="00BF2CE5">
        <w:rPr>
          <w:sz w:val="22"/>
          <w:szCs w:val="22"/>
        </w:rPr>
        <w:t>s pursued within a single life.</w:t>
      </w:r>
      <w:r w:rsidR="00865D56" w:rsidRPr="00BF2CE5">
        <w:rPr>
          <w:sz w:val="22"/>
          <w:szCs w:val="22"/>
        </w:rPr>
        <w:t xml:space="preserve"> S</w:t>
      </w:r>
      <w:r w:rsidR="00865D56" w:rsidRPr="00BF2CE5">
        <w:rPr>
          <w:sz w:val="22"/>
          <w:szCs w:val="22"/>
          <w:shd w:val="clear" w:color="auto" w:fill="FFFFFF"/>
        </w:rPr>
        <w:t xml:space="preserve">mith </w:t>
      </w:r>
      <w:r w:rsidR="00A804AE" w:rsidRPr="00BF2CE5">
        <w:rPr>
          <w:noProof/>
          <w:sz w:val="22"/>
          <w:szCs w:val="22"/>
          <w:shd w:val="clear" w:color="auto" w:fill="FFFFFF"/>
        </w:rPr>
        <w:t>(2010)</w:t>
      </w:r>
      <w:r w:rsidR="00244B15" w:rsidRPr="00BF2CE5">
        <w:rPr>
          <w:sz w:val="22"/>
          <w:szCs w:val="22"/>
          <w:shd w:val="clear" w:color="auto" w:fill="FFFFFF"/>
        </w:rPr>
        <w:t xml:space="preserve"> noted</w:t>
      </w:r>
      <w:r w:rsidR="00865D56" w:rsidRPr="00BF2CE5">
        <w:rPr>
          <w:sz w:val="22"/>
          <w:szCs w:val="22"/>
          <w:shd w:val="clear" w:color="auto" w:fill="FFFFFF"/>
        </w:rPr>
        <w:t xml:space="preserve"> that </w:t>
      </w:r>
      <w:r w:rsidR="00865D56" w:rsidRPr="00BF2CE5">
        <w:rPr>
          <w:rFonts w:eastAsia="Times New Roman"/>
          <w:sz w:val="22"/>
          <w:szCs w:val="22"/>
        </w:rPr>
        <w:t>a human brokenness is evident when some form of incoherence is present within a person’s life, or where a person is unable to give expression to a sense of unity within their life.</w:t>
      </w:r>
      <w:r w:rsidR="00797727" w:rsidRPr="00BF2CE5">
        <w:rPr>
          <w:rFonts w:eastAsia="Times New Roman"/>
          <w:sz w:val="22"/>
          <w:szCs w:val="22"/>
        </w:rPr>
        <w:t xml:space="preserve"> </w:t>
      </w:r>
      <w:r w:rsidR="002F7676" w:rsidRPr="00BF2CE5">
        <w:rPr>
          <w:sz w:val="22"/>
          <w:szCs w:val="22"/>
          <w:shd w:val="clear" w:color="auto" w:fill="FFFFFF"/>
        </w:rPr>
        <w:t>I</w:t>
      </w:r>
      <w:r w:rsidR="00854E87" w:rsidRPr="00BF2CE5">
        <w:rPr>
          <w:sz w:val="22"/>
          <w:szCs w:val="22"/>
          <w:shd w:val="clear" w:color="auto" w:fill="FFFFFF"/>
        </w:rPr>
        <w:t>f we are looking to understand</w:t>
      </w:r>
      <w:r w:rsidR="00784204" w:rsidRPr="00BF2CE5">
        <w:rPr>
          <w:sz w:val="22"/>
          <w:szCs w:val="22"/>
          <w:shd w:val="clear" w:color="auto" w:fill="FFFFFF"/>
        </w:rPr>
        <w:t xml:space="preserve"> the morphog</w:t>
      </w:r>
      <w:r w:rsidR="002D020D" w:rsidRPr="00BF2CE5">
        <w:rPr>
          <w:sz w:val="22"/>
          <w:szCs w:val="22"/>
          <w:shd w:val="clear" w:color="auto" w:fill="FFFFFF"/>
        </w:rPr>
        <w:t>e</w:t>
      </w:r>
      <w:r w:rsidR="00784204" w:rsidRPr="00BF2CE5">
        <w:rPr>
          <w:sz w:val="22"/>
          <w:szCs w:val="22"/>
          <w:shd w:val="clear" w:color="auto" w:fill="FFFFFF"/>
        </w:rPr>
        <w:t>ne</w:t>
      </w:r>
      <w:r w:rsidR="00854E87" w:rsidRPr="00BF2CE5">
        <w:rPr>
          <w:sz w:val="22"/>
          <w:szCs w:val="22"/>
          <w:shd w:val="clear" w:color="auto" w:fill="FFFFFF"/>
        </w:rPr>
        <w:t>sis of agency in learners</w:t>
      </w:r>
      <w:r w:rsidR="00784204" w:rsidRPr="00BF2CE5">
        <w:rPr>
          <w:sz w:val="22"/>
          <w:szCs w:val="22"/>
          <w:shd w:val="clear" w:color="auto" w:fill="FFFFFF"/>
        </w:rPr>
        <w:t>, then</w:t>
      </w:r>
      <w:r w:rsidR="005E01A1" w:rsidRPr="00BF2CE5">
        <w:rPr>
          <w:sz w:val="22"/>
          <w:szCs w:val="22"/>
          <w:shd w:val="clear" w:color="auto" w:fill="FFFFFF"/>
        </w:rPr>
        <w:t xml:space="preserve"> it will be important to consider</w:t>
      </w:r>
      <w:r w:rsidR="00784204" w:rsidRPr="00BF2CE5">
        <w:rPr>
          <w:sz w:val="22"/>
          <w:szCs w:val="22"/>
          <w:shd w:val="clear" w:color="auto" w:fill="FFFFFF"/>
        </w:rPr>
        <w:t xml:space="preserve"> th</w:t>
      </w:r>
      <w:r w:rsidR="00E231CA" w:rsidRPr="00BF2CE5">
        <w:rPr>
          <w:sz w:val="22"/>
          <w:szCs w:val="22"/>
          <w:shd w:val="clear" w:color="auto" w:fill="FFFFFF"/>
        </w:rPr>
        <w:t xml:space="preserve">e extent to which a student </w:t>
      </w:r>
      <w:r w:rsidR="005E01A1" w:rsidRPr="00BF2CE5">
        <w:rPr>
          <w:sz w:val="22"/>
          <w:szCs w:val="22"/>
          <w:shd w:val="clear" w:color="auto" w:fill="FFFFFF"/>
        </w:rPr>
        <w:t xml:space="preserve">pursues </w:t>
      </w:r>
      <w:r w:rsidR="00263A40" w:rsidRPr="00BF2CE5">
        <w:rPr>
          <w:sz w:val="22"/>
          <w:szCs w:val="22"/>
          <w:shd w:val="clear" w:color="auto" w:fill="FFFFFF"/>
        </w:rPr>
        <w:t>complete goods</w:t>
      </w:r>
      <w:r w:rsidR="005E01A1" w:rsidRPr="00BF2CE5">
        <w:rPr>
          <w:sz w:val="22"/>
          <w:szCs w:val="22"/>
          <w:shd w:val="clear" w:color="auto" w:fill="FFFFFF"/>
        </w:rPr>
        <w:t xml:space="preserve">. </w:t>
      </w:r>
    </w:p>
    <w:p w14:paraId="26E96F7B" w14:textId="6487A682" w:rsidR="00925F3F" w:rsidRPr="00BF2CE5" w:rsidRDefault="00965701" w:rsidP="00BF2CE5">
      <w:pPr>
        <w:spacing w:after="60"/>
        <w:ind w:firstLine="720"/>
        <w:rPr>
          <w:sz w:val="22"/>
          <w:szCs w:val="22"/>
        </w:rPr>
      </w:pPr>
      <w:r w:rsidRPr="00BF2CE5">
        <w:rPr>
          <w:sz w:val="22"/>
          <w:szCs w:val="22"/>
        </w:rPr>
        <w:t xml:space="preserve">The </w:t>
      </w:r>
      <w:r w:rsidR="00E52E9A" w:rsidRPr="00BF2CE5">
        <w:rPr>
          <w:sz w:val="22"/>
          <w:szCs w:val="22"/>
        </w:rPr>
        <w:t>attempt to master the knowledge and</w:t>
      </w:r>
      <w:r w:rsidR="003F4439" w:rsidRPr="00BF2CE5">
        <w:rPr>
          <w:sz w:val="22"/>
          <w:szCs w:val="22"/>
        </w:rPr>
        <w:t xml:space="preserve"> capacities entailed in a </w:t>
      </w:r>
      <w:r w:rsidRPr="00BF2CE5">
        <w:rPr>
          <w:sz w:val="22"/>
          <w:szCs w:val="22"/>
        </w:rPr>
        <w:t>programme of study does in many ways constitute a comple</w:t>
      </w:r>
      <w:r w:rsidR="002A2DB9" w:rsidRPr="00BF2CE5">
        <w:rPr>
          <w:sz w:val="22"/>
          <w:szCs w:val="22"/>
        </w:rPr>
        <w:t xml:space="preserve">te good, bringing coherence </w:t>
      </w:r>
      <w:r w:rsidRPr="00BF2CE5">
        <w:rPr>
          <w:sz w:val="22"/>
          <w:szCs w:val="22"/>
        </w:rPr>
        <w:t xml:space="preserve">to both the exercise of agency and growth in that agency. </w:t>
      </w:r>
      <w:r w:rsidR="00E52E9A" w:rsidRPr="00BF2CE5">
        <w:rPr>
          <w:sz w:val="22"/>
          <w:szCs w:val="22"/>
        </w:rPr>
        <w:t xml:space="preserve">However, a pursuit of </w:t>
      </w:r>
      <w:r w:rsidRPr="00BF2CE5">
        <w:rPr>
          <w:sz w:val="22"/>
          <w:szCs w:val="22"/>
        </w:rPr>
        <w:t xml:space="preserve">skills and capacities </w:t>
      </w:r>
      <w:r w:rsidR="00DE3CFF" w:rsidRPr="00BF2CE5">
        <w:rPr>
          <w:sz w:val="22"/>
          <w:szCs w:val="22"/>
        </w:rPr>
        <w:t>that is primarily undertaken</w:t>
      </w:r>
      <w:r w:rsidR="00E52E9A" w:rsidRPr="00BF2CE5">
        <w:rPr>
          <w:sz w:val="22"/>
          <w:szCs w:val="22"/>
        </w:rPr>
        <w:t xml:space="preserve"> with a view to</w:t>
      </w:r>
      <w:r w:rsidRPr="00BF2CE5">
        <w:rPr>
          <w:sz w:val="22"/>
          <w:szCs w:val="22"/>
        </w:rPr>
        <w:t xml:space="preserve"> se</w:t>
      </w:r>
      <w:r w:rsidR="00E52E9A" w:rsidRPr="00BF2CE5">
        <w:rPr>
          <w:sz w:val="22"/>
          <w:szCs w:val="22"/>
        </w:rPr>
        <w:t>curing</w:t>
      </w:r>
      <w:r w:rsidRPr="00BF2CE5">
        <w:rPr>
          <w:sz w:val="22"/>
          <w:szCs w:val="22"/>
        </w:rPr>
        <w:t xml:space="preserve"> desired employment </w:t>
      </w:r>
      <w:r w:rsidR="00FC6C1B" w:rsidRPr="00BF2CE5">
        <w:rPr>
          <w:sz w:val="22"/>
          <w:szCs w:val="22"/>
        </w:rPr>
        <w:t>represents a relatively narrow focus. Certification, for in</w:t>
      </w:r>
      <w:r w:rsidR="002D020D" w:rsidRPr="00BF2CE5">
        <w:rPr>
          <w:sz w:val="22"/>
          <w:szCs w:val="22"/>
        </w:rPr>
        <w:t>stance, represents a key issue for employability</w:t>
      </w:r>
      <w:r w:rsidR="00FC6C1B" w:rsidRPr="00BF2CE5">
        <w:rPr>
          <w:sz w:val="22"/>
          <w:szCs w:val="22"/>
        </w:rPr>
        <w:t xml:space="preserve">, but the desire to gain a desirable qualification on its own </w:t>
      </w:r>
      <w:r w:rsidR="00AD0152" w:rsidRPr="00BF2CE5">
        <w:rPr>
          <w:sz w:val="22"/>
          <w:szCs w:val="22"/>
        </w:rPr>
        <w:t xml:space="preserve">does not necessarily translate into an </w:t>
      </w:r>
      <w:r w:rsidR="00FA172F" w:rsidRPr="00BF2CE5">
        <w:rPr>
          <w:sz w:val="22"/>
          <w:szCs w:val="22"/>
        </w:rPr>
        <w:t>intrinsic interest on the part of students in the</w:t>
      </w:r>
      <w:r w:rsidR="00FC6C1B" w:rsidRPr="00BF2CE5">
        <w:rPr>
          <w:sz w:val="22"/>
          <w:szCs w:val="22"/>
        </w:rPr>
        <w:t>ir</w:t>
      </w:r>
      <w:r w:rsidR="00797727" w:rsidRPr="00BF2CE5">
        <w:rPr>
          <w:sz w:val="22"/>
          <w:szCs w:val="22"/>
        </w:rPr>
        <w:t xml:space="preserve"> discipline, something that </w:t>
      </w:r>
      <w:r w:rsidR="005E01A1" w:rsidRPr="00BF2CE5">
        <w:rPr>
          <w:sz w:val="22"/>
          <w:szCs w:val="22"/>
        </w:rPr>
        <w:t>give</w:t>
      </w:r>
      <w:r w:rsidR="00797727" w:rsidRPr="00BF2CE5">
        <w:rPr>
          <w:sz w:val="22"/>
          <w:szCs w:val="22"/>
        </w:rPr>
        <w:t xml:space="preserve">s a sense of unity to one’s life as a student and enables one to flourish </w:t>
      </w:r>
      <w:r w:rsidR="00797727" w:rsidRPr="00BF2CE5">
        <w:rPr>
          <w:i/>
          <w:sz w:val="22"/>
          <w:szCs w:val="22"/>
        </w:rPr>
        <w:t>as a student</w:t>
      </w:r>
      <w:r w:rsidR="00FC6C1B" w:rsidRPr="00BF2CE5">
        <w:rPr>
          <w:sz w:val="22"/>
          <w:szCs w:val="22"/>
        </w:rPr>
        <w:t xml:space="preserve">. </w:t>
      </w:r>
      <w:r w:rsidR="00DE3CFF" w:rsidRPr="00BF2CE5">
        <w:rPr>
          <w:sz w:val="22"/>
          <w:szCs w:val="22"/>
        </w:rPr>
        <w:t>MacIntyre</w:t>
      </w:r>
      <w:r w:rsidR="00490E57" w:rsidRPr="00BF2CE5">
        <w:rPr>
          <w:sz w:val="22"/>
          <w:szCs w:val="22"/>
        </w:rPr>
        <w:t xml:space="preserve"> </w:t>
      </w:r>
      <w:r w:rsidR="00A804AE" w:rsidRPr="00BF2CE5">
        <w:rPr>
          <w:noProof/>
          <w:sz w:val="22"/>
          <w:szCs w:val="22"/>
        </w:rPr>
        <w:t>(1981)</w:t>
      </w:r>
      <w:r w:rsidR="00DE3CFF" w:rsidRPr="00BF2CE5">
        <w:rPr>
          <w:sz w:val="22"/>
          <w:szCs w:val="22"/>
        </w:rPr>
        <w:t xml:space="preserve">, indeed, argued that in order for one to thrive in the pursuit of any give practice, </w:t>
      </w:r>
      <w:r w:rsidR="00284688" w:rsidRPr="00BF2CE5">
        <w:rPr>
          <w:sz w:val="22"/>
          <w:szCs w:val="22"/>
        </w:rPr>
        <w:t xml:space="preserve">and this includes the practices that are integral to different domains of work, </w:t>
      </w:r>
      <w:r w:rsidR="00DE3CFF" w:rsidRPr="00BF2CE5">
        <w:rPr>
          <w:sz w:val="22"/>
          <w:szCs w:val="22"/>
        </w:rPr>
        <w:t>one needs to respect goods that are internal to that practice.</w:t>
      </w:r>
      <w:r w:rsidR="00284688" w:rsidRPr="00BF2CE5">
        <w:rPr>
          <w:sz w:val="22"/>
          <w:szCs w:val="22"/>
        </w:rPr>
        <w:t xml:space="preserve"> Higgins </w:t>
      </w:r>
      <w:r w:rsidR="00A804AE" w:rsidRPr="00BF2CE5">
        <w:rPr>
          <w:noProof/>
          <w:sz w:val="22"/>
          <w:szCs w:val="22"/>
        </w:rPr>
        <w:t>(2003)</w:t>
      </w:r>
      <w:r w:rsidR="00815BBB" w:rsidRPr="00BF2CE5">
        <w:rPr>
          <w:sz w:val="22"/>
          <w:szCs w:val="22"/>
        </w:rPr>
        <w:t xml:space="preserve"> contended</w:t>
      </w:r>
      <w:r w:rsidR="00925F3F" w:rsidRPr="00BF2CE5">
        <w:rPr>
          <w:sz w:val="22"/>
          <w:szCs w:val="22"/>
        </w:rPr>
        <w:t xml:space="preserve"> that internal goods are above all goods for practition</w:t>
      </w:r>
      <w:r w:rsidR="00284688" w:rsidRPr="00BF2CE5">
        <w:rPr>
          <w:sz w:val="22"/>
          <w:szCs w:val="22"/>
        </w:rPr>
        <w:t>ers: this includes</w:t>
      </w:r>
      <w:r w:rsidR="00925F3F" w:rsidRPr="00BF2CE5">
        <w:rPr>
          <w:rFonts w:eastAsia="Times New Roman"/>
          <w:sz w:val="22"/>
          <w:szCs w:val="22"/>
        </w:rPr>
        <w:t xml:space="preserve"> students</w:t>
      </w:r>
      <w:r w:rsidR="00284688" w:rsidRPr="00BF2CE5">
        <w:rPr>
          <w:rFonts w:eastAsia="Times New Roman"/>
          <w:sz w:val="22"/>
          <w:szCs w:val="22"/>
        </w:rPr>
        <w:t xml:space="preserve"> </w:t>
      </w:r>
      <w:r w:rsidR="00925F3F" w:rsidRPr="00BF2CE5">
        <w:rPr>
          <w:rFonts w:eastAsia="Times New Roman"/>
          <w:sz w:val="22"/>
          <w:szCs w:val="22"/>
        </w:rPr>
        <w:t>given the practices that are entailed in learning.</w:t>
      </w:r>
    </w:p>
    <w:p w14:paraId="4EB39C66" w14:textId="1C578137" w:rsidR="00E52E9A" w:rsidRPr="00BF2CE5" w:rsidRDefault="00797727" w:rsidP="00BF2CE5">
      <w:pPr>
        <w:spacing w:after="60"/>
        <w:ind w:firstLine="720"/>
        <w:rPr>
          <w:sz w:val="22"/>
          <w:szCs w:val="22"/>
        </w:rPr>
      </w:pPr>
      <w:r w:rsidRPr="00BF2CE5">
        <w:rPr>
          <w:sz w:val="22"/>
          <w:szCs w:val="22"/>
        </w:rPr>
        <w:t xml:space="preserve">Furthermore, </w:t>
      </w:r>
      <w:r w:rsidR="00C64A45" w:rsidRPr="00BF2CE5">
        <w:rPr>
          <w:sz w:val="22"/>
          <w:szCs w:val="22"/>
        </w:rPr>
        <w:t>i</w:t>
      </w:r>
      <w:r w:rsidR="00121133" w:rsidRPr="00BF2CE5">
        <w:rPr>
          <w:sz w:val="22"/>
          <w:szCs w:val="22"/>
        </w:rPr>
        <w:t xml:space="preserve">f </w:t>
      </w:r>
      <w:r w:rsidR="00162099" w:rsidRPr="00BF2CE5">
        <w:rPr>
          <w:sz w:val="22"/>
          <w:szCs w:val="22"/>
        </w:rPr>
        <w:t xml:space="preserve">we </w:t>
      </w:r>
      <w:r w:rsidR="00E231CA" w:rsidRPr="00BF2CE5">
        <w:rPr>
          <w:sz w:val="22"/>
          <w:szCs w:val="22"/>
        </w:rPr>
        <w:t xml:space="preserve">view the change </w:t>
      </w:r>
      <w:r w:rsidR="00121133" w:rsidRPr="00BF2CE5">
        <w:rPr>
          <w:sz w:val="22"/>
          <w:szCs w:val="22"/>
        </w:rPr>
        <w:t xml:space="preserve">within the capacities and knowledge that students develop while at university </w:t>
      </w:r>
      <w:r w:rsidR="00162099" w:rsidRPr="00BF2CE5">
        <w:rPr>
          <w:sz w:val="22"/>
          <w:szCs w:val="22"/>
        </w:rPr>
        <w:t xml:space="preserve">exclusively </w:t>
      </w:r>
      <w:r w:rsidR="00121133" w:rsidRPr="00BF2CE5">
        <w:rPr>
          <w:sz w:val="22"/>
          <w:szCs w:val="22"/>
        </w:rPr>
        <w:t xml:space="preserve">within </w:t>
      </w:r>
      <w:r w:rsidR="00690A7C" w:rsidRPr="00BF2CE5">
        <w:rPr>
          <w:sz w:val="22"/>
          <w:szCs w:val="22"/>
        </w:rPr>
        <w:t>a f</w:t>
      </w:r>
      <w:r w:rsidR="00FA172F" w:rsidRPr="00BF2CE5">
        <w:rPr>
          <w:sz w:val="22"/>
          <w:szCs w:val="22"/>
        </w:rPr>
        <w:t>raming of employability,</w:t>
      </w:r>
      <w:r w:rsidR="00121133" w:rsidRPr="00BF2CE5">
        <w:rPr>
          <w:sz w:val="22"/>
          <w:szCs w:val="22"/>
        </w:rPr>
        <w:t xml:space="preserve"> it i</w:t>
      </w:r>
      <w:r w:rsidR="00690A7C" w:rsidRPr="00BF2CE5">
        <w:rPr>
          <w:sz w:val="22"/>
          <w:szCs w:val="22"/>
        </w:rPr>
        <w:t>s hard</w:t>
      </w:r>
      <w:r w:rsidR="00121133" w:rsidRPr="00BF2CE5">
        <w:rPr>
          <w:sz w:val="22"/>
          <w:szCs w:val="22"/>
        </w:rPr>
        <w:t xml:space="preserve"> to see how this could be consi</w:t>
      </w:r>
      <w:r w:rsidR="00FA172F" w:rsidRPr="00BF2CE5">
        <w:rPr>
          <w:sz w:val="22"/>
          <w:szCs w:val="22"/>
        </w:rPr>
        <w:t>dered as morphogenesis</w:t>
      </w:r>
      <w:r w:rsidR="00121133" w:rsidRPr="00BF2CE5">
        <w:rPr>
          <w:sz w:val="22"/>
          <w:szCs w:val="22"/>
        </w:rPr>
        <w:t xml:space="preserve"> in its fullest sense. Whi</w:t>
      </w:r>
      <w:r w:rsidR="00F12669" w:rsidRPr="00BF2CE5">
        <w:rPr>
          <w:sz w:val="22"/>
          <w:szCs w:val="22"/>
        </w:rPr>
        <w:t>le it is true that change has</w:t>
      </w:r>
      <w:r w:rsidR="00121133" w:rsidRPr="00BF2CE5">
        <w:rPr>
          <w:sz w:val="22"/>
          <w:szCs w:val="22"/>
        </w:rPr>
        <w:t xml:space="preserve"> occurred with </w:t>
      </w:r>
      <w:r w:rsidR="004A5C1D" w:rsidRPr="00BF2CE5">
        <w:rPr>
          <w:sz w:val="22"/>
          <w:szCs w:val="22"/>
        </w:rPr>
        <w:t xml:space="preserve">respect to the capacities of </w:t>
      </w:r>
      <w:r w:rsidR="00121133" w:rsidRPr="00BF2CE5">
        <w:rPr>
          <w:sz w:val="22"/>
          <w:szCs w:val="22"/>
        </w:rPr>
        <w:t>student</w:t>
      </w:r>
      <w:r w:rsidR="004A5C1D" w:rsidRPr="00BF2CE5">
        <w:rPr>
          <w:sz w:val="22"/>
          <w:szCs w:val="22"/>
        </w:rPr>
        <w:t>s as</w:t>
      </w:r>
      <w:r w:rsidR="007E6F1F" w:rsidRPr="00BF2CE5">
        <w:rPr>
          <w:sz w:val="22"/>
          <w:szCs w:val="22"/>
        </w:rPr>
        <w:t xml:space="preserve"> primary agent</w:t>
      </w:r>
      <w:r w:rsidR="004A5C1D" w:rsidRPr="00BF2CE5">
        <w:rPr>
          <w:sz w:val="22"/>
          <w:szCs w:val="22"/>
        </w:rPr>
        <w:t>s</w:t>
      </w:r>
      <w:r w:rsidR="00690A7C" w:rsidRPr="00BF2CE5">
        <w:rPr>
          <w:sz w:val="22"/>
          <w:szCs w:val="22"/>
        </w:rPr>
        <w:t>, it remains the</w:t>
      </w:r>
      <w:r w:rsidR="00121133" w:rsidRPr="00BF2CE5">
        <w:rPr>
          <w:sz w:val="22"/>
          <w:szCs w:val="22"/>
        </w:rPr>
        <w:t xml:space="preserve"> case that these capacities </w:t>
      </w:r>
      <w:r w:rsidR="007E6F1F" w:rsidRPr="00BF2CE5">
        <w:rPr>
          <w:sz w:val="22"/>
          <w:szCs w:val="22"/>
        </w:rPr>
        <w:t xml:space="preserve">are primarily likely to </w:t>
      </w:r>
      <w:r w:rsidR="00121133" w:rsidRPr="00BF2CE5">
        <w:rPr>
          <w:sz w:val="22"/>
          <w:szCs w:val="22"/>
        </w:rPr>
        <w:t>entail a reproduction of priorities</w:t>
      </w:r>
      <w:r w:rsidR="00E231CA" w:rsidRPr="00BF2CE5">
        <w:rPr>
          <w:sz w:val="22"/>
          <w:szCs w:val="22"/>
        </w:rPr>
        <w:t xml:space="preserve"> or framings</w:t>
      </w:r>
      <w:r w:rsidR="00121133" w:rsidRPr="00BF2CE5">
        <w:rPr>
          <w:sz w:val="22"/>
          <w:szCs w:val="22"/>
        </w:rPr>
        <w:t xml:space="preserve"> that have been established by others.</w:t>
      </w:r>
      <w:r w:rsidR="00162099" w:rsidRPr="00BF2CE5">
        <w:rPr>
          <w:sz w:val="22"/>
          <w:szCs w:val="22"/>
        </w:rPr>
        <w:t xml:space="preserve"> </w:t>
      </w:r>
      <w:r w:rsidR="007721FF" w:rsidRPr="00BF2CE5">
        <w:rPr>
          <w:sz w:val="22"/>
          <w:szCs w:val="22"/>
        </w:rPr>
        <w:t xml:space="preserve">What we see here is what </w:t>
      </w:r>
      <w:r w:rsidR="007721FF" w:rsidRPr="00BF2CE5">
        <w:rPr>
          <w:rFonts w:eastAsia="Times New Roman"/>
          <w:color w:val="000000"/>
          <w:sz w:val="22"/>
          <w:szCs w:val="22"/>
        </w:rPr>
        <w:t xml:space="preserve">Moschella </w:t>
      </w:r>
      <w:r w:rsidR="00A804AE" w:rsidRPr="00BF2CE5">
        <w:rPr>
          <w:rFonts w:eastAsia="Times New Roman"/>
          <w:noProof/>
          <w:color w:val="000000"/>
          <w:sz w:val="22"/>
          <w:szCs w:val="22"/>
        </w:rPr>
        <w:t>(2014, 89)</w:t>
      </w:r>
      <w:r w:rsidR="007721FF" w:rsidRPr="00BF2CE5">
        <w:rPr>
          <w:rFonts w:eastAsia="Times New Roman"/>
          <w:color w:val="000000"/>
          <w:sz w:val="22"/>
          <w:szCs w:val="22"/>
        </w:rPr>
        <w:t xml:space="preserve"> has called ‘</w:t>
      </w:r>
      <w:r w:rsidR="007721FF" w:rsidRPr="00BF2CE5">
        <w:rPr>
          <w:rFonts w:eastAsia="Times New Roman"/>
          <w:sz w:val="22"/>
          <w:szCs w:val="22"/>
        </w:rPr>
        <w:t xml:space="preserve">an emaciated view of rationality devoid of a capacity to know the good,’ one in which reflexivity is restricted. </w:t>
      </w:r>
      <w:r w:rsidR="00C64A45" w:rsidRPr="00BF2CE5">
        <w:rPr>
          <w:sz w:val="22"/>
          <w:szCs w:val="22"/>
        </w:rPr>
        <w:t xml:space="preserve">A degree programme that is predicated on the skills desired by employers might </w:t>
      </w:r>
      <w:r w:rsidR="00334D55" w:rsidRPr="00BF2CE5">
        <w:rPr>
          <w:sz w:val="22"/>
          <w:szCs w:val="22"/>
        </w:rPr>
        <w:t xml:space="preserve">well </w:t>
      </w:r>
      <w:r w:rsidR="00C64A45" w:rsidRPr="00BF2CE5">
        <w:rPr>
          <w:sz w:val="22"/>
          <w:szCs w:val="22"/>
        </w:rPr>
        <w:t>be less likely to promote a questioning of what is taken for gra</w:t>
      </w:r>
      <w:r w:rsidR="007721FF" w:rsidRPr="00BF2CE5">
        <w:rPr>
          <w:sz w:val="22"/>
          <w:szCs w:val="22"/>
        </w:rPr>
        <w:t xml:space="preserve">nted, or to develop social relations </w:t>
      </w:r>
      <w:r w:rsidR="00C64A45" w:rsidRPr="00BF2CE5">
        <w:rPr>
          <w:sz w:val="22"/>
          <w:szCs w:val="22"/>
        </w:rPr>
        <w:t xml:space="preserve">with those who might provide an alternative perspective. The recent proposals in the UK around degree-level apprenticeships </w:t>
      </w:r>
      <w:r w:rsidR="00A804AE" w:rsidRPr="00BF2CE5">
        <w:rPr>
          <w:noProof/>
          <w:sz w:val="22"/>
          <w:szCs w:val="22"/>
        </w:rPr>
        <w:t>(Higher Education Funding Council for England 2016a)</w:t>
      </w:r>
      <w:r w:rsidR="00C64A45" w:rsidRPr="00BF2CE5">
        <w:rPr>
          <w:sz w:val="22"/>
          <w:szCs w:val="22"/>
        </w:rPr>
        <w:t xml:space="preserve">, </w:t>
      </w:r>
      <w:r w:rsidR="00334D55" w:rsidRPr="00BF2CE5">
        <w:rPr>
          <w:sz w:val="22"/>
          <w:szCs w:val="22"/>
        </w:rPr>
        <w:t xml:space="preserve">for instance, are </w:t>
      </w:r>
      <w:r w:rsidR="007721FF" w:rsidRPr="00BF2CE5">
        <w:rPr>
          <w:sz w:val="22"/>
          <w:szCs w:val="22"/>
        </w:rPr>
        <w:t>tightly</w:t>
      </w:r>
      <w:r w:rsidR="00C64A45" w:rsidRPr="00BF2CE5">
        <w:rPr>
          <w:sz w:val="22"/>
          <w:szCs w:val="22"/>
        </w:rPr>
        <w:t xml:space="preserve"> focused on economic productivity and career progression</w:t>
      </w:r>
      <w:r w:rsidR="00C20A87" w:rsidRPr="00BF2CE5">
        <w:rPr>
          <w:sz w:val="22"/>
          <w:szCs w:val="22"/>
        </w:rPr>
        <w:t>.</w:t>
      </w:r>
      <w:r w:rsidR="00875158" w:rsidRPr="00BF2CE5">
        <w:rPr>
          <w:sz w:val="22"/>
          <w:szCs w:val="22"/>
        </w:rPr>
        <w:t xml:space="preserve"> </w:t>
      </w:r>
      <w:r w:rsidR="00C20A87" w:rsidRPr="00BF2CE5">
        <w:rPr>
          <w:sz w:val="22"/>
          <w:szCs w:val="22"/>
        </w:rPr>
        <w:t>E</w:t>
      </w:r>
      <w:r w:rsidR="00875158" w:rsidRPr="00BF2CE5">
        <w:rPr>
          <w:sz w:val="22"/>
          <w:szCs w:val="22"/>
        </w:rPr>
        <w:t>m</w:t>
      </w:r>
      <w:r w:rsidR="0018132B" w:rsidRPr="00BF2CE5">
        <w:rPr>
          <w:sz w:val="22"/>
          <w:szCs w:val="22"/>
        </w:rPr>
        <w:t xml:space="preserve">ployer control </w:t>
      </w:r>
      <w:r w:rsidR="003F4439" w:rsidRPr="00BF2CE5">
        <w:rPr>
          <w:sz w:val="22"/>
          <w:szCs w:val="22"/>
        </w:rPr>
        <w:t xml:space="preserve">is </w:t>
      </w:r>
      <w:r w:rsidR="0018132B" w:rsidRPr="00BF2CE5">
        <w:rPr>
          <w:sz w:val="22"/>
          <w:szCs w:val="22"/>
        </w:rPr>
        <w:t>envisaged over the content of the</w:t>
      </w:r>
      <w:r w:rsidR="003F4439" w:rsidRPr="00BF2CE5">
        <w:rPr>
          <w:sz w:val="22"/>
          <w:szCs w:val="22"/>
        </w:rPr>
        <w:t>se apprenticeships</w:t>
      </w:r>
      <w:r w:rsidR="008309BF" w:rsidRPr="00BF2CE5">
        <w:rPr>
          <w:sz w:val="22"/>
          <w:szCs w:val="22"/>
        </w:rPr>
        <w:t xml:space="preserve">. </w:t>
      </w:r>
      <w:r w:rsidR="00C64A45" w:rsidRPr="00BF2CE5">
        <w:rPr>
          <w:sz w:val="22"/>
          <w:szCs w:val="22"/>
        </w:rPr>
        <w:t xml:space="preserve">Altbach, Reisberg and Rumbley </w:t>
      </w:r>
      <w:r w:rsidR="00A804AE" w:rsidRPr="00BF2CE5">
        <w:rPr>
          <w:noProof/>
          <w:sz w:val="22"/>
          <w:szCs w:val="22"/>
        </w:rPr>
        <w:t>(2009)</w:t>
      </w:r>
      <w:r w:rsidR="00C64A45" w:rsidRPr="00BF2CE5">
        <w:rPr>
          <w:sz w:val="22"/>
          <w:szCs w:val="22"/>
        </w:rPr>
        <w:t xml:space="preserve"> argued</w:t>
      </w:r>
      <w:r w:rsidR="0094168F" w:rsidRPr="00BF2CE5">
        <w:rPr>
          <w:sz w:val="22"/>
          <w:szCs w:val="22"/>
        </w:rPr>
        <w:t xml:space="preserve"> in a report for the </w:t>
      </w:r>
      <w:r w:rsidR="0094168F" w:rsidRPr="00BF2CE5">
        <w:rPr>
          <w:rFonts w:eastAsia="Times New Roman"/>
          <w:sz w:val="22"/>
          <w:szCs w:val="22"/>
        </w:rPr>
        <w:t>United Nations Educational, Scientific and Cultural Organization (UNESCO)</w:t>
      </w:r>
      <w:r w:rsidR="00C64A45" w:rsidRPr="00BF2CE5">
        <w:rPr>
          <w:sz w:val="22"/>
          <w:szCs w:val="22"/>
        </w:rPr>
        <w:t xml:space="preserve"> that one of the most notable trends in higher education worldwide in recent decades has been the growth of privately-provided higher education, but it is clear that such provision prioritises degree programmes that are </w:t>
      </w:r>
      <w:r w:rsidR="00CE4329" w:rsidRPr="00BF2CE5">
        <w:rPr>
          <w:sz w:val="22"/>
          <w:szCs w:val="22"/>
        </w:rPr>
        <w:t>focused</w:t>
      </w:r>
      <w:r w:rsidR="00C20A87" w:rsidRPr="00BF2CE5">
        <w:rPr>
          <w:sz w:val="22"/>
          <w:szCs w:val="22"/>
        </w:rPr>
        <w:t xml:space="preserve"> on education for the professions.</w:t>
      </w:r>
    </w:p>
    <w:p w14:paraId="75F00652" w14:textId="1F7309D9" w:rsidR="00D75E44" w:rsidRPr="00BF2CE5" w:rsidRDefault="00410717" w:rsidP="00BF2CE5">
      <w:pPr>
        <w:spacing w:after="60"/>
        <w:ind w:firstLine="720"/>
        <w:rPr>
          <w:sz w:val="22"/>
          <w:szCs w:val="22"/>
        </w:rPr>
      </w:pPr>
      <w:r w:rsidRPr="00BF2CE5">
        <w:rPr>
          <w:sz w:val="22"/>
          <w:szCs w:val="22"/>
        </w:rPr>
        <w:t>T</w:t>
      </w:r>
      <w:r w:rsidR="000B2D3D" w:rsidRPr="00BF2CE5">
        <w:rPr>
          <w:sz w:val="22"/>
          <w:szCs w:val="22"/>
        </w:rPr>
        <w:t>he pursuit of some sets of priorities</w:t>
      </w:r>
      <w:r w:rsidR="00854E87" w:rsidRPr="00BF2CE5">
        <w:rPr>
          <w:sz w:val="22"/>
          <w:szCs w:val="22"/>
        </w:rPr>
        <w:t>, however,</w:t>
      </w:r>
      <w:r w:rsidR="000B2D3D" w:rsidRPr="00BF2CE5">
        <w:rPr>
          <w:sz w:val="22"/>
          <w:szCs w:val="22"/>
        </w:rPr>
        <w:t xml:space="preserve"> may result in a</w:t>
      </w:r>
      <w:r w:rsidR="007721FF" w:rsidRPr="00BF2CE5">
        <w:rPr>
          <w:sz w:val="22"/>
          <w:szCs w:val="22"/>
        </w:rPr>
        <w:t xml:space="preserve"> more profound and far-reaching</w:t>
      </w:r>
      <w:r w:rsidR="00397318" w:rsidRPr="00BF2CE5">
        <w:rPr>
          <w:sz w:val="22"/>
          <w:szCs w:val="22"/>
        </w:rPr>
        <w:t xml:space="preserve"> emancipation </w:t>
      </w:r>
      <w:r w:rsidR="000B2D3D" w:rsidRPr="00BF2CE5">
        <w:rPr>
          <w:sz w:val="22"/>
          <w:szCs w:val="22"/>
        </w:rPr>
        <w:t>than that which might have been obtained if other priorities had bee</w:t>
      </w:r>
      <w:r w:rsidR="005078C3" w:rsidRPr="00BF2CE5">
        <w:rPr>
          <w:sz w:val="22"/>
          <w:szCs w:val="22"/>
        </w:rPr>
        <w:t xml:space="preserve">n pursued: the direction taken by morphogenesis </w:t>
      </w:r>
      <w:r w:rsidR="005078C3" w:rsidRPr="00BF2CE5">
        <w:rPr>
          <w:i/>
          <w:sz w:val="22"/>
          <w:szCs w:val="22"/>
        </w:rPr>
        <w:t xml:space="preserve">does </w:t>
      </w:r>
      <w:r w:rsidR="005078C3" w:rsidRPr="00BF2CE5">
        <w:rPr>
          <w:sz w:val="22"/>
          <w:szCs w:val="22"/>
        </w:rPr>
        <w:t>matter.</w:t>
      </w:r>
      <w:r w:rsidR="00DA644A" w:rsidRPr="00BF2CE5">
        <w:rPr>
          <w:rFonts w:eastAsia="Times New Roman"/>
          <w:sz w:val="22"/>
          <w:szCs w:val="22"/>
        </w:rPr>
        <w:t xml:space="preserve"> </w:t>
      </w:r>
      <w:r w:rsidRPr="00BF2CE5">
        <w:rPr>
          <w:sz w:val="22"/>
          <w:szCs w:val="22"/>
        </w:rPr>
        <w:t>Taylor (1989)</w:t>
      </w:r>
      <w:r w:rsidR="000B2D3D" w:rsidRPr="00BF2CE5">
        <w:rPr>
          <w:sz w:val="22"/>
          <w:szCs w:val="22"/>
        </w:rPr>
        <w:t xml:space="preserve"> suggested that some people live out their lives in r</w:t>
      </w:r>
      <w:r w:rsidR="00B25E3A" w:rsidRPr="00BF2CE5">
        <w:rPr>
          <w:sz w:val="22"/>
          <w:szCs w:val="22"/>
        </w:rPr>
        <w:t>elation to what he termed hyper</w:t>
      </w:r>
      <w:r w:rsidR="000B2D3D" w:rsidRPr="00BF2CE5">
        <w:rPr>
          <w:sz w:val="22"/>
          <w:szCs w:val="22"/>
        </w:rPr>
        <w:t>goods, goods that</w:t>
      </w:r>
      <w:r w:rsidR="00B25E3A" w:rsidRPr="00BF2CE5">
        <w:rPr>
          <w:sz w:val="22"/>
          <w:szCs w:val="22"/>
        </w:rPr>
        <w:t xml:space="preserve"> are both incomparably of greater worth than others and that</w:t>
      </w:r>
      <w:r w:rsidR="000B2D3D" w:rsidRPr="00BF2CE5">
        <w:rPr>
          <w:sz w:val="22"/>
          <w:szCs w:val="22"/>
        </w:rPr>
        <w:t xml:space="preserve"> provide a vantage point from which to make judgement</w:t>
      </w:r>
      <w:r w:rsidR="00B25E3A" w:rsidRPr="00BF2CE5">
        <w:rPr>
          <w:sz w:val="22"/>
          <w:szCs w:val="22"/>
        </w:rPr>
        <w:t>s on the pursuit of what is important in life.</w:t>
      </w:r>
      <w:r w:rsidR="008309BF" w:rsidRPr="00BF2CE5">
        <w:rPr>
          <w:sz w:val="22"/>
          <w:szCs w:val="22"/>
        </w:rPr>
        <w:t xml:space="preserve"> They are thus intrinsically likely to be pursued with dedication.</w:t>
      </w:r>
      <w:r w:rsidR="00AC16AE" w:rsidRPr="00BF2CE5">
        <w:rPr>
          <w:sz w:val="22"/>
          <w:szCs w:val="22"/>
        </w:rPr>
        <w:t xml:space="preserve"> </w:t>
      </w:r>
      <w:r w:rsidR="00854E87" w:rsidRPr="00BF2CE5">
        <w:rPr>
          <w:sz w:val="22"/>
          <w:szCs w:val="22"/>
        </w:rPr>
        <w:t>Hypergoods are closely associated with religion, culture and the pursuit</w:t>
      </w:r>
      <w:r w:rsidR="007721FF" w:rsidRPr="00BF2CE5">
        <w:rPr>
          <w:sz w:val="22"/>
          <w:szCs w:val="22"/>
        </w:rPr>
        <w:t xml:space="preserve"> of social justice</w:t>
      </w:r>
      <w:r w:rsidR="00854E87" w:rsidRPr="00BF2CE5">
        <w:rPr>
          <w:sz w:val="22"/>
          <w:szCs w:val="22"/>
        </w:rPr>
        <w:t xml:space="preserve">. </w:t>
      </w:r>
      <w:r w:rsidR="00AF5281" w:rsidRPr="00BF2CE5">
        <w:rPr>
          <w:sz w:val="22"/>
          <w:szCs w:val="22"/>
        </w:rPr>
        <w:t>These domain</w:t>
      </w:r>
      <w:r w:rsidR="003F4439" w:rsidRPr="00BF2CE5">
        <w:rPr>
          <w:sz w:val="22"/>
          <w:szCs w:val="22"/>
        </w:rPr>
        <w:t xml:space="preserve">s are also </w:t>
      </w:r>
      <w:r w:rsidR="00BC413F" w:rsidRPr="00BF2CE5">
        <w:rPr>
          <w:sz w:val="22"/>
          <w:szCs w:val="22"/>
        </w:rPr>
        <w:t>linked to the</w:t>
      </w:r>
      <w:r w:rsidR="00AF5281" w:rsidRPr="00BF2CE5">
        <w:rPr>
          <w:sz w:val="22"/>
          <w:szCs w:val="22"/>
        </w:rPr>
        <w:t xml:space="preserve"> personal and social identity</w:t>
      </w:r>
      <w:r w:rsidR="003F4439" w:rsidRPr="00BF2CE5">
        <w:rPr>
          <w:sz w:val="22"/>
          <w:szCs w:val="22"/>
        </w:rPr>
        <w:t xml:space="preserve"> of many people. Furthermore, </w:t>
      </w:r>
      <w:r w:rsidR="002D020D" w:rsidRPr="00BF2CE5">
        <w:rPr>
          <w:sz w:val="22"/>
          <w:szCs w:val="22"/>
        </w:rPr>
        <w:t>people</w:t>
      </w:r>
      <w:r w:rsidR="003F4439" w:rsidRPr="00BF2CE5">
        <w:rPr>
          <w:sz w:val="22"/>
          <w:szCs w:val="22"/>
        </w:rPr>
        <w:t xml:space="preserve"> typically pursue hypergoods alongside others,</w:t>
      </w:r>
      <w:r w:rsidR="002D020D" w:rsidRPr="00BF2CE5">
        <w:rPr>
          <w:sz w:val="22"/>
          <w:szCs w:val="22"/>
        </w:rPr>
        <w:t xml:space="preserve"> helping as this does to ensure a more fully adequate bas</w:t>
      </w:r>
      <w:r w:rsidR="00334D55" w:rsidRPr="00BF2CE5">
        <w:rPr>
          <w:sz w:val="22"/>
          <w:szCs w:val="22"/>
        </w:rPr>
        <w:t>is for social life</w:t>
      </w:r>
      <w:r w:rsidR="002D020D" w:rsidRPr="00BF2CE5">
        <w:rPr>
          <w:sz w:val="22"/>
          <w:szCs w:val="22"/>
        </w:rPr>
        <w:t>. Indeed, this coming together</w:t>
      </w:r>
      <w:r w:rsidR="00334D55" w:rsidRPr="00BF2CE5">
        <w:rPr>
          <w:sz w:val="22"/>
          <w:szCs w:val="22"/>
        </w:rPr>
        <w:t xml:space="preserve"> around a hypergood </w:t>
      </w:r>
      <w:r w:rsidR="002D020D" w:rsidRPr="00BF2CE5">
        <w:rPr>
          <w:sz w:val="22"/>
          <w:szCs w:val="22"/>
        </w:rPr>
        <w:t xml:space="preserve">offers excellent scope </w:t>
      </w:r>
      <w:r w:rsidR="005541CC" w:rsidRPr="00BF2CE5">
        <w:rPr>
          <w:sz w:val="22"/>
          <w:szCs w:val="22"/>
        </w:rPr>
        <w:t xml:space="preserve">to foster the </w:t>
      </w:r>
      <w:r w:rsidR="00EE3FA6" w:rsidRPr="00BF2CE5">
        <w:rPr>
          <w:sz w:val="22"/>
          <w:szCs w:val="22"/>
        </w:rPr>
        <w:t>s</w:t>
      </w:r>
      <w:r w:rsidR="002D020D" w:rsidRPr="00BF2CE5">
        <w:rPr>
          <w:sz w:val="22"/>
          <w:szCs w:val="22"/>
        </w:rPr>
        <w:t>ocial</w:t>
      </w:r>
      <w:r w:rsidR="00EE3FA6" w:rsidRPr="00BF2CE5">
        <w:rPr>
          <w:sz w:val="22"/>
          <w:szCs w:val="22"/>
        </w:rPr>
        <w:t xml:space="preserve"> relations and </w:t>
      </w:r>
      <w:r w:rsidR="005541CC" w:rsidRPr="00BF2CE5">
        <w:rPr>
          <w:sz w:val="22"/>
          <w:szCs w:val="22"/>
        </w:rPr>
        <w:t>forms of organisation that are central to</w:t>
      </w:r>
      <w:r w:rsidR="002D020D" w:rsidRPr="00BF2CE5">
        <w:rPr>
          <w:sz w:val="22"/>
          <w:szCs w:val="22"/>
        </w:rPr>
        <w:t xml:space="preserve"> corporate agency. </w:t>
      </w:r>
      <w:r w:rsidR="009F0256" w:rsidRPr="00BF2CE5">
        <w:rPr>
          <w:sz w:val="22"/>
          <w:szCs w:val="22"/>
        </w:rPr>
        <w:t>The pursuit of a hyper</w:t>
      </w:r>
      <w:r w:rsidR="00C51812" w:rsidRPr="00BF2CE5">
        <w:rPr>
          <w:sz w:val="22"/>
          <w:szCs w:val="22"/>
        </w:rPr>
        <w:t>good</w:t>
      </w:r>
      <w:r w:rsidR="00334D55" w:rsidRPr="00BF2CE5">
        <w:rPr>
          <w:sz w:val="22"/>
          <w:szCs w:val="22"/>
        </w:rPr>
        <w:t>,</w:t>
      </w:r>
      <w:r w:rsidR="00C51812" w:rsidRPr="00BF2CE5">
        <w:rPr>
          <w:sz w:val="22"/>
          <w:szCs w:val="22"/>
        </w:rPr>
        <w:t xml:space="preserve"> </w:t>
      </w:r>
      <w:r w:rsidR="00334D55" w:rsidRPr="00BF2CE5">
        <w:rPr>
          <w:sz w:val="22"/>
          <w:szCs w:val="22"/>
        </w:rPr>
        <w:t xml:space="preserve">furthermore, </w:t>
      </w:r>
      <w:r w:rsidR="00C51812" w:rsidRPr="00BF2CE5">
        <w:rPr>
          <w:sz w:val="22"/>
          <w:szCs w:val="22"/>
        </w:rPr>
        <w:t xml:space="preserve">offers a realistic possibility of ensuring that reflexivity is not closed in upon one’s own interests, </w:t>
      </w:r>
      <w:r w:rsidR="00334D55" w:rsidRPr="00BF2CE5">
        <w:rPr>
          <w:sz w:val="22"/>
          <w:szCs w:val="22"/>
        </w:rPr>
        <w:t>a closure t</w:t>
      </w:r>
      <w:r w:rsidR="00C51812" w:rsidRPr="00BF2CE5">
        <w:rPr>
          <w:sz w:val="22"/>
          <w:szCs w:val="22"/>
        </w:rPr>
        <w:t>hat Taylor (1989) noted is clos</w:t>
      </w:r>
      <w:r w:rsidR="009F0256" w:rsidRPr="00BF2CE5">
        <w:rPr>
          <w:sz w:val="22"/>
          <w:szCs w:val="22"/>
        </w:rPr>
        <w:t>ely a</w:t>
      </w:r>
      <w:r w:rsidR="007721FF" w:rsidRPr="00BF2CE5">
        <w:rPr>
          <w:sz w:val="22"/>
          <w:szCs w:val="22"/>
        </w:rPr>
        <w:t>ssociated with human brokenness</w:t>
      </w:r>
      <w:r w:rsidR="00C51812" w:rsidRPr="00BF2CE5">
        <w:rPr>
          <w:sz w:val="22"/>
          <w:szCs w:val="22"/>
        </w:rPr>
        <w:t>.</w:t>
      </w:r>
      <w:r w:rsidR="00D75E44" w:rsidRPr="00BF2CE5">
        <w:rPr>
          <w:sz w:val="22"/>
          <w:szCs w:val="22"/>
        </w:rPr>
        <w:t xml:space="preserve"> </w:t>
      </w:r>
    </w:p>
    <w:p w14:paraId="737CE542" w14:textId="48D03039" w:rsidR="00BB3E83" w:rsidRPr="00BF2CE5" w:rsidRDefault="00AD29B3" w:rsidP="00BF2CE5">
      <w:pPr>
        <w:spacing w:after="60"/>
        <w:ind w:firstLine="720"/>
        <w:rPr>
          <w:sz w:val="22"/>
          <w:szCs w:val="22"/>
        </w:rPr>
      </w:pPr>
      <w:r w:rsidRPr="00BF2CE5">
        <w:rPr>
          <w:sz w:val="22"/>
          <w:szCs w:val="22"/>
        </w:rPr>
        <w:t xml:space="preserve"> </w:t>
      </w:r>
      <w:r w:rsidR="00AC16AE" w:rsidRPr="00BF2CE5">
        <w:rPr>
          <w:sz w:val="22"/>
          <w:szCs w:val="22"/>
        </w:rPr>
        <w:t>S</w:t>
      </w:r>
      <w:r w:rsidR="000B2D3D" w:rsidRPr="00BF2CE5">
        <w:rPr>
          <w:sz w:val="22"/>
          <w:szCs w:val="22"/>
        </w:rPr>
        <w:t>cope</w:t>
      </w:r>
      <w:r w:rsidR="00AC16AE" w:rsidRPr="00BF2CE5">
        <w:rPr>
          <w:sz w:val="22"/>
          <w:szCs w:val="22"/>
        </w:rPr>
        <w:t xml:space="preserve"> remains, though,</w:t>
      </w:r>
      <w:r w:rsidRPr="00BF2CE5">
        <w:rPr>
          <w:sz w:val="22"/>
          <w:szCs w:val="22"/>
        </w:rPr>
        <w:t xml:space="preserve"> for debate and contestation</w:t>
      </w:r>
      <w:r w:rsidR="000B2D3D" w:rsidRPr="00BF2CE5">
        <w:rPr>
          <w:sz w:val="22"/>
          <w:szCs w:val="22"/>
        </w:rPr>
        <w:t xml:space="preserve"> as to which goods </w:t>
      </w:r>
      <w:r w:rsidR="00EF46DE" w:rsidRPr="00BF2CE5">
        <w:rPr>
          <w:sz w:val="22"/>
          <w:szCs w:val="22"/>
        </w:rPr>
        <w:t xml:space="preserve">are </w:t>
      </w:r>
      <w:r w:rsidR="000B2D3D" w:rsidRPr="00BF2CE5">
        <w:rPr>
          <w:sz w:val="22"/>
          <w:szCs w:val="22"/>
        </w:rPr>
        <w:t>associated wi</w:t>
      </w:r>
      <w:r w:rsidR="002D020D" w:rsidRPr="00BF2CE5">
        <w:rPr>
          <w:sz w:val="22"/>
          <w:szCs w:val="22"/>
        </w:rPr>
        <w:t>th the most complete</w:t>
      </w:r>
      <w:r w:rsidR="00B575AF" w:rsidRPr="00BF2CE5">
        <w:rPr>
          <w:sz w:val="22"/>
          <w:szCs w:val="22"/>
        </w:rPr>
        <w:t xml:space="preserve"> expressions of flourishing.</w:t>
      </w:r>
      <w:r w:rsidR="00B25E3A" w:rsidRPr="00BF2CE5">
        <w:rPr>
          <w:sz w:val="22"/>
          <w:szCs w:val="22"/>
        </w:rPr>
        <w:t xml:space="preserve"> </w:t>
      </w:r>
      <w:r w:rsidR="002D020D" w:rsidRPr="00BF2CE5">
        <w:rPr>
          <w:sz w:val="22"/>
          <w:szCs w:val="22"/>
        </w:rPr>
        <w:t>The imposition of a hypergood, meanwhile, without some form of invitation to consider how its pursuit leads to human flourishing inherently involves a restricted exercise of reflexivity. On this view, religious</w:t>
      </w:r>
      <w:r w:rsidR="00EF46DE" w:rsidRPr="00BF2CE5">
        <w:rPr>
          <w:sz w:val="22"/>
          <w:szCs w:val="22"/>
        </w:rPr>
        <w:t xml:space="preserve">, </w:t>
      </w:r>
      <w:r w:rsidR="002D020D" w:rsidRPr="00BF2CE5">
        <w:rPr>
          <w:sz w:val="22"/>
          <w:szCs w:val="22"/>
        </w:rPr>
        <w:t>cultural</w:t>
      </w:r>
      <w:r w:rsidR="00EF46DE" w:rsidRPr="00BF2CE5">
        <w:rPr>
          <w:sz w:val="22"/>
          <w:szCs w:val="22"/>
        </w:rPr>
        <w:t xml:space="preserve"> or social</w:t>
      </w:r>
      <w:r w:rsidR="002D020D" w:rsidRPr="00BF2CE5">
        <w:rPr>
          <w:sz w:val="22"/>
          <w:szCs w:val="22"/>
        </w:rPr>
        <w:t xml:space="preserve"> movements dehumanise in so far as they close down reflexivity, and thus </w:t>
      </w:r>
      <w:r w:rsidR="00EF46DE" w:rsidRPr="00BF2CE5">
        <w:rPr>
          <w:sz w:val="22"/>
          <w:szCs w:val="22"/>
        </w:rPr>
        <w:t xml:space="preserve">close down </w:t>
      </w:r>
      <w:r w:rsidR="002D020D" w:rsidRPr="00BF2CE5">
        <w:rPr>
          <w:sz w:val="22"/>
          <w:szCs w:val="22"/>
        </w:rPr>
        <w:t>scope for morphogenesis. Indeed, the extent to which reflexivity is encouraged as an integral aspect of the hypergood represents an important consideration in discerning which hypergoods allow persons to flourish more keenly.</w:t>
      </w:r>
      <w:r w:rsidR="00346F15" w:rsidRPr="00BF2CE5">
        <w:rPr>
          <w:sz w:val="22"/>
          <w:szCs w:val="22"/>
        </w:rPr>
        <w:t xml:space="preserve"> </w:t>
      </w:r>
      <w:r w:rsidR="001E71BA" w:rsidRPr="00BF2CE5">
        <w:rPr>
          <w:sz w:val="22"/>
          <w:szCs w:val="22"/>
        </w:rPr>
        <w:t>It is important that higher education constitutes</w:t>
      </w:r>
      <w:r w:rsidR="004A5C1D" w:rsidRPr="00BF2CE5">
        <w:rPr>
          <w:sz w:val="22"/>
          <w:szCs w:val="22"/>
        </w:rPr>
        <w:t xml:space="preserve"> an environment within which</w:t>
      </w:r>
      <w:r w:rsidR="001E71BA" w:rsidRPr="00BF2CE5">
        <w:rPr>
          <w:sz w:val="22"/>
          <w:szCs w:val="22"/>
        </w:rPr>
        <w:t xml:space="preserve"> learner</w:t>
      </w:r>
      <w:r w:rsidR="004A5C1D" w:rsidRPr="00BF2CE5">
        <w:rPr>
          <w:sz w:val="22"/>
          <w:szCs w:val="22"/>
        </w:rPr>
        <w:t>s are</w:t>
      </w:r>
      <w:r w:rsidR="001E71BA" w:rsidRPr="00BF2CE5">
        <w:rPr>
          <w:sz w:val="22"/>
          <w:szCs w:val="22"/>
        </w:rPr>
        <w:t xml:space="preserve"> ab</w:t>
      </w:r>
      <w:r w:rsidR="004A5C1D" w:rsidRPr="00BF2CE5">
        <w:rPr>
          <w:sz w:val="22"/>
          <w:szCs w:val="22"/>
        </w:rPr>
        <w:t xml:space="preserve">le to operate and develop as </w:t>
      </w:r>
      <w:r w:rsidR="001E71BA" w:rsidRPr="00BF2CE5">
        <w:rPr>
          <w:sz w:val="22"/>
          <w:szCs w:val="22"/>
        </w:rPr>
        <w:t>agent</w:t>
      </w:r>
      <w:r w:rsidR="004A5C1D" w:rsidRPr="00BF2CE5">
        <w:rPr>
          <w:sz w:val="22"/>
          <w:szCs w:val="22"/>
        </w:rPr>
        <w:t xml:space="preserve">s in </w:t>
      </w:r>
      <w:r w:rsidR="001E71BA" w:rsidRPr="00BF2CE5">
        <w:rPr>
          <w:sz w:val="22"/>
          <w:szCs w:val="22"/>
        </w:rPr>
        <w:t>direction</w:t>
      </w:r>
      <w:r w:rsidR="004A5C1D" w:rsidRPr="00BF2CE5">
        <w:rPr>
          <w:sz w:val="22"/>
          <w:szCs w:val="22"/>
        </w:rPr>
        <w:t>s that are</w:t>
      </w:r>
      <w:r w:rsidR="008A1F06" w:rsidRPr="00BF2CE5">
        <w:rPr>
          <w:sz w:val="22"/>
          <w:szCs w:val="22"/>
        </w:rPr>
        <w:t xml:space="preserve"> not simply imposed upon them.</w:t>
      </w:r>
      <w:r w:rsidR="00C64A45" w:rsidRPr="00BF2CE5">
        <w:rPr>
          <w:sz w:val="22"/>
          <w:szCs w:val="22"/>
        </w:rPr>
        <w:t xml:space="preserve"> Some openness is thus needed in the framing</w:t>
      </w:r>
      <w:r w:rsidR="002D020D" w:rsidRPr="00BF2CE5">
        <w:rPr>
          <w:sz w:val="22"/>
          <w:szCs w:val="22"/>
        </w:rPr>
        <w:t xml:space="preserve"> of the learning outcomes for </w:t>
      </w:r>
      <w:r w:rsidR="00C64A45" w:rsidRPr="00BF2CE5">
        <w:rPr>
          <w:sz w:val="22"/>
          <w:szCs w:val="22"/>
        </w:rPr>
        <w:t>programme</w:t>
      </w:r>
      <w:r w:rsidR="002D020D" w:rsidRPr="00BF2CE5">
        <w:rPr>
          <w:sz w:val="22"/>
          <w:szCs w:val="22"/>
        </w:rPr>
        <w:t xml:space="preserve">s, </w:t>
      </w:r>
      <w:r w:rsidR="009F0256" w:rsidRPr="00BF2CE5">
        <w:rPr>
          <w:sz w:val="22"/>
          <w:szCs w:val="22"/>
        </w:rPr>
        <w:t>allowing students some latitude as they seek to frame modi vivendi, including</w:t>
      </w:r>
      <w:r w:rsidR="00EF46DE" w:rsidRPr="00BF2CE5">
        <w:rPr>
          <w:sz w:val="22"/>
          <w:szCs w:val="22"/>
        </w:rPr>
        <w:t>, where appropriate,</w:t>
      </w:r>
      <w:r w:rsidR="009F0256" w:rsidRPr="00BF2CE5">
        <w:rPr>
          <w:sz w:val="22"/>
          <w:szCs w:val="22"/>
        </w:rPr>
        <w:t xml:space="preserve"> those that are predicated on the pursuit of hypergoods.</w:t>
      </w:r>
      <w:r w:rsidR="00C64A45" w:rsidRPr="00BF2CE5">
        <w:rPr>
          <w:sz w:val="22"/>
          <w:szCs w:val="22"/>
        </w:rPr>
        <w:t xml:space="preserve"> </w:t>
      </w:r>
      <w:r w:rsidR="0018085F" w:rsidRPr="00BF2CE5">
        <w:rPr>
          <w:sz w:val="22"/>
          <w:szCs w:val="22"/>
        </w:rPr>
        <w:t xml:space="preserve">Such an approach contrasts with the model that currently dominates programme design in higher education, that of constructive alignment </w:t>
      </w:r>
      <w:r w:rsidR="00A804AE" w:rsidRPr="00BF2CE5">
        <w:rPr>
          <w:noProof/>
          <w:sz w:val="22"/>
          <w:szCs w:val="22"/>
        </w:rPr>
        <w:t>(Biggs 1996)</w:t>
      </w:r>
      <w:r w:rsidR="0018085F" w:rsidRPr="00BF2CE5">
        <w:rPr>
          <w:sz w:val="22"/>
          <w:szCs w:val="22"/>
        </w:rPr>
        <w:t xml:space="preserve"> in which a tight control is expected over the out</w:t>
      </w:r>
      <w:r w:rsidR="002D020D" w:rsidRPr="00BF2CE5">
        <w:rPr>
          <w:sz w:val="22"/>
          <w:szCs w:val="22"/>
        </w:rPr>
        <w:t>c</w:t>
      </w:r>
      <w:r w:rsidR="0018085F" w:rsidRPr="00BF2CE5">
        <w:rPr>
          <w:sz w:val="22"/>
          <w:szCs w:val="22"/>
        </w:rPr>
        <w:t xml:space="preserve">omes of student learning. </w:t>
      </w:r>
    </w:p>
    <w:p w14:paraId="3AF703B6" w14:textId="4498A910" w:rsidR="001A2919" w:rsidRPr="00BF2CE5" w:rsidRDefault="002073EE" w:rsidP="00BF2CE5">
      <w:pPr>
        <w:spacing w:after="60"/>
        <w:ind w:firstLine="720"/>
        <w:rPr>
          <w:sz w:val="22"/>
          <w:szCs w:val="22"/>
        </w:rPr>
      </w:pPr>
      <w:r w:rsidRPr="00BF2CE5">
        <w:rPr>
          <w:sz w:val="22"/>
          <w:szCs w:val="22"/>
        </w:rPr>
        <w:t>S</w:t>
      </w:r>
      <w:r w:rsidR="00C64A45" w:rsidRPr="00BF2CE5">
        <w:rPr>
          <w:sz w:val="22"/>
          <w:szCs w:val="22"/>
        </w:rPr>
        <w:t>tudent life beyond</w:t>
      </w:r>
      <w:r w:rsidRPr="00BF2CE5">
        <w:rPr>
          <w:sz w:val="22"/>
          <w:szCs w:val="22"/>
        </w:rPr>
        <w:t xml:space="preserve"> the curriculum</w:t>
      </w:r>
      <w:r w:rsidR="00826794" w:rsidRPr="00BF2CE5">
        <w:rPr>
          <w:sz w:val="22"/>
          <w:szCs w:val="22"/>
        </w:rPr>
        <w:t xml:space="preserve"> offers</w:t>
      </w:r>
      <w:r w:rsidR="003F4439" w:rsidRPr="00BF2CE5">
        <w:rPr>
          <w:sz w:val="22"/>
          <w:szCs w:val="22"/>
        </w:rPr>
        <w:t>,</w:t>
      </w:r>
      <w:r w:rsidR="00C64A45" w:rsidRPr="00BF2CE5">
        <w:rPr>
          <w:sz w:val="22"/>
          <w:szCs w:val="22"/>
        </w:rPr>
        <w:t xml:space="preserve"> </w:t>
      </w:r>
      <w:r w:rsidR="003F4439" w:rsidRPr="00BF2CE5">
        <w:rPr>
          <w:sz w:val="22"/>
          <w:szCs w:val="22"/>
        </w:rPr>
        <w:t xml:space="preserve">perhaps, more straightforward </w:t>
      </w:r>
      <w:r w:rsidR="00C64A45" w:rsidRPr="00BF2CE5">
        <w:rPr>
          <w:sz w:val="22"/>
          <w:szCs w:val="22"/>
        </w:rPr>
        <w:t>scope</w:t>
      </w:r>
      <w:r w:rsidR="003F4439" w:rsidRPr="00BF2CE5">
        <w:rPr>
          <w:sz w:val="22"/>
          <w:szCs w:val="22"/>
        </w:rPr>
        <w:t xml:space="preserve"> </w:t>
      </w:r>
      <w:r w:rsidRPr="00BF2CE5">
        <w:rPr>
          <w:sz w:val="22"/>
          <w:szCs w:val="22"/>
        </w:rPr>
        <w:t xml:space="preserve">for the pursuit of hypergoods, </w:t>
      </w:r>
      <w:r w:rsidR="00C64A45" w:rsidRPr="00BF2CE5">
        <w:rPr>
          <w:sz w:val="22"/>
          <w:szCs w:val="22"/>
        </w:rPr>
        <w:t>whether</w:t>
      </w:r>
      <w:r w:rsidRPr="00BF2CE5">
        <w:rPr>
          <w:sz w:val="22"/>
          <w:szCs w:val="22"/>
        </w:rPr>
        <w:t xml:space="preserve"> through</w:t>
      </w:r>
      <w:r w:rsidR="00C64A45" w:rsidRPr="00BF2CE5">
        <w:rPr>
          <w:sz w:val="22"/>
          <w:szCs w:val="22"/>
        </w:rPr>
        <w:t xml:space="preserve"> participation in student societies and clubs, life within a residence, </w:t>
      </w:r>
      <w:r w:rsidR="00284688" w:rsidRPr="00BF2CE5">
        <w:rPr>
          <w:sz w:val="22"/>
          <w:szCs w:val="22"/>
        </w:rPr>
        <w:t xml:space="preserve">engagement with a </w:t>
      </w:r>
      <w:r w:rsidR="00C64A45" w:rsidRPr="00BF2CE5">
        <w:rPr>
          <w:sz w:val="22"/>
          <w:szCs w:val="22"/>
        </w:rPr>
        <w:t>protest movements and so on. Such activity can provide a focus for morphogenesis</w:t>
      </w:r>
      <w:r w:rsidR="003F4439" w:rsidRPr="00BF2CE5">
        <w:rPr>
          <w:sz w:val="22"/>
          <w:szCs w:val="22"/>
        </w:rPr>
        <w:t xml:space="preserve">, particularly given that </w:t>
      </w:r>
      <w:r w:rsidR="00C64A45" w:rsidRPr="00BF2CE5">
        <w:rPr>
          <w:sz w:val="22"/>
          <w:szCs w:val="22"/>
        </w:rPr>
        <w:t xml:space="preserve">students </w:t>
      </w:r>
      <w:r w:rsidR="003F4439" w:rsidRPr="00BF2CE5">
        <w:rPr>
          <w:sz w:val="22"/>
          <w:szCs w:val="22"/>
        </w:rPr>
        <w:t>often take the lead</w:t>
      </w:r>
      <w:r w:rsidR="00C64A45" w:rsidRPr="00BF2CE5">
        <w:rPr>
          <w:sz w:val="22"/>
          <w:szCs w:val="22"/>
        </w:rPr>
        <w:t>.</w:t>
      </w:r>
      <w:r w:rsidR="00284688" w:rsidRPr="00BF2CE5">
        <w:rPr>
          <w:sz w:val="22"/>
          <w:szCs w:val="22"/>
        </w:rPr>
        <w:t xml:space="preserve"> The capacities that are developed in these settings are also valuable for </w:t>
      </w:r>
      <w:r w:rsidR="0045620C" w:rsidRPr="00BF2CE5">
        <w:rPr>
          <w:sz w:val="22"/>
          <w:szCs w:val="22"/>
        </w:rPr>
        <w:t xml:space="preserve">one’s subsequent </w:t>
      </w:r>
      <w:r w:rsidR="00284688" w:rsidRPr="00BF2CE5">
        <w:rPr>
          <w:sz w:val="22"/>
          <w:szCs w:val="22"/>
        </w:rPr>
        <w:t>working life</w:t>
      </w:r>
      <w:r w:rsidR="00CC2594" w:rsidRPr="00BF2CE5">
        <w:rPr>
          <w:sz w:val="22"/>
          <w:szCs w:val="22"/>
        </w:rPr>
        <w:t xml:space="preserve"> </w:t>
      </w:r>
      <w:r w:rsidR="00A804AE" w:rsidRPr="00BF2CE5">
        <w:rPr>
          <w:noProof/>
          <w:sz w:val="22"/>
          <w:szCs w:val="22"/>
        </w:rPr>
        <w:t>(Stevenson and Clegg 2011)</w:t>
      </w:r>
      <w:r w:rsidR="00CC2594" w:rsidRPr="00BF2CE5">
        <w:rPr>
          <w:sz w:val="22"/>
          <w:szCs w:val="22"/>
        </w:rPr>
        <w:t>,</w:t>
      </w:r>
      <w:r w:rsidR="00284688" w:rsidRPr="00BF2CE5">
        <w:rPr>
          <w:sz w:val="22"/>
          <w:szCs w:val="22"/>
        </w:rPr>
        <w:t xml:space="preserve"> </w:t>
      </w:r>
      <w:r w:rsidR="00780322" w:rsidRPr="00BF2CE5">
        <w:rPr>
          <w:sz w:val="22"/>
          <w:szCs w:val="22"/>
        </w:rPr>
        <w:t>especially where the capacity to establish</w:t>
      </w:r>
      <w:r w:rsidR="00284688" w:rsidRPr="00BF2CE5">
        <w:rPr>
          <w:sz w:val="22"/>
          <w:szCs w:val="22"/>
        </w:rPr>
        <w:t xml:space="preserve"> new ways of working or domains of employment</w:t>
      </w:r>
      <w:r w:rsidR="00780322" w:rsidRPr="00BF2CE5">
        <w:rPr>
          <w:sz w:val="22"/>
          <w:szCs w:val="22"/>
        </w:rPr>
        <w:t xml:space="preserve"> is concerned</w:t>
      </w:r>
      <w:r w:rsidR="00284688" w:rsidRPr="00BF2CE5">
        <w:rPr>
          <w:sz w:val="22"/>
          <w:szCs w:val="22"/>
        </w:rPr>
        <w:t>.</w:t>
      </w:r>
      <w:r w:rsidR="00780322" w:rsidRPr="00BF2CE5">
        <w:rPr>
          <w:sz w:val="22"/>
          <w:szCs w:val="22"/>
        </w:rPr>
        <w:t xml:space="preserve"> </w:t>
      </w:r>
      <w:r w:rsidR="00826794" w:rsidRPr="00BF2CE5">
        <w:rPr>
          <w:sz w:val="22"/>
          <w:szCs w:val="22"/>
        </w:rPr>
        <w:t>Such</w:t>
      </w:r>
      <w:r w:rsidR="003F4439" w:rsidRPr="00BF2CE5">
        <w:rPr>
          <w:sz w:val="22"/>
          <w:szCs w:val="22"/>
        </w:rPr>
        <w:t xml:space="preserve"> activity, indeed, can offer </w:t>
      </w:r>
      <w:r w:rsidR="00C64A45" w:rsidRPr="00BF2CE5">
        <w:rPr>
          <w:sz w:val="22"/>
          <w:szCs w:val="22"/>
        </w:rPr>
        <w:t>exposure</w:t>
      </w:r>
      <w:r w:rsidR="0045620C" w:rsidRPr="00BF2CE5">
        <w:rPr>
          <w:sz w:val="22"/>
          <w:szCs w:val="22"/>
        </w:rPr>
        <w:t xml:space="preserve"> to</w:t>
      </w:r>
      <w:r w:rsidR="00C64A45" w:rsidRPr="00BF2CE5">
        <w:rPr>
          <w:sz w:val="22"/>
          <w:szCs w:val="22"/>
        </w:rPr>
        <w:t xml:space="preserve"> </w:t>
      </w:r>
      <w:r w:rsidR="00325757" w:rsidRPr="00BF2CE5">
        <w:rPr>
          <w:sz w:val="22"/>
          <w:szCs w:val="22"/>
        </w:rPr>
        <w:t>those</w:t>
      </w:r>
      <w:r w:rsidR="0045620C" w:rsidRPr="00BF2CE5">
        <w:rPr>
          <w:sz w:val="22"/>
          <w:szCs w:val="22"/>
        </w:rPr>
        <w:t xml:space="preserve"> who p</w:t>
      </w:r>
      <w:r w:rsidR="003D7252" w:rsidRPr="00BF2CE5">
        <w:rPr>
          <w:sz w:val="22"/>
          <w:szCs w:val="22"/>
        </w:rPr>
        <w:t>erceive the world in different</w:t>
      </w:r>
      <w:r w:rsidR="0045620C" w:rsidRPr="00BF2CE5">
        <w:rPr>
          <w:sz w:val="22"/>
          <w:szCs w:val="22"/>
        </w:rPr>
        <w:t xml:space="preserve"> ways. </w:t>
      </w:r>
      <w:r w:rsidR="00473E23" w:rsidRPr="00BF2CE5">
        <w:rPr>
          <w:sz w:val="22"/>
          <w:szCs w:val="22"/>
        </w:rPr>
        <w:t>There is significant scope for students to be taken beyond their natural in-groups</w:t>
      </w:r>
      <w:r w:rsidR="0045620C" w:rsidRPr="00BF2CE5">
        <w:rPr>
          <w:sz w:val="22"/>
          <w:szCs w:val="22"/>
        </w:rPr>
        <w:t xml:space="preserve"> while studying</w:t>
      </w:r>
      <w:r w:rsidR="00473E23" w:rsidRPr="00BF2CE5">
        <w:rPr>
          <w:sz w:val="22"/>
          <w:szCs w:val="22"/>
        </w:rPr>
        <w:t xml:space="preserve">, something </w:t>
      </w:r>
      <w:r w:rsidR="007960BE" w:rsidRPr="00BF2CE5">
        <w:rPr>
          <w:sz w:val="22"/>
          <w:szCs w:val="22"/>
        </w:rPr>
        <w:t xml:space="preserve">that Smith </w:t>
      </w:r>
      <w:r w:rsidR="00A804AE" w:rsidRPr="00BF2CE5">
        <w:rPr>
          <w:noProof/>
          <w:sz w:val="22"/>
          <w:szCs w:val="22"/>
        </w:rPr>
        <w:t>(2010)</w:t>
      </w:r>
      <w:r w:rsidR="007960BE" w:rsidRPr="00BF2CE5">
        <w:rPr>
          <w:sz w:val="22"/>
          <w:szCs w:val="22"/>
        </w:rPr>
        <w:t xml:space="preserve"> advocated is an integral aspect of what is entailed in flourishing.</w:t>
      </w:r>
      <w:r w:rsidR="00C64A45" w:rsidRPr="00BF2CE5">
        <w:rPr>
          <w:sz w:val="22"/>
          <w:szCs w:val="22"/>
        </w:rPr>
        <w:t xml:space="preserve"> </w:t>
      </w:r>
      <w:r w:rsidR="00325757" w:rsidRPr="00BF2CE5">
        <w:rPr>
          <w:sz w:val="22"/>
          <w:szCs w:val="22"/>
        </w:rPr>
        <w:t>I</w:t>
      </w:r>
      <w:r w:rsidR="00AF5281" w:rsidRPr="00BF2CE5">
        <w:rPr>
          <w:sz w:val="22"/>
          <w:szCs w:val="22"/>
        </w:rPr>
        <w:t>f universi</w:t>
      </w:r>
      <w:r w:rsidR="009F0256" w:rsidRPr="00BF2CE5">
        <w:rPr>
          <w:sz w:val="22"/>
          <w:szCs w:val="22"/>
        </w:rPr>
        <w:t xml:space="preserve">ties are to foster </w:t>
      </w:r>
      <w:r w:rsidR="00AF5281" w:rsidRPr="00BF2CE5">
        <w:rPr>
          <w:sz w:val="22"/>
          <w:szCs w:val="22"/>
        </w:rPr>
        <w:t>the morphogene</w:t>
      </w:r>
      <w:r w:rsidR="00325757" w:rsidRPr="00BF2CE5">
        <w:rPr>
          <w:sz w:val="22"/>
          <w:szCs w:val="22"/>
        </w:rPr>
        <w:t>sis of student agency</w:t>
      </w:r>
      <w:r w:rsidR="001A2919" w:rsidRPr="00BF2CE5">
        <w:rPr>
          <w:sz w:val="22"/>
          <w:szCs w:val="22"/>
        </w:rPr>
        <w:t xml:space="preserve"> </w:t>
      </w:r>
      <w:r w:rsidR="00325757" w:rsidRPr="00BF2CE5">
        <w:rPr>
          <w:sz w:val="22"/>
          <w:szCs w:val="22"/>
        </w:rPr>
        <w:t>it will be important for them to support and stimulate such</w:t>
      </w:r>
      <w:r w:rsidR="001A2919" w:rsidRPr="00BF2CE5">
        <w:rPr>
          <w:sz w:val="22"/>
          <w:szCs w:val="22"/>
        </w:rPr>
        <w:t xml:space="preserve"> activity, rather than simply, say, to prioritise what is most efficient.  </w:t>
      </w:r>
    </w:p>
    <w:p w14:paraId="4C0C3B4E" w14:textId="77777777" w:rsidR="00C20A87" w:rsidRPr="00BF2CE5" w:rsidRDefault="00C20A87" w:rsidP="00BF2CE5">
      <w:pPr>
        <w:spacing w:after="60"/>
        <w:outlineLvl w:val="0"/>
        <w:rPr>
          <w:sz w:val="22"/>
          <w:szCs w:val="22"/>
        </w:rPr>
      </w:pPr>
    </w:p>
    <w:p w14:paraId="2FCAB9B2" w14:textId="47B3873F" w:rsidR="008C1A30" w:rsidRPr="00BF2CE5" w:rsidRDefault="008C1A30" w:rsidP="00BF2CE5">
      <w:pPr>
        <w:spacing w:after="60"/>
        <w:outlineLvl w:val="0"/>
        <w:rPr>
          <w:b/>
          <w:sz w:val="22"/>
          <w:szCs w:val="22"/>
        </w:rPr>
      </w:pPr>
      <w:r w:rsidRPr="00BF2CE5">
        <w:rPr>
          <w:b/>
          <w:sz w:val="22"/>
          <w:szCs w:val="22"/>
        </w:rPr>
        <w:t>Conclu</w:t>
      </w:r>
      <w:r w:rsidR="00CC6158" w:rsidRPr="00BF2CE5">
        <w:rPr>
          <w:b/>
          <w:sz w:val="22"/>
          <w:szCs w:val="22"/>
        </w:rPr>
        <w:t>sions</w:t>
      </w:r>
    </w:p>
    <w:p w14:paraId="090BE24C" w14:textId="620529FC" w:rsidR="001A46F4" w:rsidRPr="00BF2CE5" w:rsidRDefault="00206AE2" w:rsidP="00BF2CE5">
      <w:pPr>
        <w:spacing w:after="60"/>
        <w:rPr>
          <w:sz w:val="22"/>
          <w:szCs w:val="22"/>
        </w:rPr>
      </w:pPr>
      <w:r w:rsidRPr="00BF2CE5">
        <w:rPr>
          <w:sz w:val="22"/>
          <w:szCs w:val="22"/>
        </w:rPr>
        <w:t>There is a great deal at stake in a focus on the</w:t>
      </w:r>
      <w:r w:rsidR="00D33878" w:rsidRPr="00BF2CE5">
        <w:rPr>
          <w:sz w:val="22"/>
          <w:szCs w:val="22"/>
        </w:rPr>
        <w:t xml:space="preserve"> morphoge</w:t>
      </w:r>
      <w:r w:rsidRPr="00BF2CE5">
        <w:rPr>
          <w:sz w:val="22"/>
          <w:szCs w:val="22"/>
        </w:rPr>
        <w:t>nesis of the agency of students. G</w:t>
      </w:r>
      <w:r w:rsidR="00D33878" w:rsidRPr="00BF2CE5">
        <w:rPr>
          <w:sz w:val="22"/>
          <w:szCs w:val="22"/>
        </w:rPr>
        <w:t>rowt</w:t>
      </w:r>
      <w:r w:rsidR="00CC1EE1" w:rsidRPr="00BF2CE5">
        <w:rPr>
          <w:sz w:val="22"/>
          <w:szCs w:val="22"/>
        </w:rPr>
        <w:t>h in agency is hampered when priorities</w:t>
      </w:r>
      <w:r w:rsidR="00D33878" w:rsidRPr="00BF2CE5">
        <w:rPr>
          <w:sz w:val="22"/>
          <w:szCs w:val="22"/>
        </w:rPr>
        <w:t xml:space="preserve"> are</w:t>
      </w:r>
      <w:r w:rsidR="00CC1EE1" w:rsidRPr="00BF2CE5">
        <w:rPr>
          <w:sz w:val="22"/>
          <w:szCs w:val="22"/>
        </w:rPr>
        <w:t xml:space="preserve"> pursued that </w:t>
      </w:r>
      <w:r w:rsidR="00D33878" w:rsidRPr="00BF2CE5">
        <w:rPr>
          <w:sz w:val="22"/>
          <w:szCs w:val="22"/>
        </w:rPr>
        <w:t>are constricted in their scope or hollow in their worth</w:t>
      </w:r>
      <w:r w:rsidR="00F64E71" w:rsidRPr="00BF2CE5">
        <w:rPr>
          <w:sz w:val="22"/>
          <w:szCs w:val="22"/>
        </w:rPr>
        <w:t>.</w:t>
      </w:r>
      <w:r w:rsidR="00D33878" w:rsidRPr="00BF2CE5">
        <w:rPr>
          <w:sz w:val="22"/>
          <w:szCs w:val="22"/>
        </w:rPr>
        <w:t xml:space="preserve"> </w:t>
      </w:r>
      <w:r w:rsidR="00CC1EE1" w:rsidRPr="00BF2CE5">
        <w:rPr>
          <w:sz w:val="22"/>
          <w:szCs w:val="22"/>
        </w:rPr>
        <w:t xml:space="preserve">In such a case it is not enough to point to student satisfaction with a degree programme as a reason for morphostasis. </w:t>
      </w:r>
      <w:r w:rsidR="00D33878" w:rsidRPr="00BF2CE5">
        <w:rPr>
          <w:sz w:val="22"/>
          <w:szCs w:val="22"/>
        </w:rPr>
        <w:t xml:space="preserve">Nussbaum </w:t>
      </w:r>
      <w:r w:rsidR="00A804AE" w:rsidRPr="00BF2CE5">
        <w:rPr>
          <w:noProof/>
          <w:sz w:val="22"/>
          <w:szCs w:val="22"/>
        </w:rPr>
        <w:t>(2001)</w:t>
      </w:r>
      <w:r w:rsidR="00D33878" w:rsidRPr="00BF2CE5">
        <w:rPr>
          <w:sz w:val="22"/>
          <w:szCs w:val="22"/>
        </w:rPr>
        <w:t xml:space="preserve"> pointed to a range of s</w:t>
      </w:r>
      <w:r w:rsidR="00990467" w:rsidRPr="00BF2CE5">
        <w:rPr>
          <w:sz w:val="22"/>
          <w:szCs w:val="22"/>
        </w:rPr>
        <w:t>tudies that demonstrate ways in which</w:t>
      </w:r>
      <w:r w:rsidR="00D33878" w:rsidRPr="00BF2CE5">
        <w:rPr>
          <w:sz w:val="22"/>
          <w:szCs w:val="22"/>
        </w:rPr>
        <w:t xml:space="preserve"> the constraints of life lead people to want what seems realistically possible, rather than what is truly worthwhile. </w:t>
      </w:r>
      <w:r w:rsidR="00943CFA" w:rsidRPr="00BF2CE5">
        <w:rPr>
          <w:sz w:val="22"/>
          <w:szCs w:val="22"/>
        </w:rPr>
        <w:t xml:space="preserve">This paper </w:t>
      </w:r>
      <w:r w:rsidR="00A35680" w:rsidRPr="00BF2CE5">
        <w:rPr>
          <w:sz w:val="22"/>
          <w:szCs w:val="22"/>
        </w:rPr>
        <w:t xml:space="preserve">has attended to </w:t>
      </w:r>
      <w:r w:rsidR="0099727C" w:rsidRPr="00BF2CE5">
        <w:rPr>
          <w:sz w:val="22"/>
          <w:szCs w:val="22"/>
        </w:rPr>
        <w:t>the</w:t>
      </w:r>
      <w:r w:rsidR="00A35680" w:rsidRPr="00BF2CE5">
        <w:rPr>
          <w:sz w:val="22"/>
          <w:szCs w:val="22"/>
        </w:rPr>
        <w:t xml:space="preserve"> way in which reflexive deliberation shapes the agency of students</w:t>
      </w:r>
      <w:r w:rsidR="005F2235" w:rsidRPr="00BF2CE5">
        <w:rPr>
          <w:sz w:val="22"/>
          <w:szCs w:val="22"/>
        </w:rPr>
        <w:t xml:space="preserve"> as they engage in </w:t>
      </w:r>
      <w:r w:rsidR="00EE3FA6" w:rsidRPr="00BF2CE5">
        <w:rPr>
          <w:sz w:val="22"/>
          <w:szCs w:val="22"/>
        </w:rPr>
        <w:t>teaching-learning interactions</w:t>
      </w:r>
      <w:r w:rsidR="00A35680" w:rsidRPr="00BF2CE5">
        <w:rPr>
          <w:sz w:val="22"/>
          <w:szCs w:val="22"/>
        </w:rPr>
        <w:t>. It has high</w:t>
      </w:r>
      <w:r w:rsidR="00EE3FA6" w:rsidRPr="00BF2CE5">
        <w:rPr>
          <w:sz w:val="22"/>
          <w:szCs w:val="22"/>
        </w:rPr>
        <w:t>lighted how this reflexivity</w:t>
      </w:r>
      <w:r w:rsidR="00A35680" w:rsidRPr="00BF2CE5">
        <w:rPr>
          <w:sz w:val="22"/>
          <w:szCs w:val="22"/>
        </w:rPr>
        <w:t xml:space="preserve"> </w:t>
      </w:r>
      <w:r w:rsidR="005541CC" w:rsidRPr="00BF2CE5">
        <w:rPr>
          <w:sz w:val="22"/>
          <w:szCs w:val="22"/>
        </w:rPr>
        <w:t>is influenced</w:t>
      </w:r>
      <w:r w:rsidR="00EE3FA6" w:rsidRPr="00BF2CE5">
        <w:rPr>
          <w:sz w:val="22"/>
          <w:szCs w:val="22"/>
        </w:rPr>
        <w:t xml:space="preserve"> </w:t>
      </w:r>
      <w:r w:rsidR="00A35680" w:rsidRPr="00BF2CE5">
        <w:rPr>
          <w:sz w:val="22"/>
          <w:szCs w:val="22"/>
        </w:rPr>
        <w:t xml:space="preserve">by the </w:t>
      </w:r>
      <w:r w:rsidR="00EE3FA6" w:rsidRPr="00BF2CE5">
        <w:rPr>
          <w:sz w:val="22"/>
          <w:szCs w:val="22"/>
        </w:rPr>
        <w:t xml:space="preserve">stance taken towards </w:t>
      </w:r>
      <w:r w:rsidR="00A35680" w:rsidRPr="00BF2CE5">
        <w:rPr>
          <w:sz w:val="22"/>
          <w:szCs w:val="22"/>
        </w:rPr>
        <w:t xml:space="preserve">cultural structures, </w:t>
      </w:r>
      <w:r w:rsidR="00EE3FA6" w:rsidRPr="00BF2CE5">
        <w:rPr>
          <w:sz w:val="22"/>
          <w:szCs w:val="22"/>
        </w:rPr>
        <w:t xml:space="preserve">by the goods and evils that stem from </w:t>
      </w:r>
      <w:r w:rsidR="00A35680" w:rsidRPr="00BF2CE5">
        <w:rPr>
          <w:sz w:val="22"/>
          <w:szCs w:val="22"/>
        </w:rPr>
        <w:t>social relations and, ultimately</w:t>
      </w:r>
      <w:r w:rsidR="00EE3FA6" w:rsidRPr="00BF2CE5">
        <w:rPr>
          <w:sz w:val="22"/>
          <w:szCs w:val="22"/>
        </w:rPr>
        <w:t>,</w:t>
      </w:r>
      <w:r w:rsidR="00A35680" w:rsidRPr="00BF2CE5">
        <w:rPr>
          <w:sz w:val="22"/>
          <w:szCs w:val="22"/>
        </w:rPr>
        <w:t xml:space="preserve"> the dedication of students in the pursuit of what matters to them. </w:t>
      </w:r>
      <w:r w:rsidR="001A46F4" w:rsidRPr="00BF2CE5">
        <w:rPr>
          <w:sz w:val="22"/>
          <w:szCs w:val="22"/>
        </w:rPr>
        <w:t>These closely affect the extent to which it is possible for students to articulate ideas</w:t>
      </w:r>
      <w:r w:rsidR="005F2235" w:rsidRPr="00BF2CE5">
        <w:rPr>
          <w:sz w:val="22"/>
          <w:szCs w:val="22"/>
        </w:rPr>
        <w:t xml:space="preserve"> as corporate agents in their own right,</w:t>
      </w:r>
      <w:r w:rsidR="001A46F4" w:rsidRPr="00BF2CE5">
        <w:rPr>
          <w:sz w:val="22"/>
          <w:szCs w:val="22"/>
        </w:rPr>
        <w:t xml:space="preserve"> and to develop forms of organisation that enable the pursuit of those ideas.</w:t>
      </w:r>
    </w:p>
    <w:p w14:paraId="113C644D" w14:textId="1A59E09F" w:rsidR="00D33878" w:rsidRPr="00BF2CE5" w:rsidRDefault="00AC7F15" w:rsidP="00BF2CE5">
      <w:pPr>
        <w:spacing w:after="60"/>
        <w:ind w:firstLine="720"/>
        <w:rPr>
          <w:sz w:val="22"/>
          <w:szCs w:val="22"/>
        </w:rPr>
      </w:pPr>
      <w:r w:rsidRPr="00BF2CE5">
        <w:rPr>
          <w:sz w:val="22"/>
          <w:szCs w:val="22"/>
        </w:rPr>
        <w:t>T</w:t>
      </w:r>
      <w:r w:rsidR="0099727C" w:rsidRPr="00BF2CE5">
        <w:rPr>
          <w:sz w:val="22"/>
          <w:szCs w:val="22"/>
        </w:rPr>
        <w:t>here is a</w:t>
      </w:r>
      <w:r w:rsidR="00C94239" w:rsidRPr="00BF2CE5">
        <w:rPr>
          <w:sz w:val="22"/>
          <w:szCs w:val="22"/>
        </w:rPr>
        <w:t xml:space="preserve">n ongoing need to give consideration to the nature of the reflexivity that is promoted within higher education </w:t>
      </w:r>
      <w:r w:rsidR="0099727C" w:rsidRPr="00BF2CE5">
        <w:rPr>
          <w:sz w:val="22"/>
          <w:szCs w:val="22"/>
        </w:rPr>
        <w:t>if students</w:t>
      </w:r>
      <w:r w:rsidR="00C94239" w:rsidRPr="00BF2CE5">
        <w:rPr>
          <w:sz w:val="22"/>
          <w:szCs w:val="22"/>
        </w:rPr>
        <w:t xml:space="preserve"> </w:t>
      </w:r>
      <w:r w:rsidR="0099727C" w:rsidRPr="00BF2CE5">
        <w:rPr>
          <w:sz w:val="22"/>
          <w:szCs w:val="22"/>
        </w:rPr>
        <w:t>are to f</w:t>
      </w:r>
      <w:r w:rsidR="00C94239" w:rsidRPr="00BF2CE5">
        <w:rPr>
          <w:sz w:val="22"/>
          <w:szCs w:val="22"/>
        </w:rPr>
        <w:t>lourish</w:t>
      </w:r>
      <w:r w:rsidR="00473E23" w:rsidRPr="00BF2CE5">
        <w:rPr>
          <w:sz w:val="22"/>
          <w:szCs w:val="22"/>
        </w:rPr>
        <w:t xml:space="preserve">. Smith </w:t>
      </w:r>
      <w:r w:rsidR="00A804AE" w:rsidRPr="00BF2CE5">
        <w:rPr>
          <w:noProof/>
          <w:sz w:val="22"/>
          <w:szCs w:val="22"/>
        </w:rPr>
        <w:t>(2010, 413)</w:t>
      </w:r>
      <w:r w:rsidR="00473E23" w:rsidRPr="00BF2CE5">
        <w:rPr>
          <w:sz w:val="22"/>
          <w:szCs w:val="22"/>
        </w:rPr>
        <w:t xml:space="preserve"> argued that the first task in the pursuit of what is good is to ‘engage in sustained reflection and deliberation about requirements and means for achieving the good, on the one hand, and di</w:t>
      </w:r>
      <w:r w:rsidR="003D7252" w:rsidRPr="00BF2CE5">
        <w:rPr>
          <w:sz w:val="22"/>
          <w:szCs w:val="22"/>
        </w:rPr>
        <w:t>spositions, desires, behaviours</w:t>
      </w:r>
      <w:r w:rsidR="00473E23" w:rsidRPr="00BF2CE5">
        <w:rPr>
          <w:sz w:val="22"/>
          <w:szCs w:val="22"/>
        </w:rPr>
        <w:t xml:space="preserve"> and practices that frustrate or spoil the achievement of the good, on the other.’ While Smith </w:t>
      </w:r>
      <w:r w:rsidR="00C563D0" w:rsidRPr="00BF2CE5">
        <w:rPr>
          <w:sz w:val="22"/>
          <w:szCs w:val="22"/>
        </w:rPr>
        <w:t xml:space="preserve">(2010) </w:t>
      </w:r>
      <w:r w:rsidR="00473E23" w:rsidRPr="00BF2CE5">
        <w:rPr>
          <w:sz w:val="22"/>
          <w:szCs w:val="22"/>
        </w:rPr>
        <w:t xml:space="preserve">refrained from spelling out the details of that reflexive life, the account offered in this paper has highlighted some of the characteristics of what is entailed in an educational setting. </w:t>
      </w:r>
    </w:p>
    <w:p w14:paraId="3D834CDD" w14:textId="793BAA34" w:rsidR="006B4029" w:rsidRPr="00BF2CE5" w:rsidRDefault="00307B2B" w:rsidP="00BF2CE5">
      <w:pPr>
        <w:spacing w:after="60"/>
        <w:ind w:firstLine="720"/>
        <w:rPr>
          <w:sz w:val="22"/>
          <w:szCs w:val="22"/>
        </w:rPr>
      </w:pPr>
      <w:r w:rsidRPr="00BF2CE5">
        <w:rPr>
          <w:sz w:val="22"/>
          <w:szCs w:val="22"/>
        </w:rPr>
        <w:t xml:space="preserve">A </w:t>
      </w:r>
      <w:r w:rsidR="00787C89" w:rsidRPr="00BF2CE5">
        <w:rPr>
          <w:sz w:val="22"/>
          <w:szCs w:val="22"/>
        </w:rPr>
        <w:t>range of lessons</w:t>
      </w:r>
      <w:r w:rsidR="00AC7F15" w:rsidRPr="00BF2CE5">
        <w:rPr>
          <w:sz w:val="22"/>
          <w:szCs w:val="22"/>
        </w:rPr>
        <w:t xml:space="preserve"> flow from</w:t>
      </w:r>
      <w:r w:rsidR="00787C89" w:rsidRPr="00BF2CE5">
        <w:rPr>
          <w:sz w:val="22"/>
          <w:szCs w:val="22"/>
        </w:rPr>
        <w:t xml:space="preserve"> this analysis for the development of practice and policy within higher education.</w:t>
      </w:r>
      <w:r w:rsidR="007A0910" w:rsidRPr="00BF2CE5">
        <w:rPr>
          <w:sz w:val="22"/>
          <w:szCs w:val="22"/>
        </w:rPr>
        <w:t xml:space="preserve"> </w:t>
      </w:r>
      <w:r w:rsidR="00D33878" w:rsidRPr="00BF2CE5">
        <w:rPr>
          <w:sz w:val="22"/>
          <w:szCs w:val="22"/>
        </w:rPr>
        <w:t>Institutions themselves need to acquire modi v</w:t>
      </w:r>
      <w:r w:rsidR="00CC1EE1" w:rsidRPr="00BF2CE5">
        <w:rPr>
          <w:sz w:val="22"/>
          <w:szCs w:val="22"/>
        </w:rPr>
        <w:t xml:space="preserve">ivendi that are centred on the </w:t>
      </w:r>
      <w:r w:rsidR="00D33878" w:rsidRPr="00BF2CE5">
        <w:rPr>
          <w:sz w:val="22"/>
          <w:szCs w:val="22"/>
        </w:rPr>
        <w:t>morphogenesis</w:t>
      </w:r>
      <w:r w:rsidR="00CC1EE1" w:rsidRPr="00BF2CE5">
        <w:rPr>
          <w:sz w:val="22"/>
          <w:szCs w:val="22"/>
        </w:rPr>
        <w:t xml:space="preserve"> of the agency of students</w:t>
      </w:r>
      <w:r w:rsidR="00D33878" w:rsidRPr="00BF2CE5">
        <w:rPr>
          <w:sz w:val="22"/>
          <w:szCs w:val="22"/>
        </w:rPr>
        <w:t>,</w:t>
      </w:r>
      <w:r w:rsidR="00171300" w:rsidRPr="00BF2CE5">
        <w:rPr>
          <w:sz w:val="22"/>
          <w:szCs w:val="22"/>
        </w:rPr>
        <w:t xml:space="preserve"> in ways that recognise the means by which such morphogenesis is mediated. </w:t>
      </w:r>
      <w:r w:rsidR="009364D9" w:rsidRPr="00BF2CE5">
        <w:rPr>
          <w:sz w:val="22"/>
          <w:szCs w:val="22"/>
        </w:rPr>
        <w:t>S</w:t>
      </w:r>
      <w:r w:rsidR="007A0910" w:rsidRPr="00BF2CE5">
        <w:rPr>
          <w:sz w:val="22"/>
          <w:szCs w:val="22"/>
        </w:rPr>
        <w:t>ocial relations</w:t>
      </w:r>
      <w:r w:rsidR="00D33878" w:rsidRPr="00BF2CE5">
        <w:rPr>
          <w:sz w:val="22"/>
          <w:szCs w:val="22"/>
        </w:rPr>
        <w:t>, for instance,</w:t>
      </w:r>
      <w:r w:rsidR="007A0910" w:rsidRPr="00BF2CE5">
        <w:rPr>
          <w:sz w:val="22"/>
          <w:szCs w:val="22"/>
        </w:rPr>
        <w:t xml:space="preserve"> are conspicuous by their absence in the dominant policy framework outlined by Barnett (2016)</w:t>
      </w:r>
      <w:r w:rsidR="003D7252" w:rsidRPr="00BF2CE5">
        <w:rPr>
          <w:sz w:val="22"/>
          <w:szCs w:val="22"/>
        </w:rPr>
        <w:t xml:space="preserve"> – as Kahn (2017) argued</w:t>
      </w:r>
      <w:r w:rsidR="007A0910" w:rsidRPr="00BF2CE5">
        <w:rPr>
          <w:sz w:val="22"/>
          <w:szCs w:val="22"/>
        </w:rPr>
        <w:t xml:space="preserve">. </w:t>
      </w:r>
      <w:r w:rsidR="003D7252" w:rsidRPr="00BF2CE5">
        <w:rPr>
          <w:rFonts w:eastAsia="Times New Roman"/>
          <w:sz w:val="22"/>
          <w:szCs w:val="22"/>
        </w:rPr>
        <w:t xml:space="preserve">Abbott-Chapman (2011), for instance, highlighted the importance of place-based education as a core strategy for higher education to respond to the needs of learners from rural communities, integrating as this does both the social relations and the attachment to a given locality. </w:t>
      </w:r>
      <w:r w:rsidR="003D7252" w:rsidRPr="00BF2CE5">
        <w:rPr>
          <w:sz w:val="22"/>
          <w:szCs w:val="22"/>
        </w:rPr>
        <w:t xml:space="preserve">The quality of the social relations and reflexive deliberations of students could become as much a focus for planning as any attempt to specify in advance the intended outcomes for student learning, as well as a focus for the organisation of university life beyond the classroom. Alternatively, </w:t>
      </w:r>
      <w:r w:rsidR="003D7252" w:rsidRPr="00BF2CE5">
        <w:rPr>
          <w:rFonts w:eastAsia="Times New Roman"/>
          <w:sz w:val="22"/>
          <w:szCs w:val="22"/>
        </w:rPr>
        <w:t>it is</w:t>
      </w:r>
      <w:r w:rsidR="006B4029" w:rsidRPr="00BF2CE5">
        <w:rPr>
          <w:rFonts w:eastAsia="Times New Roman"/>
          <w:sz w:val="22"/>
          <w:szCs w:val="22"/>
        </w:rPr>
        <w:t xml:space="preserve"> increasingly the case that universities are shifting responsibility for student residences to private developers, as Macintyre (2003) demonstrated in an international review. However, students are more likely to become isolated from each other when a hall of residence with a resident tutor, a dining room, and a range of social, sporting, cultural or religious activities is replaced by a modern apartment block, even if they are more comfortably housed. A hall of residence might provide a more realistic focus for social relations between members of university staff and those engaged in action around disability, relations that would be mediated by particular students with given disabilities. There is good reason, indeed, why John Henry Newman </w:t>
      </w:r>
      <w:r w:rsidR="006B4029" w:rsidRPr="00BF2CE5">
        <w:rPr>
          <w:rFonts w:eastAsia="Times New Roman"/>
          <w:noProof/>
          <w:sz w:val="22"/>
          <w:szCs w:val="22"/>
        </w:rPr>
        <w:t>(2008)</w:t>
      </w:r>
      <w:r w:rsidR="006B4029" w:rsidRPr="00BF2CE5">
        <w:rPr>
          <w:rFonts w:eastAsia="Times New Roman"/>
          <w:sz w:val="22"/>
          <w:szCs w:val="22"/>
        </w:rPr>
        <w:t xml:space="preserve"> argued that residence in a college was a more fundamental aspect of higher education then assessment. </w:t>
      </w:r>
    </w:p>
    <w:p w14:paraId="0B4F5C9C" w14:textId="58CB4F11" w:rsidR="00752AC9" w:rsidRPr="00BF2CE5" w:rsidRDefault="00D33878" w:rsidP="00BF2CE5">
      <w:pPr>
        <w:spacing w:after="60"/>
        <w:ind w:firstLine="720"/>
        <w:rPr>
          <w:rFonts w:eastAsia="Times New Roman"/>
          <w:sz w:val="22"/>
          <w:szCs w:val="22"/>
          <w:lang w:val="en-AU" w:eastAsia="en-AU"/>
        </w:rPr>
      </w:pPr>
      <w:r w:rsidRPr="00BF2CE5">
        <w:rPr>
          <w:sz w:val="22"/>
          <w:szCs w:val="22"/>
        </w:rPr>
        <w:t xml:space="preserve">A </w:t>
      </w:r>
      <w:r w:rsidR="00171300" w:rsidRPr="00BF2CE5">
        <w:rPr>
          <w:sz w:val="22"/>
          <w:szCs w:val="22"/>
        </w:rPr>
        <w:t>close link exists between</w:t>
      </w:r>
      <w:r w:rsidR="00513830" w:rsidRPr="00BF2CE5">
        <w:rPr>
          <w:sz w:val="22"/>
          <w:szCs w:val="22"/>
        </w:rPr>
        <w:t xml:space="preserve"> reflexivity and </w:t>
      </w:r>
      <w:r w:rsidR="00171300" w:rsidRPr="00BF2CE5">
        <w:rPr>
          <w:sz w:val="22"/>
          <w:szCs w:val="22"/>
        </w:rPr>
        <w:t xml:space="preserve">human </w:t>
      </w:r>
      <w:r w:rsidR="00513830" w:rsidRPr="00BF2CE5">
        <w:rPr>
          <w:sz w:val="22"/>
          <w:szCs w:val="22"/>
        </w:rPr>
        <w:t>flourishing.</w:t>
      </w:r>
      <w:r w:rsidR="004116EC" w:rsidRPr="00BF2CE5">
        <w:rPr>
          <w:sz w:val="22"/>
          <w:szCs w:val="22"/>
        </w:rPr>
        <w:t xml:space="preserve"> </w:t>
      </w:r>
      <w:r w:rsidR="00752AC9" w:rsidRPr="00BF2CE5">
        <w:rPr>
          <w:rFonts w:eastAsia="Times New Roman"/>
          <w:sz w:val="22"/>
          <w:szCs w:val="22"/>
          <w:lang w:val="en-AU" w:eastAsia="en-AU"/>
        </w:rPr>
        <w:t>In offering a view of student learning that ha</w:t>
      </w:r>
      <w:r w:rsidR="00990467" w:rsidRPr="00BF2CE5">
        <w:rPr>
          <w:rFonts w:eastAsia="Times New Roman"/>
          <w:sz w:val="22"/>
          <w:szCs w:val="22"/>
          <w:lang w:val="en-AU" w:eastAsia="en-AU"/>
        </w:rPr>
        <w:t>s the potential to displace</w:t>
      </w:r>
      <w:r w:rsidR="00752AC9" w:rsidRPr="00BF2CE5">
        <w:rPr>
          <w:rFonts w:eastAsia="Times New Roman"/>
          <w:sz w:val="22"/>
          <w:szCs w:val="22"/>
          <w:lang w:val="en-AU" w:eastAsia="en-AU"/>
        </w:rPr>
        <w:t xml:space="preserve"> dominant perspectives, it is important to explore as fully as possible how the interactions that are evident in education have a basis in the agency of the parties involved, including its corporate dimensions. Such perspectives are particularly important if one is seeking to open up space for educatio</w:t>
      </w:r>
      <w:r w:rsidR="00990467" w:rsidRPr="00BF2CE5">
        <w:rPr>
          <w:rFonts w:eastAsia="Times New Roman"/>
          <w:sz w:val="22"/>
          <w:szCs w:val="22"/>
          <w:lang w:val="en-AU" w:eastAsia="en-AU"/>
        </w:rPr>
        <w:t xml:space="preserve">n that is </w:t>
      </w:r>
      <w:r w:rsidR="00171300" w:rsidRPr="00BF2CE5">
        <w:rPr>
          <w:rFonts w:eastAsia="Times New Roman"/>
          <w:sz w:val="22"/>
          <w:szCs w:val="22"/>
          <w:lang w:val="en-AU" w:eastAsia="en-AU"/>
        </w:rPr>
        <w:t>not limited to that which is determined b</w:t>
      </w:r>
      <w:r w:rsidR="00990467" w:rsidRPr="00BF2CE5">
        <w:rPr>
          <w:rFonts w:eastAsia="Times New Roman"/>
          <w:sz w:val="22"/>
          <w:szCs w:val="22"/>
          <w:lang w:val="en-AU" w:eastAsia="en-AU"/>
        </w:rPr>
        <w:t xml:space="preserve">y teachers and universities. </w:t>
      </w:r>
      <w:r w:rsidR="008F4320" w:rsidRPr="00BF2CE5">
        <w:rPr>
          <w:rFonts w:eastAsia="Times New Roman"/>
          <w:sz w:val="22"/>
          <w:szCs w:val="22"/>
          <w:lang w:val="en-AU" w:eastAsia="en-AU"/>
        </w:rPr>
        <w:t>The transformation that is entailed is one that passes through the refle</w:t>
      </w:r>
      <w:r w:rsidRPr="00BF2CE5">
        <w:rPr>
          <w:rFonts w:eastAsia="Times New Roman"/>
          <w:sz w:val="22"/>
          <w:szCs w:val="22"/>
          <w:lang w:val="en-AU" w:eastAsia="en-AU"/>
        </w:rPr>
        <w:t>xive deliberations of students.</w:t>
      </w:r>
      <w:r w:rsidR="008F4320" w:rsidRPr="00BF2CE5">
        <w:rPr>
          <w:rFonts w:eastAsia="Times New Roman"/>
          <w:sz w:val="22"/>
          <w:szCs w:val="22"/>
          <w:lang w:val="en-AU" w:eastAsia="en-AU"/>
        </w:rPr>
        <w:t xml:space="preserve"> </w:t>
      </w:r>
    </w:p>
    <w:p w14:paraId="7B288694" w14:textId="77777777" w:rsidR="005F2235" w:rsidRPr="00BF2CE5" w:rsidRDefault="005F2235" w:rsidP="00BF2CE5">
      <w:pPr>
        <w:spacing w:after="60"/>
        <w:rPr>
          <w:i/>
          <w:sz w:val="22"/>
          <w:szCs w:val="22"/>
        </w:rPr>
      </w:pPr>
    </w:p>
    <w:p w14:paraId="3AE93CFF" w14:textId="77777777" w:rsidR="00A3738E" w:rsidRPr="00BF2CE5" w:rsidRDefault="00A3738E" w:rsidP="00BF2CE5">
      <w:pPr>
        <w:spacing w:after="60"/>
        <w:rPr>
          <w:b/>
          <w:sz w:val="22"/>
          <w:szCs w:val="22"/>
        </w:rPr>
      </w:pPr>
      <w:r w:rsidRPr="00BF2CE5">
        <w:rPr>
          <w:b/>
          <w:sz w:val="22"/>
          <w:szCs w:val="22"/>
        </w:rPr>
        <w:t>Acknowledgements</w:t>
      </w:r>
    </w:p>
    <w:p w14:paraId="20D5D210" w14:textId="4E730189" w:rsidR="00A3738E" w:rsidRPr="00BF2CE5" w:rsidRDefault="00A3738E" w:rsidP="00BF2CE5">
      <w:pPr>
        <w:spacing w:after="60"/>
        <w:rPr>
          <w:rFonts w:eastAsia="Times New Roman"/>
          <w:color w:val="000000"/>
          <w:sz w:val="22"/>
          <w:szCs w:val="22"/>
        </w:rPr>
      </w:pPr>
      <w:r w:rsidRPr="00BF2CE5">
        <w:rPr>
          <w:sz w:val="22"/>
          <w:szCs w:val="22"/>
        </w:rPr>
        <w:t>This paper was originally presented at the International Association for Critical Realism (IACR) 19th Annual Conference, 20-22 July 2016, Cardiff, UK.</w:t>
      </w:r>
      <w:r w:rsidRPr="00BF2CE5">
        <w:rPr>
          <w:rFonts w:eastAsia="Times New Roman"/>
          <w:color w:val="000000"/>
          <w:sz w:val="22"/>
          <w:szCs w:val="22"/>
        </w:rPr>
        <w:t xml:space="preserve"> </w:t>
      </w:r>
    </w:p>
    <w:p w14:paraId="0652A067" w14:textId="1980F02E" w:rsidR="00201C2A" w:rsidRPr="00BF2CE5" w:rsidRDefault="00201C2A" w:rsidP="00BF2CE5">
      <w:pPr>
        <w:pStyle w:val="Body"/>
        <w:spacing w:after="60"/>
        <w:rPr>
          <w:rFonts w:ascii="Times New Roman" w:hAnsi="Times New Roman" w:cs="Times New Roman"/>
        </w:rPr>
      </w:pPr>
    </w:p>
    <w:p w14:paraId="031DF291" w14:textId="7AD93296" w:rsidR="008C1A30" w:rsidRPr="00BF2CE5" w:rsidRDefault="00E01D80" w:rsidP="00BF2CE5">
      <w:pPr>
        <w:pStyle w:val="Bibliography"/>
        <w:spacing w:after="60"/>
        <w:outlineLvl w:val="0"/>
        <w:rPr>
          <w:rFonts w:ascii="Times New Roman" w:hAnsi="Times New Roman" w:cs="Times New Roman"/>
          <w:b/>
          <w:lang w:val="en-US"/>
        </w:rPr>
      </w:pPr>
      <w:r w:rsidRPr="00BF2CE5">
        <w:rPr>
          <w:rFonts w:ascii="Times New Roman" w:hAnsi="Times New Roman" w:cs="Times New Roman"/>
          <w:b/>
          <w:lang w:val="en-US"/>
        </w:rPr>
        <w:t>References</w:t>
      </w:r>
    </w:p>
    <w:p w14:paraId="21A995D3" w14:textId="62BFF8D5" w:rsidR="00B2156D" w:rsidRPr="00BF2CE5" w:rsidRDefault="0094168F" w:rsidP="00BF2CE5">
      <w:pPr>
        <w:pStyle w:val="Bibliography"/>
        <w:rPr>
          <w:rFonts w:ascii="Times New Roman" w:hAnsi="Times New Roman" w:cs="Times New Roman"/>
        </w:rPr>
      </w:pPr>
      <w:r w:rsidRPr="00BF2CE5">
        <w:rPr>
          <w:rFonts w:ascii="Times New Roman" w:hAnsi="Times New Roman" w:cs="Times New Roman"/>
        </w:rPr>
        <w:t>Abbott-Chapman, J</w:t>
      </w:r>
      <w:r w:rsidR="00B2156D" w:rsidRPr="00BF2CE5">
        <w:rPr>
          <w:rFonts w:ascii="Times New Roman" w:hAnsi="Times New Roman" w:cs="Times New Roman"/>
        </w:rPr>
        <w:t xml:space="preserve">. 2011. ‘Making the Most of the Mosaic: Facilitating Post-School Transitions to Higher Education of Disadvantaged Students’. </w:t>
      </w:r>
      <w:r w:rsidR="00B2156D" w:rsidRPr="00BF2CE5">
        <w:rPr>
          <w:rFonts w:ascii="Times New Roman" w:hAnsi="Times New Roman" w:cs="Times New Roman"/>
          <w:i/>
          <w:iCs/>
        </w:rPr>
        <w:t>The Australian Educational Researcher</w:t>
      </w:r>
      <w:r w:rsidR="00B2156D" w:rsidRPr="00BF2CE5">
        <w:rPr>
          <w:rFonts w:ascii="Times New Roman" w:hAnsi="Times New Roman" w:cs="Times New Roman"/>
        </w:rPr>
        <w:t xml:space="preserve"> 38 (1): 57–71.</w:t>
      </w:r>
    </w:p>
    <w:p w14:paraId="01E585DD" w14:textId="1FF23303" w:rsidR="00B2156D" w:rsidRPr="00BF2CE5" w:rsidRDefault="0094168F" w:rsidP="00BF2CE5">
      <w:pPr>
        <w:pStyle w:val="Bibliography"/>
        <w:rPr>
          <w:rFonts w:ascii="Times New Roman" w:hAnsi="Times New Roman" w:cs="Times New Roman"/>
        </w:rPr>
      </w:pPr>
      <w:r w:rsidRPr="00BF2CE5">
        <w:rPr>
          <w:rFonts w:ascii="Times New Roman" w:hAnsi="Times New Roman" w:cs="Times New Roman"/>
        </w:rPr>
        <w:t>Altbach, P.</w:t>
      </w:r>
      <w:r w:rsidR="00B2156D" w:rsidRPr="00BF2CE5">
        <w:rPr>
          <w:rFonts w:ascii="Times New Roman" w:hAnsi="Times New Roman" w:cs="Times New Roman"/>
        </w:rPr>
        <w:t>G., Reisberg,</w:t>
      </w:r>
      <w:r w:rsidRPr="00BF2CE5">
        <w:rPr>
          <w:rFonts w:ascii="Times New Roman" w:hAnsi="Times New Roman" w:cs="Times New Roman"/>
        </w:rPr>
        <w:t xml:space="preserve"> L.</w:t>
      </w:r>
      <w:r w:rsidR="00B2156D" w:rsidRPr="00BF2CE5">
        <w:rPr>
          <w:rFonts w:ascii="Times New Roman" w:hAnsi="Times New Roman" w:cs="Times New Roman"/>
        </w:rPr>
        <w:t xml:space="preserve"> and Rumbley</w:t>
      </w:r>
      <w:r w:rsidRPr="00BF2CE5">
        <w:rPr>
          <w:rFonts w:ascii="Times New Roman" w:hAnsi="Times New Roman" w:cs="Times New Roman"/>
        </w:rPr>
        <w:t>, L</w:t>
      </w:r>
      <w:r w:rsidR="00B2156D" w:rsidRPr="00BF2CE5">
        <w:rPr>
          <w:rFonts w:ascii="Times New Roman" w:hAnsi="Times New Roman" w:cs="Times New Roman"/>
        </w:rPr>
        <w:t>.</w:t>
      </w:r>
      <w:r w:rsidRPr="00BF2CE5">
        <w:rPr>
          <w:rFonts w:ascii="Times New Roman" w:hAnsi="Times New Roman" w:cs="Times New Roman"/>
        </w:rPr>
        <w:t>E.</w:t>
      </w:r>
      <w:r w:rsidR="00B2156D" w:rsidRPr="00BF2CE5">
        <w:rPr>
          <w:rFonts w:ascii="Times New Roman" w:hAnsi="Times New Roman" w:cs="Times New Roman"/>
        </w:rPr>
        <w:t xml:space="preserve"> 2009. </w:t>
      </w:r>
      <w:r w:rsidR="00B2156D" w:rsidRPr="00BF2CE5">
        <w:rPr>
          <w:rFonts w:ascii="Times New Roman" w:hAnsi="Times New Roman" w:cs="Times New Roman"/>
          <w:i/>
          <w:iCs/>
        </w:rPr>
        <w:t>Trends in Global Higher Education: Tracking an Academic Revolution</w:t>
      </w:r>
      <w:r w:rsidR="00B2156D" w:rsidRPr="00BF2CE5">
        <w:rPr>
          <w:rFonts w:ascii="Times New Roman" w:hAnsi="Times New Roman" w:cs="Times New Roman"/>
        </w:rPr>
        <w:t>. Rotterdam: Sense Publishers.</w:t>
      </w:r>
    </w:p>
    <w:p w14:paraId="5D4D2A54" w14:textId="56A8CAF7" w:rsidR="00B2156D" w:rsidRPr="00BF2CE5" w:rsidRDefault="0094168F" w:rsidP="00BF2CE5">
      <w:pPr>
        <w:pStyle w:val="Bibliography"/>
        <w:rPr>
          <w:rFonts w:ascii="Times New Roman" w:hAnsi="Times New Roman" w:cs="Times New Roman"/>
        </w:rPr>
      </w:pPr>
      <w:r w:rsidRPr="00BF2CE5">
        <w:rPr>
          <w:rFonts w:ascii="Times New Roman" w:hAnsi="Times New Roman" w:cs="Times New Roman"/>
        </w:rPr>
        <w:t>Archer, L</w:t>
      </w:r>
      <w:r w:rsidR="00B2156D" w:rsidRPr="00BF2CE5">
        <w:rPr>
          <w:rFonts w:ascii="Times New Roman" w:hAnsi="Times New Roman" w:cs="Times New Roman"/>
        </w:rPr>
        <w:t xml:space="preserve">. 2007. ‘Diversity, Equality and Higher Education: A Critical Reflection on the Ab/uses of Equity Discourse within Widening Participation’. </w:t>
      </w:r>
      <w:r w:rsidR="00B2156D" w:rsidRPr="00BF2CE5">
        <w:rPr>
          <w:rFonts w:ascii="Times New Roman" w:hAnsi="Times New Roman" w:cs="Times New Roman"/>
          <w:i/>
          <w:iCs/>
        </w:rPr>
        <w:t>Teaching in Higher Education</w:t>
      </w:r>
      <w:r w:rsidR="00B2156D" w:rsidRPr="00BF2CE5">
        <w:rPr>
          <w:rFonts w:ascii="Times New Roman" w:hAnsi="Times New Roman" w:cs="Times New Roman"/>
        </w:rPr>
        <w:t xml:space="preserve"> 12 (5-6): 635–53.</w:t>
      </w:r>
    </w:p>
    <w:p w14:paraId="745DB773" w14:textId="77777777" w:rsidR="00B2156D" w:rsidRPr="00BF2CE5" w:rsidRDefault="00B2156D" w:rsidP="00BF2CE5">
      <w:pPr>
        <w:pStyle w:val="Bibliography"/>
        <w:rPr>
          <w:rFonts w:ascii="Times New Roman" w:hAnsi="Times New Roman" w:cs="Times New Roman"/>
        </w:rPr>
      </w:pPr>
      <w:r w:rsidRPr="00BF2CE5">
        <w:rPr>
          <w:rFonts w:ascii="Times New Roman" w:hAnsi="Times New Roman" w:cs="Times New Roman"/>
        </w:rPr>
        <w:t xml:space="preserve">Archer, M.S. 1995. </w:t>
      </w:r>
      <w:r w:rsidRPr="00BF2CE5">
        <w:rPr>
          <w:rFonts w:ascii="Times New Roman" w:hAnsi="Times New Roman" w:cs="Times New Roman"/>
          <w:i/>
          <w:iCs/>
        </w:rPr>
        <w:t>Realist Social Theory: The Morphogenetic Approach</w:t>
      </w:r>
      <w:r w:rsidRPr="00BF2CE5">
        <w:rPr>
          <w:rFonts w:ascii="Times New Roman" w:hAnsi="Times New Roman" w:cs="Times New Roman"/>
        </w:rPr>
        <w:t>. Cambridge: Cambridge University Press.</w:t>
      </w:r>
    </w:p>
    <w:p w14:paraId="4A53ACF0" w14:textId="77777777" w:rsidR="00B2156D" w:rsidRPr="00BF2CE5" w:rsidRDefault="00B2156D" w:rsidP="00BF2CE5">
      <w:pPr>
        <w:pStyle w:val="Bibliography"/>
        <w:rPr>
          <w:rFonts w:ascii="Times New Roman" w:hAnsi="Times New Roman" w:cs="Times New Roman"/>
        </w:rPr>
      </w:pPr>
      <w:r w:rsidRPr="00BF2CE5">
        <w:rPr>
          <w:rFonts w:ascii="Times New Roman" w:hAnsi="Times New Roman" w:cs="Times New Roman"/>
        </w:rPr>
        <w:t xml:space="preserve">———. 1996. </w:t>
      </w:r>
      <w:r w:rsidRPr="00BF2CE5">
        <w:rPr>
          <w:rFonts w:ascii="Times New Roman" w:hAnsi="Times New Roman" w:cs="Times New Roman"/>
          <w:i/>
          <w:iCs/>
        </w:rPr>
        <w:t>Culture and Agency: The Place of Culture in Social Theory</w:t>
      </w:r>
      <w:r w:rsidRPr="00BF2CE5">
        <w:rPr>
          <w:rFonts w:ascii="Times New Roman" w:hAnsi="Times New Roman" w:cs="Times New Roman"/>
        </w:rPr>
        <w:t>. Cambridge: Cambridge University Press.</w:t>
      </w:r>
    </w:p>
    <w:p w14:paraId="071E5E44" w14:textId="77777777" w:rsidR="00B2156D" w:rsidRPr="00BF2CE5" w:rsidRDefault="00B2156D" w:rsidP="00BF2CE5">
      <w:pPr>
        <w:pStyle w:val="Bibliography"/>
        <w:rPr>
          <w:rFonts w:ascii="Times New Roman" w:hAnsi="Times New Roman" w:cs="Times New Roman"/>
        </w:rPr>
      </w:pPr>
      <w:r w:rsidRPr="00BF2CE5">
        <w:rPr>
          <w:rFonts w:ascii="Times New Roman" w:hAnsi="Times New Roman" w:cs="Times New Roman"/>
        </w:rPr>
        <w:t xml:space="preserve">———. 2000. </w:t>
      </w:r>
      <w:r w:rsidRPr="00BF2CE5">
        <w:rPr>
          <w:rFonts w:ascii="Times New Roman" w:hAnsi="Times New Roman" w:cs="Times New Roman"/>
          <w:i/>
          <w:iCs/>
        </w:rPr>
        <w:t>Being Human: The Problem of Agency</w:t>
      </w:r>
      <w:r w:rsidRPr="00BF2CE5">
        <w:rPr>
          <w:rFonts w:ascii="Times New Roman" w:hAnsi="Times New Roman" w:cs="Times New Roman"/>
        </w:rPr>
        <w:t>. Cambridge: Cambridge University Press.</w:t>
      </w:r>
    </w:p>
    <w:p w14:paraId="3312F979" w14:textId="77777777" w:rsidR="00B2156D" w:rsidRPr="00BF2CE5" w:rsidRDefault="00B2156D" w:rsidP="00BF2CE5">
      <w:pPr>
        <w:pStyle w:val="Bibliography"/>
        <w:rPr>
          <w:rFonts w:ascii="Times New Roman" w:hAnsi="Times New Roman" w:cs="Times New Roman"/>
        </w:rPr>
      </w:pPr>
      <w:r w:rsidRPr="00BF2CE5">
        <w:rPr>
          <w:rFonts w:ascii="Times New Roman" w:hAnsi="Times New Roman" w:cs="Times New Roman"/>
        </w:rPr>
        <w:t xml:space="preserve">———. 2003. </w:t>
      </w:r>
      <w:r w:rsidRPr="00BF2CE5">
        <w:rPr>
          <w:rFonts w:ascii="Times New Roman" w:hAnsi="Times New Roman" w:cs="Times New Roman"/>
          <w:i/>
          <w:iCs/>
        </w:rPr>
        <w:t>Structure, Agency and the Internal Conversation</w:t>
      </w:r>
      <w:r w:rsidRPr="00BF2CE5">
        <w:rPr>
          <w:rFonts w:ascii="Times New Roman" w:hAnsi="Times New Roman" w:cs="Times New Roman"/>
        </w:rPr>
        <w:t>. Cambridge: Cambridge University Press.</w:t>
      </w:r>
    </w:p>
    <w:p w14:paraId="79F95538" w14:textId="77777777" w:rsidR="00B2156D" w:rsidRPr="00BF2CE5" w:rsidRDefault="00B2156D" w:rsidP="00BF2CE5">
      <w:pPr>
        <w:pStyle w:val="Bibliography"/>
        <w:rPr>
          <w:rFonts w:ascii="Times New Roman" w:hAnsi="Times New Roman" w:cs="Times New Roman"/>
        </w:rPr>
      </w:pPr>
      <w:r w:rsidRPr="00BF2CE5">
        <w:rPr>
          <w:rFonts w:ascii="Times New Roman" w:hAnsi="Times New Roman" w:cs="Times New Roman"/>
        </w:rPr>
        <w:t xml:space="preserve">———. 2007. </w:t>
      </w:r>
      <w:r w:rsidRPr="00BF2CE5">
        <w:rPr>
          <w:rFonts w:ascii="Times New Roman" w:hAnsi="Times New Roman" w:cs="Times New Roman"/>
          <w:i/>
          <w:iCs/>
        </w:rPr>
        <w:t>Making Our Way through the World: Human Reflexivity and Social Mobility</w:t>
      </w:r>
      <w:r w:rsidRPr="00BF2CE5">
        <w:rPr>
          <w:rFonts w:ascii="Times New Roman" w:hAnsi="Times New Roman" w:cs="Times New Roman"/>
        </w:rPr>
        <w:t>. Cambridge: Cambridge University Press.</w:t>
      </w:r>
    </w:p>
    <w:p w14:paraId="6D47435F" w14:textId="77777777" w:rsidR="00B2156D" w:rsidRPr="00BF2CE5" w:rsidRDefault="00B2156D" w:rsidP="00BF2CE5">
      <w:pPr>
        <w:pStyle w:val="Bibliography"/>
        <w:rPr>
          <w:rFonts w:ascii="Times New Roman" w:hAnsi="Times New Roman" w:cs="Times New Roman"/>
        </w:rPr>
      </w:pPr>
      <w:r w:rsidRPr="00BF2CE5">
        <w:rPr>
          <w:rFonts w:ascii="Times New Roman" w:hAnsi="Times New Roman" w:cs="Times New Roman"/>
        </w:rPr>
        <w:t xml:space="preserve">———. 2012. </w:t>
      </w:r>
      <w:r w:rsidRPr="00BF2CE5">
        <w:rPr>
          <w:rFonts w:ascii="Times New Roman" w:hAnsi="Times New Roman" w:cs="Times New Roman"/>
          <w:i/>
          <w:iCs/>
        </w:rPr>
        <w:t>The Reflexive Imperative in Late Modernity</w:t>
      </w:r>
      <w:r w:rsidRPr="00BF2CE5">
        <w:rPr>
          <w:rFonts w:ascii="Times New Roman" w:hAnsi="Times New Roman" w:cs="Times New Roman"/>
        </w:rPr>
        <w:t>. Cambridge: Cambridge University Press.</w:t>
      </w:r>
    </w:p>
    <w:p w14:paraId="61F0816E" w14:textId="77777777" w:rsidR="00B2156D" w:rsidRPr="00BF2CE5" w:rsidRDefault="00B2156D" w:rsidP="00BF2CE5">
      <w:pPr>
        <w:pStyle w:val="Bibliography"/>
        <w:rPr>
          <w:rFonts w:ascii="Times New Roman" w:hAnsi="Times New Roman" w:cs="Times New Roman"/>
        </w:rPr>
      </w:pPr>
      <w:r w:rsidRPr="00BF2CE5">
        <w:rPr>
          <w:rFonts w:ascii="Times New Roman" w:hAnsi="Times New Roman" w:cs="Times New Roman"/>
        </w:rPr>
        <w:t xml:space="preserve">Ashwin, P. 2009. </w:t>
      </w:r>
      <w:r w:rsidRPr="00BF2CE5">
        <w:rPr>
          <w:rFonts w:ascii="Times New Roman" w:hAnsi="Times New Roman" w:cs="Times New Roman"/>
          <w:i/>
          <w:iCs/>
        </w:rPr>
        <w:t>Analysing Teaching-Learning Interactions in Higher Education: Accounting for Structure and Agency</w:t>
      </w:r>
      <w:r w:rsidRPr="00BF2CE5">
        <w:rPr>
          <w:rFonts w:ascii="Times New Roman" w:hAnsi="Times New Roman" w:cs="Times New Roman"/>
        </w:rPr>
        <w:t>. London: Continuum.</w:t>
      </w:r>
    </w:p>
    <w:p w14:paraId="62A244C8" w14:textId="4123D0CC" w:rsidR="00B2156D" w:rsidRPr="00BF2CE5" w:rsidRDefault="0094168F" w:rsidP="00BF2CE5">
      <w:pPr>
        <w:pStyle w:val="Bibliography"/>
        <w:rPr>
          <w:rFonts w:ascii="Times New Roman" w:hAnsi="Times New Roman" w:cs="Times New Roman"/>
        </w:rPr>
      </w:pPr>
      <w:r w:rsidRPr="00BF2CE5">
        <w:rPr>
          <w:rFonts w:ascii="Times New Roman" w:hAnsi="Times New Roman" w:cs="Times New Roman"/>
        </w:rPr>
        <w:t>Barbalet, J.</w:t>
      </w:r>
      <w:r w:rsidR="00B2156D" w:rsidRPr="00BF2CE5">
        <w:rPr>
          <w:rFonts w:ascii="Times New Roman" w:hAnsi="Times New Roman" w:cs="Times New Roman"/>
        </w:rPr>
        <w:t xml:space="preserve">M. 2001. </w:t>
      </w:r>
      <w:r w:rsidR="00B2156D" w:rsidRPr="00BF2CE5">
        <w:rPr>
          <w:rFonts w:ascii="Times New Roman" w:hAnsi="Times New Roman" w:cs="Times New Roman"/>
          <w:i/>
          <w:iCs/>
        </w:rPr>
        <w:t>Emotion, Social Theory, and Social Structure: A Macrosociological Approach</w:t>
      </w:r>
      <w:r w:rsidR="00B2156D" w:rsidRPr="00BF2CE5">
        <w:rPr>
          <w:rFonts w:ascii="Times New Roman" w:hAnsi="Times New Roman" w:cs="Times New Roman"/>
        </w:rPr>
        <w:t>. Cambridge: Cambridge University Press.</w:t>
      </w:r>
    </w:p>
    <w:p w14:paraId="0635951C" w14:textId="160DF85B" w:rsidR="00B2156D" w:rsidRPr="00BF2CE5" w:rsidRDefault="00B2156D" w:rsidP="00BF2CE5">
      <w:pPr>
        <w:pStyle w:val="Bibliography"/>
        <w:rPr>
          <w:rFonts w:ascii="Times New Roman" w:hAnsi="Times New Roman" w:cs="Times New Roman"/>
        </w:rPr>
      </w:pPr>
      <w:r w:rsidRPr="00BF2CE5">
        <w:rPr>
          <w:rFonts w:ascii="Times New Roman" w:hAnsi="Times New Roman" w:cs="Times New Roman"/>
        </w:rPr>
        <w:t xml:space="preserve">Barnes, C. 2007. ‘Disability, Higher Education and the Inclusive Society’. </w:t>
      </w:r>
      <w:r w:rsidRPr="00BF2CE5">
        <w:rPr>
          <w:rFonts w:ascii="Times New Roman" w:hAnsi="Times New Roman" w:cs="Times New Roman"/>
          <w:i/>
          <w:iCs/>
        </w:rPr>
        <w:t>British Journal of Sociology of Education</w:t>
      </w:r>
      <w:r w:rsidRPr="00BF2CE5">
        <w:rPr>
          <w:rFonts w:ascii="Times New Roman" w:hAnsi="Times New Roman" w:cs="Times New Roman"/>
        </w:rPr>
        <w:t xml:space="preserve"> 28 (1): 135–45.</w:t>
      </w:r>
    </w:p>
    <w:p w14:paraId="50A60E97" w14:textId="05EAEAEB" w:rsidR="00B2156D" w:rsidRPr="00BF2CE5" w:rsidRDefault="0094168F" w:rsidP="00BF2CE5">
      <w:pPr>
        <w:pStyle w:val="Bibliography"/>
        <w:rPr>
          <w:rFonts w:ascii="Times New Roman" w:hAnsi="Times New Roman" w:cs="Times New Roman"/>
        </w:rPr>
      </w:pPr>
      <w:r w:rsidRPr="00BF2CE5">
        <w:rPr>
          <w:rFonts w:ascii="Times New Roman" w:hAnsi="Times New Roman" w:cs="Times New Roman"/>
        </w:rPr>
        <w:t>Barnett, R</w:t>
      </w:r>
      <w:r w:rsidR="00B2156D" w:rsidRPr="00BF2CE5">
        <w:rPr>
          <w:rFonts w:ascii="Times New Roman" w:hAnsi="Times New Roman" w:cs="Times New Roman"/>
        </w:rPr>
        <w:t xml:space="preserve">. 2016. ‘Policy, What Policy?’ In </w:t>
      </w:r>
      <w:r w:rsidR="00B2156D" w:rsidRPr="00BF2CE5">
        <w:rPr>
          <w:rFonts w:ascii="Times New Roman" w:hAnsi="Times New Roman" w:cs="Times New Roman"/>
          <w:i/>
          <w:iCs/>
        </w:rPr>
        <w:t>Dimensions of Marketisation in Higher Education</w:t>
      </w:r>
      <w:r w:rsidR="00B2156D" w:rsidRPr="00BF2CE5">
        <w:rPr>
          <w:rFonts w:ascii="Times New Roman" w:hAnsi="Times New Roman" w:cs="Times New Roman"/>
        </w:rPr>
        <w:t>, edited by Peter John and Joёlle Fanghanel, 223–32. Abingdon: Routledge.</w:t>
      </w:r>
    </w:p>
    <w:p w14:paraId="0D8A9245" w14:textId="257AEA6A" w:rsidR="00B2156D" w:rsidRPr="00BF2CE5" w:rsidRDefault="0094168F" w:rsidP="00BF2CE5">
      <w:pPr>
        <w:pStyle w:val="Bibliography"/>
        <w:rPr>
          <w:rFonts w:ascii="Times New Roman" w:hAnsi="Times New Roman" w:cs="Times New Roman"/>
        </w:rPr>
      </w:pPr>
      <w:r w:rsidRPr="00BF2CE5">
        <w:rPr>
          <w:rFonts w:ascii="Times New Roman" w:hAnsi="Times New Roman" w:cs="Times New Roman"/>
        </w:rPr>
        <w:t xml:space="preserve">Baum, S., </w:t>
      </w:r>
      <w:r w:rsidR="00B2156D" w:rsidRPr="00BF2CE5">
        <w:rPr>
          <w:rFonts w:ascii="Times New Roman" w:hAnsi="Times New Roman" w:cs="Times New Roman"/>
        </w:rPr>
        <w:t xml:space="preserve">Ma, </w:t>
      </w:r>
      <w:r w:rsidRPr="00BF2CE5">
        <w:rPr>
          <w:rFonts w:ascii="Times New Roman" w:hAnsi="Times New Roman" w:cs="Times New Roman"/>
        </w:rPr>
        <w:t>J. and</w:t>
      </w:r>
      <w:r w:rsidR="00B2156D" w:rsidRPr="00BF2CE5">
        <w:rPr>
          <w:rFonts w:ascii="Times New Roman" w:hAnsi="Times New Roman" w:cs="Times New Roman"/>
        </w:rPr>
        <w:t xml:space="preserve"> Payea</w:t>
      </w:r>
      <w:r w:rsidRPr="00BF2CE5">
        <w:rPr>
          <w:rFonts w:ascii="Times New Roman" w:hAnsi="Times New Roman" w:cs="Times New Roman"/>
        </w:rPr>
        <w:t>, K</w:t>
      </w:r>
      <w:r w:rsidR="00B2156D" w:rsidRPr="00BF2CE5">
        <w:rPr>
          <w:rFonts w:ascii="Times New Roman" w:hAnsi="Times New Roman" w:cs="Times New Roman"/>
        </w:rPr>
        <w:t>. 2010. ‘Education Pays, 2010: The Benefits of Higher Education for Individuals and Society. Trends in Higher Education Series.’ New York, NY: College Board Advocacy &amp; Policy Center.</w:t>
      </w:r>
    </w:p>
    <w:p w14:paraId="181A2B9F" w14:textId="050B0630" w:rsidR="00B2156D" w:rsidRPr="00BF2CE5" w:rsidRDefault="0094168F" w:rsidP="00BF2CE5">
      <w:pPr>
        <w:pStyle w:val="Bibliography"/>
        <w:rPr>
          <w:rFonts w:ascii="Times New Roman" w:hAnsi="Times New Roman" w:cs="Times New Roman"/>
        </w:rPr>
      </w:pPr>
      <w:r w:rsidRPr="00BF2CE5">
        <w:rPr>
          <w:rFonts w:ascii="Times New Roman" w:hAnsi="Times New Roman" w:cs="Times New Roman"/>
        </w:rPr>
        <w:t>Beard, C</w:t>
      </w:r>
      <w:r w:rsidR="003D7252" w:rsidRPr="00BF2CE5">
        <w:rPr>
          <w:rFonts w:ascii="Times New Roman" w:hAnsi="Times New Roman" w:cs="Times New Roman"/>
        </w:rPr>
        <w:t>.</w:t>
      </w:r>
      <w:r w:rsidRPr="00BF2CE5">
        <w:rPr>
          <w:rFonts w:ascii="Times New Roman" w:hAnsi="Times New Roman" w:cs="Times New Roman"/>
        </w:rPr>
        <w:t xml:space="preserve">, </w:t>
      </w:r>
      <w:r w:rsidR="00B2156D" w:rsidRPr="00BF2CE5">
        <w:rPr>
          <w:rFonts w:ascii="Times New Roman" w:hAnsi="Times New Roman" w:cs="Times New Roman"/>
        </w:rPr>
        <w:t>Clegg,</w:t>
      </w:r>
      <w:r w:rsidRPr="00BF2CE5">
        <w:rPr>
          <w:rFonts w:ascii="Times New Roman" w:hAnsi="Times New Roman" w:cs="Times New Roman"/>
        </w:rPr>
        <w:t xml:space="preserve"> S. and</w:t>
      </w:r>
      <w:r w:rsidR="00B2156D" w:rsidRPr="00BF2CE5">
        <w:rPr>
          <w:rFonts w:ascii="Times New Roman" w:hAnsi="Times New Roman" w:cs="Times New Roman"/>
        </w:rPr>
        <w:t xml:space="preserve"> Smith</w:t>
      </w:r>
      <w:r w:rsidRPr="00BF2CE5">
        <w:rPr>
          <w:rFonts w:ascii="Times New Roman" w:hAnsi="Times New Roman" w:cs="Times New Roman"/>
        </w:rPr>
        <w:t>, K</w:t>
      </w:r>
      <w:r w:rsidR="00B2156D" w:rsidRPr="00BF2CE5">
        <w:rPr>
          <w:rFonts w:ascii="Times New Roman" w:hAnsi="Times New Roman" w:cs="Times New Roman"/>
        </w:rPr>
        <w:t xml:space="preserve">. 2007. ‘Acknowledging the Affective in Higher Education’. </w:t>
      </w:r>
      <w:r w:rsidR="00B2156D" w:rsidRPr="00BF2CE5">
        <w:rPr>
          <w:rFonts w:ascii="Times New Roman" w:hAnsi="Times New Roman" w:cs="Times New Roman"/>
          <w:i/>
          <w:iCs/>
        </w:rPr>
        <w:t>British Educational Research Journal</w:t>
      </w:r>
      <w:r w:rsidR="00B2156D" w:rsidRPr="00BF2CE5">
        <w:rPr>
          <w:rFonts w:ascii="Times New Roman" w:hAnsi="Times New Roman" w:cs="Times New Roman"/>
        </w:rPr>
        <w:t xml:space="preserve"> 33 (2): 235–52.</w:t>
      </w:r>
    </w:p>
    <w:p w14:paraId="4C8C6E85" w14:textId="2B4F4B49" w:rsidR="00B375A6" w:rsidRPr="00BF2CE5" w:rsidRDefault="00B375A6" w:rsidP="00BF2CE5">
      <w:pPr>
        <w:pStyle w:val="Bibliography"/>
        <w:rPr>
          <w:rFonts w:ascii="Times New Roman" w:hAnsi="Times New Roman" w:cs="Times New Roman"/>
          <w:color w:val="000000"/>
        </w:rPr>
      </w:pPr>
      <w:r w:rsidRPr="00BF2CE5">
        <w:rPr>
          <w:rFonts w:ascii="Times New Roman" w:hAnsi="Times New Roman" w:cs="Times New Roman"/>
          <w:color w:val="000000"/>
        </w:rPr>
        <w:t xml:space="preserve">Bernstein, B.B. 2000. </w:t>
      </w:r>
      <w:r w:rsidRPr="00BF2CE5">
        <w:rPr>
          <w:rFonts w:ascii="Times New Roman" w:hAnsi="Times New Roman" w:cs="Times New Roman"/>
          <w:i/>
          <w:iCs/>
          <w:color w:val="000000"/>
        </w:rPr>
        <w:t>Pedagogy, Symbolic Control, and Identity: Theory, Research, Critique</w:t>
      </w:r>
      <w:r w:rsidRPr="00BF2CE5">
        <w:rPr>
          <w:rFonts w:ascii="Times New Roman" w:hAnsi="Times New Roman" w:cs="Times New Roman"/>
          <w:color w:val="000000"/>
        </w:rPr>
        <w:t>. Lanham, MD: Rowman &amp; Littlefield.</w:t>
      </w:r>
    </w:p>
    <w:p w14:paraId="3F084256" w14:textId="362972BB" w:rsidR="00B2156D" w:rsidRPr="00BF2CE5" w:rsidRDefault="0094168F" w:rsidP="00BF2CE5">
      <w:pPr>
        <w:pStyle w:val="Bibliography"/>
        <w:rPr>
          <w:rFonts w:ascii="Times New Roman" w:hAnsi="Times New Roman" w:cs="Times New Roman"/>
        </w:rPr>
      </w:pPr>
      <w:r w:rsidRPr="00BF2CE5">
        <w:rPr>
          <w:rFonts w:ascii="Times New Roman" w:hAnsi="Times New Roman" w:cs="Times New Roman"/>
        </w:rPr>
        <w:t>Bhaskar, R</w:t>
      </w:r>
      <w:r w:rsidR="00B2156D" w:rsidRPr="00BF2CE5">
        <w:rPr>
          <w:rFonts w:ascii="Times New Roman" w:hAnsi="Times New Roman" w:cs="Times New Roman"/>
        </w:rPr>
        <w:t xml:space="preserve">. 1993. </w:t>
      </w:r>
      <w:r w:rsidR="00B2156D" w:rsidRPr="00BF2CE5">
        <w:rPr>
          <w:rFonts w:ascii="Times New Roman" w:hAnsi="Times New Roman" w:cs="Times New Roman"/>
          <w:i/>
          <w:iCs/>
        </w:rPr>
        <w:t>Dialectic: The Pulse of Freedom</w:t>
      </w:r>
      <w:r w:rsidR="00B2156D" w:rsidRPr="00BF2CE5">
        <w:rPr>
          <w:rFonts w:ascii="Times New Roman" w:hAnsi="Times New Roman" w:cs="Times New Roman"/>
        </w:rPr>
        <w:t>. London: Verso.</w:t>
      </w:r>
    </w:p>
    <w:p w14:paraId="3AE5B356" w14:textId="77777777" w:rsidR="00B2156D" w:rsidRPr="00BF2CE5" w:rsidRDefault="00B2156D" w:rsidP="00BF2CE5">
      <w:pPr>
        <w:pStyle w:val="Bibliography"/>
        <w:rPr>
          <w:rFonts w:ascii="Times New Roman" w:hAnsi="Times New Roman" w:cs="Times New Roman"/>
        </w:rPr>
      </w:pPr>
      <w:r w:rsidRPr="00BF2CE5">
        <w:rPr>
          <w:rFonts w:ascii="Times New Roman" w:hAnsi="Times New Roman" w:cs="Times New Roman"/>
        </w:rPr>
        <w:t xml:space="preserve">Biggs, J. 1996. ‘Enhancing Teaching through Constructive Alignment’. </w:t>
      </w:r>
      <w:r w:rsidRPr="00BF2CE5">
        <w:rPr>
          <w:rFonts w:ascii="Times New Roman" w:hAnsi="Times New Roman" w:cs="Times New Roman"/>
          <w:i/>
          <w:iCs/>
        </w:rPr>
        <w:t>Higher Education</w:t>
      </w:r>
      <w:r w:rsidRPr="00BF2CE5">
        <w:rPr>
          <w:rFonts w:ascii="Times New Roman" w:hAnsi="Times New Roman" w:cs="Times New Roman"/>
        </w:rPr>
        <w:t xml:space="preserve"> 32 (3): 347–64.</w:t>
      </w:r>
    </w:p>
    <w:p w14:paraId="191DB8C5" w14:textId="77777777" w:rsidR="00B2156D" w:rsidRPr="00BF2CE5" w:rsidRDefault="00B2156D" w:rsidP="00BF2CE5">
      <w:pPr>
        <w:pStyle w:val="Bibliography"/>
        <w:rPr>
          <w:rFonts w:ascii="Times New Roman" w:hAnsi="Times New Roman" w:cs="Times New Roman"/>
        </w:rPr>
      </w:pPr>
      <w:r w:rsidRPr="00BF2CE5">
        <w:rPr>
          <w:rFonts w:ascii="Times New Roman" w:hAnsi="Times New Roman" w:cs="Times New Roman"/>
        </w:rPr>
        <w:t xml:space="preserve">Case, J. 2013. </w:t>
      </w:r>
      <w:r w:rsidRPr="00BF2CE5">
        <w:rPr>
          <w:rFonts w:ascii="Times New Roman" w:hAnsi="Times New Roman" w:cs="Times New Roman"/>
          <w:i/>
          <w:iCs/>
        </w:rPr>
        <w:t>Researching Student Learning in Higher Education: A Social Realist Approach</w:t>
      </w:r>
      <w:r w:rsidRPr="00BF2CE5">
        <w:rPr>
          <w:rFonts w:ascii="Times New Roman" w:hAnsi="Times New Roman" w:cs="Times New Roman"/>
        </w:rPr>
        <w:t>. London: Routledge.</w:t>
      </w:r>
    </w:p>
    <w:p w14:paraId="24461ED5" w14:textId="77777777" w:rsidR="00B2156D" w:rsidRPr="00BF2CE5" w:rsidRDefault="00B2156D" w:rsidP="00BF2CE5">
      <w:pPr>
        <w:pStyle w:val="Bibliography"/>
        <w:rPr>
          <w:rFonts w:ascii="Times New Roman" w:hAnsi="Times New Roman" w:cs="Times New Roman"/>
        </w:rPr>
      </w:pPr>
      <w:r w:rsidRPr="00BF2CE5">
        <w:rPr>
          <w:rFonts w:ascii="Times New Roman" w:hAnsi="Times New Roman" w:cs="Times New Roman"/>
        </w:rPr>
        <w:t xml:space="preserve">———. 2015a. ‘Emergent Interactions: Rethinking the Relationship between Teaching and Learning’. </w:t>
      </w:r>
      <w:r w:rsidRPr="00BF2CE5">
        <w:rPr>
          <w:rFonts w:ascii="Times New Roman" w:hAnsi="Times New Roman" w:cs="Times New Roman"/>
          <w:i/>
          <w:iCs/>
        </w:rPr>
        <w:t>Teaching in Higher Education</w:t>
      </w:r>
      <w:r w:rsidRPr="00BF2CE5">
        <w:rPr>
          <w:rFonts w:ascii="Times New Roman" w:hAnsi="Times New Roman" w:cs="Times New Roman"/>
        </w:rPr>
        <w:t xml:space="preserve"> 20 (6): 625–35.</w:t>
      </w:r>
    </w:p>
    <w:p w14:paraId="31198CE0" w14:textId="77777777" w:rsidR="00B2156D" w:rsidRPr="00BF2CE5" w:rsidRDefault="00B2156D" w:rsidP="00BF2CE5">
      <w:pPr>
        <w:pStyle w:val="Bibliography"/>
        <w:rPr>
          <w:rFonts w:ascii="Times New Roman" w:hAnsi="Times New Roman" w:cs="Times New Roman"/>
        </w:rPr>
      </w:pPr>
      <w:r w:rsidRPr="00BF2CE5">
        <w:rPr>
          <w:rFonts w:ascii="Times New Roman" w:hAnsi="Times New Roman" w:cs="Times New Roman"/>
        </w:rPr>
        <w:t xml:space="preserve">———. 2015b. ‘A Social Realist Perspective on Student Learning in Higher Education: The Morphogenesis of Agency’. </w:t>
      </w:r>
      <w:r w:rsidRPr="00BF2CE5">
        <w:rPr>
          <w:rFonts w:ascii="Times New Roman" w:hAnsi="Times New Roman" w:cs="Times New Roman"/>
          <w:i/>
          <w:iCs/>
        </w:rPr>
        <w:t>Higher Education Research &amp; Development</w:t>
      </w:r>
      <w:r w:rsidRPr="00BF2CE5">
        <w:rPr>
          <w:rFonts w:ascii="Times New Roman" w:hAnsi="Times New Roman" w:cs="Times New Roman"/>
        </w:rPr>
        <w:t xml:space="preserve"> 34 (5): 841–52.</w:t>
      </w:r>
    </w:p>
    <w:p w14:paraId="3C3E2965" w14:textId="77777777" w:rsidR="00B2156D" w:rsidRPr="00BF2CE5" w:rsidRDefault="00B2156D" w:rsidP="00BF2CE5">
      <w:pPr>
        <w:pStyle w:val="Bibliography"/>
        <w:rPr>
          <w:rFonts w:ascii="Times New Roman" w:hAnsi="Times New Roman" w:cs="Times New Roman"/>
        </w:rPr>
      </w:pPr>
      <w:r w:rsidRPr="00BF2CE5">
        <w:rPr>
          <w:rFonts w:ascii="Times New Roman" w:hAnsi="Times New Roman" w:cs="Times New Roman"/>
        </w:rPr>
        <w:t xml:space="preserve">Clegg, S. 2005. ‘Theorising the Mundane: The Significance of Agency’. </w:t>
      </w:r>
      <w:r w:rsidRPr="00BF2CE5">
        <w:rPr>
          <w:rFonts w:ascii="Times New Roman" w:hAnsi="Times New Roman" w:cs="Times New Roman"/>
          <w:i/>
          <w:iCs/>
        </w:rPr>
        <w:t>International Studies in Sociology of Education</w:t>
      </w:r>
      <w:r w:rsidRPr="00BF2CE5">
        <w:rPr>
          <w:rFonts w:ascii="Times New Roman" w:hAnsi="Times New Roman" w:cs="Times New Roman"/>
        </w:rPr>
        <w:t xml:space="preserve"> 15 (2): 149–64.</w:t>
      </w:r>
    </w:p>
    <w:p w14:paraId="37C6CE20" w14:textId="3556BF2F" w:rsidR="00B2156D" w:rsidRPr="00BF2CE5" w:rsidRDefault="0094168F" w:rsidP="00BF2CE5">
      <w:pPr>
        <w:pStyle w:val="Bibliography"/>
        <w:rPr>
          <w:rFonts w:ascii="Times New Roman" w:hAnsi="Times New Roman" w:cs="Times New Roman"/>
        </w:rPr>
      </w:pPr>
      <w:r w:rsidRPr="00BF2CE5">
        <w:rPr>
          <w:rFonts w:ascii="Times New Roman" w:hAnsi="Times New Roman" w:cs="Times New Roman"/>
        </w:rPr>
        <w:t>Cunningham, A</w:t>
      </w:r>
      <w:r w:rsidR="00B2156D" w:rsidRPr="00BF2CE5">
        <w:rPr>
          <w:rFonts w:ascii="Times New Roman" w:hAnsi="Times New Roman" w:cs="Times New Roman"/>
        </w:rPr>
        <w:t>. 2006. ‘The Broader Societal Benefits of Higher Education’. Washington, DC: Institute for Higher Education Policy.</w:t>
      </w:r>
    </w:p>
    <w:p w14:paraId="60DE7192" w14:textId="09DD34D5" w:rsidR="00B2156D" w:rsidRPr="00BF2CE5" w:rsidRDefault="00B2156D" w:rsidP="00BF2CE5">
      <w:pPr>
        <w:pStyle w:val="Bibliography"/>
        <w:rPr>
          <w:rFonts w:ascii="Times New Roman" w:hAnsi="Times New Roman" w:cs="Times New Roman"/>
        </w:rPr>
      </w:pPr>
      <w:r w:rsidRPr="00BF2CE5">
        <w:rPr>
          <w:rFonts w:ascii="Times New Roman" w:hAnsi="Times New Roman" w:cs="Times New Roman"/>
        </w:rPr>
        <w:t>D</w:t>
      </w:r>
      <w:r w:rsidR="0094168F" w:rsidRPr="00BF2CE5">
        <w:rPr>
          <w:rFonts w:ascii="Times New Roman" w:hAnsi="Times New Roman" w:cs="Times New Roman"/>
        </w:rPr>
        <w:t>anermark, B., E</w:t>
      </w:r>
      <w:r w:rsidRPr="00BF2CE5">
        <w:rPr>
          <w:rFonts w:ascii="Times New Roman" w:hAnsi="Times New Roman" w:cs="Times New Roman"/>
        </w:rPr>
        <w:t>kstrom,</w:t>
      </w:r>
      <w:r w:rsidR="0094168F" w:rsidRPr="00BF2CE5">
        <w:rPr>
          <w:rFonts w:ascii="Times New Roman" w:hAnsi="Times New Roman" w:cs="Times New Roman"/>
        </w:rPr>
        <w:t xml:space="preserve"> M., </w:t>
      </w:r>
      <w:r w:rsidRPr="00BF2CE5">
        <w:rPr>
          <w:rFonts w:ascii="Times New Roman" w:hAnsi="Times New Roman" w:cs="Times New Roman"/>
        </w:rPr>
        <w:t>Jakobsen,</w:t>
      </w:r>
      <w:r w:rsidR="0094168F" w:rsidRPr="00BF2CE5">
        <w:rPr>
          <w:rFonts w:ascii="Times New Roman" w:hAnsi="Times New Roman" w:cs="Times New Roman"/>
        </w:rPr>
        <w:t xml:space="preserve"> L. and </w:t>
      </w:r>
      <w:r w:rsidRPr="00BF2CE5">
        <w:rPr>
          <w:rFonts w:ascii="Times New Roman" w:hAnsi="Times New Roman" w:cs="Times New Roman"/>
        </w:rPr>
        <w:t>Karlsson</w:t>
      </w:r>
      <w:r w:rsidR="0094168F" w:rsidRPr="00BF2CE5">
        <w:rPr>
          <w:rFonts w:ascii="Times New Roman" w:hAnsi="Times New Roman" w:cs="Times New Roman"/>
        </w:rPr>
        <w:t>, J</w:t>
      </w:r>
      <w:r w:rsidRPr="00BF2CE5">
        <w:rPr>
          <w:rFonts w:ascii="Times New Roman" w:hAnsi="Times New Roman" w:cs="Times New Roman"/>
        </w:rPr>
        <w:t xml:space="preserve">. 2001. </w:t>
      </w:r>
      <w:r w:rsidRPr="00BF2CE5">
        <w:rPr>
          <w:rFonts w:ascii="Times New Roman" w:hAnsi="Times New Roman" w:cs="Times New Roman"/>
          <w:i/>
          <w:iCs/>
        </w:rPr>
        <w:t>Explaining Society: An Introduction to Critical Realism in the Social Sciences</w:t>
      </w:r>
      <w:r w:rsidRPr="00BF2CE5">
        <w:rPr>
          <w:rFonts w:ascii="Times New Roman" w:hAnsi="Times New Roman" w:cs="Times New Roman"/>
        </w:rPr>
        <w:t>. Abingdon: Routledge.</w:t>
      </w:r>
    </w:p>
    <w:p w14:paraId="50B7E6F9" w14:textId="77777777" w:rsidR="00B2156D" w:rsidRPr="00BF2CE5" w:rsidRDefault="00B2156D" w:rsidP="00BF2CE5">
      <w:pPr>
        <w:pStyle w:val="Bibliography"/>
        <w:rPr>
          <w:rFonts w:ascii="Times New Roman" w:hAnsi="Times New Roman" w:cs="Times New Roman"/>
        </w:rPr>
      </w:pPr>
      <w:r w:rsidRPr="00BF2CE5">
        <w:rPr>
          <w:rFonts w:ascii="Times New Roman" w:hAnsi="Times New Roman" w:cs="Times New Roman"/>
        </w:rPr>
        <w:t xml:space="preserve">Deneulin, S. 2014. </w:t>
      </w:r>
      <w:r w:rsidRPr="00BF2CE5">
        <w:rPr>
          <w:rFonts w:ascii="Times New Roman" w:hAnsi="Times New Roman" w:cs="Times New Roman"/>
          <w:i/>
          <w:iCs/>
        </w:rPr>
        <w:t>Wellbeing, Justice and Development Ethics</w:t>
      </w:r>
      <w:r w:rsidRPr="00BF2CE5">
        <w:rPr>
          <w:rFonts w:ascii="Times New Roman" w:hAnsi="Times New Roman" w:cs="Times New Roman"/>
        </w:rPr>
        <w:t>. Abingdon: Routledge.</w:t>
      </w:r>
    </w:p>
    <w:p w14:paraId="3A24BEBE" w14:textId="010A0680" w:rsidR="00B2156D" w:rsidRPr="00BF2CE5" w:rsidRDefault="0094168F" w:rsidP="00BF2CE5">
      <w:pPr>
        <w:pStyle w:val="Bibliography"/>
        <w:rPr>
          <w:rFonts w:ascii="Times New Roman" w:hAnsi="Times New Roman" w:cs="Times New Roman"/>
        </w:rPr>
      </w:pPr>
      <w:r w:rsidRPr="00BF2CE5">
        <w:rPr>
          <w:rFonts w:ascii="Times New Roman" w:hAnsi="Times New Roman" w:cs="Times New Roman"/>
        </w:rPr>
        <w:t xml:space="preserve">Dickerson, C., </w:t>
      </w:r>
      <w:r w:rsidR="00B2156D" w:rsidRPr="00BF2CE5">
        <w:rPr>
          <w:rFonts w:ascii="Times New Roman" w:hAnsi="Times New Roman" w:cs="Times New Roman"/>
        </w:rPr>
        <w:t>Jarvis,</w:t>
      </w:r>
      <w:r w:rsidRPr="00BF2CE5">
        <w:rPr>
          <w:rFonts w:ascii="Times New Roman" w:hAnsi="Times New Roman" w:cs="Times New Roman"/>
        </w:rPr>
        <w:t xml:space="preserve"> J. and </w:t>
      </w:r>
      <w:r w:rsidR="00B2156D" w:rsidRPr="00BF2CE5">
        <w:rPr>
          <w:rFonts w:ascii="Times New Roman" w:hAnsi="Times New Roman" w:cs="Times New Roman"/>
        </w:rPr>
        <w:t>Stockwell</w:t>
      </w:r>
      <w:r w:rsidRPr="00BF2CE5">
        <w:rPr>
          <w:rFonts w:ascii="Times New Roman" w:hAnsi="Times New Roman" w:cs="Times New Roman"/>
        </w:rPr>
        <w:t>, L</w:t>
      </w:r>
      <w:r w:rsidR="00B2156D" w:rsidRPr="00BF2CE5">
        <w:rPr>
          <w:rFonts w:ascii="Times New Roman" w:hAnsi="Times New Roman" w:cs="Times New Roman"/>
        </w:rPr>
        <w:t xml:space="preserve">. 2016. ‘Staff–student Collaboration: Student Learning from Working Together to Enhance Educational Practice in Higher Education’. </w:t>
      </w:r>
      <w:r w:rsidR="00B2156D" w:rsidRPr="00BF2CE5">
        <w:rPr>
          <w:rFonts w:ascii="Times New Roman" w:hAnsi="Times New Roman" w:cs="Times New Roman"/>
          <w:i/>
          <w:iCs/>
        </w:rPr>
        <w:t>Teaching in Higher Education</w:t>
      </w:r>
      <w:r w:rsidR="00B2156D" w:rsidRPr="00BF2CE5">
        <w:rPr>
          <w:rFonts w:ascii="Times New Roman" w:hAnsi="Times New Roman" w:cs="Times New Roman"/>
        </w:rPr>
        <w:t xml:space="preserve"> 21 (3): 249–65.</w:t>
      </w:r>
    </w:p>
    <w:p w14:paraId="2EB64229" w14:textId="58A849C0" w:rsidR="00B2156D" w:rsidRPr="00BF2CE5" w:rsidRDefault="0094168F" w:rsidP="00BF2CE5">
      <w:pPr>
        <w:pStyle w:val="Bibliography"/>
        <w:rPr>
          <w:rFonts w:ascii="Times New Roman" w:hAnsi="Times New Roman" w:cs="Times New Roman"/>
        </w:rPr>
      </w:pPr>
      <w:r w:rsidRPr="00BF2CE5">
        <w:rPr>
          <w:rFonts w:ascii="Times New Roman" w:hAnsi="Times New Roman" w:cs="Times New Roman"/>
        </w:rPr>
        <w:t>Donati, P.</w:t>
      </w:r>
      <w:r w:rsidR="003D7252" w:rsidRPr="00BF2CE5">
        <w:rPr>
          <w:rFonts w:ascii="Times New Roman" w:hAnsi="Times New Roman" w:cs="Times New Roman"/>
        </w:rPr>
        <w:t xml:space="preserve"> and </w:t>
      </w:r>
      <w:r w:rsidR="00B2156D" w:rsidRPr="00BF2CE5">
        <w:rPr>
          <w:rFonts w:ascii="Times New Roman" w:hAnsi="Times New Roman" w:cs="Times New Roman"/>
        </w:rPr>
        <w:t>Archer</w:t>
      </w:r>
      <w:r w:rsidR="003D7252" w:rsidRPr="00BF2CE5">
        <w:rPr>
          <w:rFonts w:ascii="Times New Roman" w:hAnsi="Times New Roman" w:cs="Times New Roman"/>
        </w:rPr>
        <w:t>, M.S</w:t>
      </w:r>
      <w:r w:rsidR="00B2156D" w:rsidRPr="00BF2CE5">
        <w:rPr>
          <w:rFonts w:ascii="Times New Roman" w:hAnsi="Times New Roman" w:cs="Times New Roman"/>
        </w:rPr>
        <w:t xml:space="preserve">. 2015. </w:t>
      </w:r>
      <w:r w:rsidR="00B2156D" w:rsidRPr="00BF2CE5">
        <w:rPr>
          <w:rFonts w:ascii="Times New Roman" w:hAnsi="Times New Roman" w:cs="Times New Roman"/>
          <w:i/>
          <w:iCs/>
        </w:rPr>
        <w:t>The Relational Subject</w:t>
      </w:r>
      <w:r w:rsidR="00B2156D" w:rsidRPr="00BF2CE5">
        <w:rPr>
          <w:rFonts w:ascii="Times New Roman" w:hAnsi="Times New Roman" w:cs="Times New Roman"/>
        </w:rPr>
        <w:t>. Cambridge: Cambridge University Press.</w:t>
      </w:r>
    </w:p>
    <w:p w14:paraId="2114EF25" w14:textId="1E3F1257" w:rsidR="00B2156D" w:rsidRPr="00BF2CE5" w:rsidRDefault="0094168F" w:rsidP="00BF2CE5">
      <w:pPr>
        <w:pStyle w:val="Bibliography"/>
        <w:rPr>
          <w:rFonts w:ascii="Times New Roman" w:hAnsi="Times New Roman" w:cs="Times New Roman"/>
        </w:rPr>
      </w:pPr>
      <w:r w:rsidRPr="00BF2CE5">
        <w:rPr>
          <w:rFonts w:ascii="Times New Roman" w:hAnsi="Times New Roman" w:cs="Times New Roman"/>
        </w:rPr>
        <w:t xml:space="preserve">Edwards, R. and </w:t>
      </w:r>
      <w:r w:rsidR="00B2156D" w:rsidRPr="00BF2CE5">
        <w:rPr>
          <w:rFonts w:ascii="Times New Roman" w:hAnsi="Times New Roman" w:cs="Times New Roman"/>
        </w:rPr>
        <w:t>Usher</w:t>
      </w:r>
      <w:r w:rsidRPr="00BF2CE5">
        <w:rPr>
          <w:rFonts w:ascii="Times New Roman" w:hAnsi="Times New Roman" w:cs="Times New Roman"/>
        </w:rPr>
        <w:t>, R</w:t>
      </w:r>
      <w:r w:rsidR="00B2156D" w:rsidRPr="00BF2CE5">
        <w:rPr>
          <w:rFonts w:ascii="Times New Roman" w:hAnsi="Times New Roman" w:cs="Times New Roman"/>
        </w:rPr>
        <w:t xml:space="preserve">. 2002. </w:t>
      </w:r>
      <w:r w:rsidR="00B2156D" w:rsidRPr="00BF2CE5">
        <w:rPr>
          <w:rFonts w:ascii="Times New Roman" w:hAnsi="Times New Roman" w:cs="Times New Roman"/>
          <w:i/>
          <w:iCs/>
        </w:rPr>
        <w:t>Postmodernism and Education: Different Voices, Different Worlds</w:t>
      </w:r>
      <w:r w:rsidR="00B2156D" w:rsidRPr="00BF2CE5">
        <w:rPr>
          <w:rFonts w:ascii="Times New Roman" w:hAnsi="Times New Roman" w:cs="Times New Roman"/>
        </w:rPr>
        <w:t>. Routledge.</w:t>
      </w:r>
    </w:p>
    <w:p w14:paraId="0D2DCA8A" w14:textId="27D8BECD" w:rsidR="00B375A6" w:rsidRPr="00BF2CE5" w:rsidRDefault="00B375A6" w:rsidP="00BF2CE5">
      <w:pPr>
        <w:pStyle w:val="Bibliography"/>
        <w:rPr>
          <w:rFonts w:ascii="Times New Roman" w:hAnsi="Times New Roman" w:cs="Times New Roman"/>
          <w:color w:val="000000"/>
        </w:rPr>
      </w:pPr>
      <w:r w:rsidRPr="00BF2CE5">
        <w:rPr>
          <w:rFonts w:ascii="Times New Roman" w:hAnsi="Times New Roman" w:cs="Times New Roman"/>
          <w:color w:val="000000"/>
        </w:rPr>
        <w:t xml:space="preserve">Healey, M. 2005. ‘Linking Research and Teaching Exploring Disciplinary Spaces and the Role of Inquiry-Based Learning’. </w:t>
      </w:r>
      <w:r w:rsidRPr="00BF2CE5">
        <w:rPr>
          <w:rFonts w:ascii="Times New Roman" w:hAnsi="Times New Roman" w:cs="Times New Roman"/>
          <w:i/>
          <w:iCs/>
          <w:color w:val="000000"/>
        </w:rPr>
        <w:t>Reshaping the University: New Relationships between Research, Scholarship and Teaching</w:t>
      </w:r>
      <w:r w:rsidRPr="00BF2CE5">
        <w:rPr>
          <w:rFonts w:ascii="Times New Roman" w:hAnsi="Times New Roman" w:cs="Times New Roman"/>
          <w:color w:val="000000"/>
        </w:rPr>
        <w:t>, 67–78.</w:t>
      </w:r>
    </w:p>
    <w:p w14:paraId="30BFBCB7" w14:textId="4B222D21" w:rsidR="00B375A6" w:rsidRPr="00BF2CE5" w:rsidRDefault="00B375A6" w:rsidP="00BF2CE5">
      <w:pPr>
        <w:pStyle w:val="Bibliography"/>
        <w:rPr>
          <w:rFonts w:ascii="Times New Roman" w:hAnsi="Times New Roman" w:cs="Times New Roman"/>
          <w:color w:val="000000"/>
        </w:rPr>
      </w:pPr>
      <w:r w:rsidRPr="00BF2CE5">
        <w:rPr>
          <w:rFonts w:ascii="Times New Roman" w:hAnsi="Times New Roman" w:cs="Times New Roman"/>
          <w:color w:val="000000"/>
        </w:rPr>
        <w:t>Holmwood, J</w:t>
      </w:r>
      <w:r w:rsidR="003D7252" w:rsidRPr="00BF2CE5">
        <w:rPr>
          <w:rFonts w:ascii="Times New Roman" w:hAnsi="Times New Roman" w:cs="Times New Roman"/>
          <w:color w:val="000000"/>
        </w:rPr>
        <w:t>.</w:t>
      </w:r>
      <w:r w:rsidRPr="00BF2CE5">
        <w:rPr>
          <w:rFonts w:ascii="Times New Roman" w:hAnsi="Times New Roman" w:cs="Times New Roman"/>
          <w:color w:val="000000"/>
        </w:rPr>
        <w:t xml:space="preserve">, ed. 2011. </w:t>
      </w:r>
      <w:r w:rsidRPr="00BF2CE5">
        <w:rPr>
          <w:rFonts w:ascii="Times New Roman" w:hAnsi="Times New Roman" w:cs="Times New Roman"/>
          <w:i/>
          <w:iCs/>
          <w:color w:val="000000"/>
        </w:rPr>
        <w:t>A Manifesto for the Public University</w:t>
      </w:r>
      <w:r w:rsidRPr="00BF2CE5">
        <w:rPr>
          <w:rFonts w:ascii="Times New Roman" w:hAnsi="Times New Roman" w:cs="Times New Roman"/>
          <w:color w:val="000000"/>
        </w:rPr>
        <w:t>. London: Bloomsbury Academic.</w:t>
      </w:r>
    </w:p>
    <w:p w14:paraId="3B272686" w14:textId="02D6A759" w:rsidR="00B2156D" w:rsidRPr="00BF2CE5" w:rsidRDefault="0094168F" w:rsidP="00BF2CE5">
      <w:pPr>
        <w:pStyle w:val="Bibliography"/>
        <w:rPr>
          <w:rFonts w:ascii="Times New Roman" w:hAnsi="Times New Roman" w:cs="Times New Roman"/>
        </w:rPr>
      </w:pPr>
      <w:r w:rsidRPr="00BF2CE5">
        <w:rPr>
          <w:rFonts w:ascii="Times New Roman" w:hAnsi="Times New Roman" w:cs="Times New Roman"/>
        </w:rPr>
        <w:t>Higgins, C</w:t>
      </w:r>
      <w:r w:rsidR="00B2156D" w:rsidRPr="00BF2CE5">
        <w:rPr>
          <w:rFonts w:ascii="Times New Roman" w:hAnsi="Times New Roman" w:cs="Times New Roman"/>
        </w:rPr>
        <w:t xml:space="preserve">. 2003. ‘MacIntyre’s Moral Theory and the Possibility of an Aretaic Ethics of Teaching’. </w:t>
      </w:r>
      <w:r w:rsidR="00B2156D" w:rsidRPr="00BF2CE5">
        <w:rPr>
          <w:rFonts w:ascii="Times New Roman" w:hAnsi="Times New Roman" w:cs="Times New Roman"/>
          <w:i/>
          <w:iCs/>
        </w:rPr>
        <w:t>Journal of Philosophy of Education</w:t>
      </w:r>
      <w:r w:rsidR="00B2156D" w:rsidRPr="00BF2CE5">
        <w:rPr>
          <w:rFonts w:ascii="Times New Roman" w:hAnsi="Times New Roman" w:cs="Times New Roman"/>
        </w:rPr>
        <w:t xml:space="preserve"> 37 (2): 279–92.</w:t>
      </w:r>
    </w:p>
    <w:p w14:paraId="67FDB27A" w14:textId="77777777" w:rsidR="00B2156D" w:rsidRPr="00BF2CE5" w:rsidRDefault="00B2156D" w:rsidP="00BF2CE5">
      <w:pPr>
        <w:pStyle w:val="Bibliography"/>
        <w:rPr>
          <w:rFonts w:ascii="Times New Roman" w:hAnsi="Times New Roman" w:cs="Times New Roman"/>
        </w:rPr>
      </w:pPr>
      <w:r w:rsidRPr="00BF2CE5">
        <w:rPr>
          <w:rFonts w:ascii="Times New Roman" w:hAnsi="Times New Roman" w:cs="Times New Roman"/>
        </w:rPr>
        <w:t>Higher Education Funding Council for England. 2016a. ‘Apprenticeship Funding’. London: Higher Education Funding Council for England.</w:t>
      </w:r>
    </w:p>
    <w:p w14:paraId="0AB4DD52" w14:textId="77777777" w:rsidR="00B2156D" w:rsidRPr="00BF2CE5" w:rsidRDefault="00B2156D" w:rsidP="00BF2CE5">
      <w:pPr>
        <w:pStyle w:val="Bibliography"/>
        <w:rPr>
          <w:rFonts w:ascii="Times New Roman" w:hAnsi="Times New Roman" w:cs="Times New Roman"/>
        </w:rPr>
      </w:pPr>
      <w:r w:rsidRPr="00BF2CE5">
        <w:rPr>
          <w:rFonts w:ascii="Times New Roman" w:hAnsi="Times New Roman" w:cs="Times New Roman"/>
        </w:rPr>
        <w:t>———. 2016b. ‘Teaching Excellence Framework: Year Two Additional Guidance’. London: Higher Education Funding Council for England.</w:t>
      </w:r>
    </w:p>
    <w:p w14:paraId="579B54F3" w14:textId="77777777" w:rsidR="00B2156D" w:rsidRPr="00BF2CE5" w:rsidRDefault="00B2156D" w:rsidP="00BF2CE5">
      <w:pPr>
        <w:pStyle w:val="Bibliography"/>
        <w:rPr>
          <w:rFonts w:ascii="Times New Roman" w:hAnsi="Times New Roman" w:cs="Times New Roman"/>
        </w:rPr>
      </w:pPr>
      <w:r w:rsidRPr="00BF2CE5">
        <w:rPr>
          <w:rFonts w:ascii="Times New Roman" w:hAnsi="Times New Roman" w:cs="Times New Roman"/>
        </w:rPr>
        <w:t xml:space="preserve">Kahn, P.E. 2009. ‘On Establishing a Modus Vivendi: The Exercise of Agency in Decisions to Participate or Not Participate in Higher Education’. </w:t>
      </w:r>
      <w:r w:rsidRPr="00BF2CE5">
        <w:rPr>
          <w:rFonts w:ascii="Times New Roman" w:hAnsi="Times New Roman" w:cs="Times New Roman"/>
          <w:i/>
          <w:iCs/>
        </w:rPr>
        <w:t>London Review of Education</w:t>
      </w:r>
      <w:r w:rsidRPr="00BF2CE5">
        <w:rPr>
          <w:rFonts w:ascii="Times New Roman" w:hAnsi="Times New Roman" w:cs="Times New Roman"/>
        </w:rPr>
        <w:t xml:space="preserve"> 7 (3): 261–70.</w:t>
      </w:r>
    </w:p>
    <w:p w14:paraId="7D16D706" w14:textId="77777777" w:rsidR="00B2156D" w:rsidRPr="00BF2CE5" w:rsidRDefault="00B2156D" w:rsidP="00BF2CE5">
      <w:pPr>
        <w:pStyle w:val="Bibliography"/>
        <w:rPr>
          <w:rFonts w:ascii="Times New Roman" w:hAnsi="Times New Roman" w:cs="Times New Roman"/>
        </w:rPr>
      </w:pPr>
      <w:r w:rsidRPr="00BF2CE5">
        <w:rPr>
          <w:rFonts w:ascii="Times New Roman" w:hAnsi="Times New Roman" w:cs="Times New Roman"/>
        </w:rPr>
        <w:t xml:space="preserve">———. 2014. ‘Theorising Student Engagement in Higher Education’. </w:t>
      </w:r>
      <w:r w:rsidRPr="00BF2CE5">
        <w:rPr>
          <w:rFonts w:ascii="Times New Roman" w:hAnsi="Times New Roman" w:cs="Times New Roman"/>
          <w:i/>
          <w:iCs/>
        </w:rPr>
        <w:t>British Educational Research Journal</w:t>
      </w:r>
      <w:r w:rsidRPr="00BF2CE5">
        <w:rPr>
          <w:rFonts w:ascii="Times New Roman" w:hAnsi="Times New Roman" w:cs="Times New Roman"/>
        </w:rPr>
        <w:t xml:space="preserve"> 40 (6): 1005–18.</w:t>
      </w:r>
    </w:p>
    <w:p w14:paraId="7B9422BE" w14:textId="62430972" w:rsidR="00B2156D" w:rsidRPr="00BF2CE5" w:rsidRDefault="00B2156D" w:rsidP="00BF2CE5">
      <w:pPr>
        <w:pStyle w:val="Bibliography"/>
        <w:rPr>
          <w:rFonts w:ascii="Times New Roman" w:hAnsi="Times New Roman" w:cs="Times New Roman"/>
        </w:rPr>
      </w:pPr>
      <w:r w:rsidRPr="00BF2CE5">
        <w:rPr>
          <w:rFonts w:ascii="Times New Roman" w:hAnsi="Times New Roman" w:cs="Times New Roman"/>
        </w:rPr>
        <w:t xml:space="preserve">———. 2017. ‘Higher Education Policy on Student Engagement: Thinking Outside the Box’. </w:t>
      </w:r>
      <w:r w:rsidRPr="00BF2CE5">
        <w:rPr>
          <w:rFonts w:ascii="Times New Roman" w:hAnsi="Times New Roman" w:cs="Times New Roman"/>
          <w:i/>
          <w:iCs/>
        </w:rPr>
        <w:t>Higher Education Policy</w:t>
      </w:r>
      <w:r w:rsidR="00DD7043" w:rsidRPr="00BF2CE5">
        <w:rPr>
          <w:rFonts w:ascii="Times New Roman" w:hAnsi="Times New Roman" w:cs="Times New Roman"/>
        </w:rPr>
        <w:t xml:space="preserve"> 30(1): 53-68.</w:t>
      </w:r>
    </w:p>
    <w:p w14:paraId="5D218D0F" w14:textId="7D446E44" w:rsidR="00E23A2D" w:rsidRPr="00BF2CE5" w:rsidRDefault="0094168F" w:rsidP="00BF2CE5">
      <w:pPr>
        <w:pStyle w:val="Bibliography"/>
        <w:rPr>
          <w:rFonts w:ascii="Times New Roman" w:hAnsi="Times New Roman" w:cs="Times New Roman"/>
        </w:rPr>
      </w:pPr>
      <w:r w:rsidRPr="00BF2CE5">
        <w:rPr>
          <w:rFonts w:ascii="Times New Roman" w:hAnsi="Times New Roman" w:cs="Times New Roman"/>
        </w:rPr>
        <w:t xml:space="preserve">Kahn, P.E., </w:t>
      </w:r>
      <w:r w:rsidR="00B2156D" w:rsidRPr="00BF2CE5">
        <w:rPr>
          <w:rFonts w:ascii="Times New Roman" w:hAnsi="Times New Roman" w:cs="Times New Roman"/>
        </w:rPr>
        <w:t>Everington,</w:t>
      </w:r>
      <w:r w:rsidRPr="00BF2CE5">
        <w:rPr>
          <w:rFonts w:ascii="Times New Roman" w:hAnsi="Times New Roman" w:cs="Times New Roman"/>
        </w:rPr>
        <w:t xml:space="preserve"> L.,</w:t>
      </w:r>
      <w:r w:rsidR="00B2156D" w:rsidRPr="00BF2CE5">
        <w:rPr>
          <w:rFonts w:ascii="Times New Roman" w:hAnsi="Times New Roman" w:cs="Times New Roman"/>
        </w:rPr>
        <w:t xml:space="preserve"> Kelm,</w:t>
      </w:r>
      <w:r w:rsidRPr="00BF2CE5">
        <w:rPr>
          <w:rFonts w:ascii="Times New Roman" w:hAnsi="Times New Roman" w:cs="Times New Roman"/>
        </w:rPr>
        <w:t xml:space="preserve"> K., </w:t>
      </w:r>
      <w:r w:rsidR="00B2156D" w:rsidRPr="00BF2CE5">
        <w:rPr>
          <w:rFonts w:ascii="Times New Roman" w:hAnsi="Times New Roman" w:cs="Times New Roman"/>
        </w:rPr>
        <w:t>Reid,</w:t>
      </w:r>
      <w:r w:rsidRPr="00BF2CE5">
        <w:rPr>
          <w:rFonts w:ascii="Times New Roman" w:hAnsi="Times New Roman" w:cs="Times New Roman"/>
        </w:rPr>
        <w:t xml:space="preserve"> I. and </w:t>
      </w:r>
      <w:r w:rsidR="00B2156D" w:rsidRPr="00BF2CE5">
        <w:rPr>
          <w:rFonts w:ascii="Times New Roman" w:hAnsi="Times New Roman" w:cs="Times New Roman"/>
        </w:rPr>
        <w:t>Watkins</w:t>
      </w:r>
      <w:r w:rsidRPr="00BF2CE5">
        <w:rPr>
          <w:rFonts w:ascii="Times New Roman" w:hAnsi="Times New Roman" w:cs="Times New Roman"/>
        </w:rPr>
        <w:t>, F</w:t>
      </w:r>
      <w:r w:rsidR="004C4735" w:rsidRPr="00BF2CE5">
        <w:rPr>
          <w:rFonts w:ascii="Times New Roman" w:hAnsi="Times New Roman" w:cs="Times New Roman"/>
        </w:rPr>
        <w:t>. 2017</w:t>
      </w:r>
      <w:r w:rsidR="00B2156D" w:rsidRPr="00BF2CE5">
        <w:rPr>
          <w:rFonts w:ascii="Times New Roman" w:hAnsi="Times New Roman" w:cs="Times New Roman"/>
        </w:rPr>
        <w:t xml:space="preserve">. ‘Understanding Student Engagement in Online Classrooms’. </w:t>
      </w:r>
      <w:r w:rsidR="00B2156D" w:rsidRPr="00BF2CE5">
        <w:rPr>
          <w:rFonts w:ascii="Times New Roman" w:hAnsi="Times New Roman" w:cs="Times New Roman"/>
          <w:i/>
        </w:rPr>
        <w:t>Educational Technology Research and Development</w:t>
      </w:r>
      <w:r w:rsidR="00E23A2D" w:rsidRPr="00BF2CE5">
        <w:rPr>
          <w:rFonts w:ascii="Times New Roman" w:hAnsi="Times New Roman" w:cs="Times New Roman"/>
        </w:rPr>
        <w:t xml:space="preserve"> 65(1): 203–18</w:t>
      </w:r>
    </w:p>
    <w:p w14:paraId="45ACA22B" w14:textId="17A3182B" w:rsidR="00B375A6" w:rsidRPr="00BF2CE5" w:rsidRDefault="00B375A6" w:rsidP="00BF2CE5">
      <w:pPr>
        <w:pStyle w:val="Bibliography"/>
        <w:rPr>
          <w:rFonts w:ascii="Times New Roman" w:hAnsi="Times New Roman" w:cs="Times New Roman"/>
          <w:color w:val="000000"/>
        </w:rPr>
      </w:pPr>
      <w:r w:rsidRPr="00BF2CE5">
        <w:rPr>
          <w:rFonts w:ascii="Times New Roman" w:hAnsi="Times New Roman" w:cs="Times New Roman"/>
          <w:color w:val="000000"/>
        </w:rPr>
        <w:t xml:space="preserve">Korthagen, F.A.J., Kim, Y.M. and Greene, W.L. 2012. </w:t>
      </w:r>
      <w:r w:rsidRPr="00BF2CE5">
        <w:rPr>
          <w:rFonts w:ascii="Times New Roman" w:hAnsi="Times New Roman" w:cs="Times New Roman"/>
          <w:i/>
          <w:iCs/>
          <w:color w:val="000000"/>
        </w:rPr>
        <w:t>Teaching and Learning from Within: A Core Reflection Approach to Quality and Inspiration in Education</w:t>
      </w:r>
      <w:r w:rsidRPr="00BF2CE5">
        <w:rPr>
          <w:rFonts w:ascii="Times New Roman" w:hAnsi="Times New Roman" w:cs="Times New Roman"/>
          <w:color w:val="000000"/>
        </w:rPr>
        <w:t>. Routledge.</w:t>
      </w:r>
    </w:p>
    <w:p w14:paraId="62827574" w14:textId="488CB4C5" w:rsidR="00B2156D" w:rsidRPr="00BF2CE5" w:rsidRDefault="0094168F" w:rsidP="00BF2CE5">
      <w:pPr>
        <w:pStyle w:val="Bibliography"/>
        <w:rPr>
          <w:rFonts w:ascii="Times New Roman" w:hAnsi="Times New Roman" w:cs="Times New Roman"/>
        </w:rPr>
      </w:pPr>
      <w:r w:rsidRPr="00BF2CE5">
        <w:rPr>
          <w:rFonts w:ascii="Times New Roman" w:hAnsi="Times New Roman" w:cs="Times New Roman"/>
        </w:rPr>
        <w:t xml:space="preserve">Leibowitz, B., </w:t>
      </w:r>
      <w:r w:rsidR="00B2156D" w:rsidRPr="00BF2CE5">
        <w:rPr>
          <w:rFonts w:ascii="Times New Roman" w:hAnsi="Times New Roman" w:cs="Times New Roman"/>
        </w:rPr>
        <w:t>Bozalek,</w:t>
      </w:r>
      <w:r w:rsidRPr="00BF2CE5">
        <w:rPr>
          <w:rFonts w:ascii="Times New Roman" w:hAnsi="Times New Roman" w:cs="Times New Roman"/>
        </w:rPr>
        <w:t xml:space="preserve"> V. and </w:t>
      </w:r>
      <w:r w:rsidR="00B2156D" w:rsidRPr="00BF2CE5">
        <w:rPr>
          <w:rFonts w:ascii="Times New Roman" w:hAnsi="Times New Roman" w:cs="Times New Roman"/>
        </w:rPr>
        <w:t>Kahn</w:t>
      </w:r>
      <w:r w:rsidRPr="00BF2CE5">
        <w:rPr>
          <w:rFonts w:ascii="Times New Roman" w:hAnsi="Times New Roman" w:cs="Times New Roman"/>
        </w:rPr>
        <w:t>, P.E</w:t>
      </w:r>
      <w:r w:rsidR="00B2156D" w:rsidRPr="00BF2CE5">
        <w:rPr>
          <w:rFonts w:ascii="Times New Roman" w:hAnsi="Times New Roman" w:cs="Times New Roman"/>
        </w:rPr>
        <w:t xml:space="preserve">. 2016. </w:t>
      </w:r>
      <w:r w:rsidR="00B2156D" w:rsidRPr="00BF2CE5">
        <w:rPr>
          <w:rFonts w:ascii="Times New Roman" w:hAnsi="Times New Roman" w:cs="Times New Roman"/>
          <w:i/>
          <w:iCs/>
        </w:rPr>
        <w:t>Theorising Learning to Teach in Higher Education</w:t>
      </w:r>
      <w:r w:rsidR="00B2156D" w:rsidRPr="00BF2CE5">
        <w:rPr>
          <w:rFonts w:ascii="Times New Roman" w:hAnsi="Times New Roman" w:cs="Times New Roman"/>
        </w:rPr>
        <w:t>. Abingdon: Routledge.</w:t>
      </w:r>
    </w:p>
    <w:p w14:paraId="6A92C33E" w14:textId="66010993" w:rsidR="00B2156D" w:rsidRPr="00BF2CE5" w:rsidRDefault="0094168F" w:rsidP="00BF2CE5">
      <w:pPr>
        <w:pStyle w:val="Bibliography"/>
        <w:rPr>
          <w:rFonts w:ascii="Times New Roman" w:hAnsi="Times New Roman" w:cs="Times New Roman"/>
        </w:rPr>
      </w:pPr>
      <w:r w:rsidRPr="00BF2CE5">
        <w:rPr>
          <w:rFonts w:ascii="Times New Roman" w:hAnsi="Times New Roman" w:cs="Times New Roman"/>
        </w:rPr>
        <w:t>Loomba, A</w:t>
      </w:r>
      <w:r w:rsidR="00B2156D" w:rsidRPr="00BF2CE5">
        <w:rPr>
          <w:rFonts w:ascii="Times New Roman" w:hAnsi="Times New Roman" w:cs="Times New Roman"/>
        </w:rPr>
        <w:t xml:space="preserve">. 2015. </w:t>
      </w:r>
      <w:r w:rsidR="00B2156D" w:rsidRPr="00BF2CE5">
        <w:rPr>
          <w:rFonts w:ascii="Times New Roman" w:hAnsi="Times New Roman" w:cs="Times New Roman"/>
          <w:i/>
          <w:iCs/>
        </w:rPr>
        <w:t>Colonialism/postcolonialism</w:t>
      </w:r>
      <w:r w:rsidR="00B2156D" w:rsidRPr="00BF2CE5">
        <w:rPr>
          <w:rFonts w:ascii="Times New Roman" w:hAnsi="Times New Roman" w:cs="Times New Roman"/>
        </w:rPr>
        <w:t>. Abingdon: Routledge.</w:t>
      </w:r>
    </w:p>
    <w:p w14:paraId="1B5919F0" w14:textId="36EA5B32" w:rsidR="00B2156D" w:rsidRPr="00BF2CE5" w:rsidRDefault="0094168F" w:rsidP="00BF2CE5">
      <w:pPr>
        <w:pStyle w:val="Bibliography"/>
        <w:rPr>
          <w:rFonts w:ascii="Times New Roman" w:hAnsi="Times New Roman" w:cs="Times New Roman"/>
        </w:rPr>
      </w:pPr>
      <w:r w:rsidRPr="00BF2CE5">
        <w:rPr>
          <w:rFonts w:ascii="Times New Roman" w:hAnsi="Times New Roman" w:cs="Times New Roman"/>
        </w:rPr>
        <w:t>MacIntyre, A.</w:t>
      </w:r>
      <w:r w:rsidR="00B2156D" w:rsidRPr="00BF2CE5">
        <w:rPr>
          <w:rFonts w:ascii="Times New Roman" w:hAnsi="Times New Roman" w:cs="Times New Roman"/>
        </w:rPr>
        <w:t xml:space="preserve">C. 1999. </w:t>
      </w:r>
      <w:r w:rsidR="00B2156D" w:rsidRPr="00BF2CE5">
        <w:rPr>
          <w:rFonts w:ascii="Times New Roman" w:hAnsi="Times New Roman" w:cs="Times New Roman"/>
          <w:i/>
          <w:iCs/>
        </w:rPr>
        <w:t>Dependent Rational Animals: Why Human Beings Need the Virtues</w:t>
      </w:r>
      <w:r w:rsidR="00B2156D" w:rsidRPr="00BF2CE5">
        <w:rPr>
          <w:rFonts w:ascii="Times New Roman" w:hAnsi="Times New Roman" w:cs="Times New Roman"/>
        </w:rPr>
        <w:t>. Chicago, IL: Open Court Publishing.</w:t>
      </w:r>
    </w:p>
    <w:p w14:paraId="4444BBB1" w14:textId="7BF9C254" w:rsidR="00B2156D" w:rsidRPr="00BF2CE5" w:rsidRDefault="0094168F" w:rsidP="00BF2CE5">
      <w:pPr>
        <w:pStyle w:val="Bibliography"/>
        <w:rPr>
          <w:rFonts w:ascii="Times New Roman" w:hAnsi="Times New Roman" w:cs="Times New Roman"/>
        </w:rPr>
      </w:pPr>
      <w:r w:rsidRPr="00BF2CE5">
        <w:rPr>
          <w:rFonts w:ascii="Times New Roman" w:hAnsi="Times New Roman" w:cs="Times New Roman"/>
        </w:rPr>
        <w:t>Macintyre, C</w:t>
      </w:r>
      <w:r w:rsidR="00B2156D" w:rsidRPr="00BF2CE5">
        <w:rPr>
          <w:rFonts w:ascii="Times New Roman" w:hAnsi="Times New Roman" w:cs="Times New Roman"/>
        </w:rPr>
        <w:t xml:space="preserve">. 2003. ‘New Models of Student Housing and Their Impact on Local Communities’. </w:t>
      </w:r>
      <w:r w:rsidR="00B2156D" w:rsidRPr="00BF2CE5">
        <w:rPr>
          <w:rFonts w:ascii="Times New Roman" w:hAnsi="Times New Roman" w:cs="Times New Roman"/>
          <w:i/>
          <w:iCs/>
        </w:rPr>
        <w:t>Journal of Higher Education Policy and Management</w:t>
      </w:r>
      <w:r w:rsidR="00B2156D" w:rsidRPr="00BF2CE5">
        <w:rPr>
          <w:rFonts w:ascii="Times New Roman" w:hAnsi="Times New Roman" w:cs="Times New Roman"/>
        </w:rPr>
        <w:t xml:space="preserve"> 25 (2): 109–18.</w:t>
      </w:r>
    </w:p>
    <w:p w14:paraId="1BE15549" w14:textId="77777777" w:rsidR="00B2156D" w:rsidRPr="00BF2CE5" w:rsidRDefault="00B2156D" w:rsidP="00BF2CE5">
      <w:pPr>
        <w:pStyle w:val="Bibliography"/>
        <w:rPr>
          <w:rFonts w:ascii="Times New Roman" w:hAnsi="Times New Roman" w:cs="Times New Roman"/>
        </w:rPr>
      </w:pPr>
      <w:r w:rsidRPr="00BF2CE5">
        <w:rPr>
          <w:rFonts w:ascii="Times New Roman" w:hAnsi="Times New Roman" w:cs="Times New Roman"/>
        </w:rPr>
        <w:t xml:space="preserve">Maclntyre, A. 1981. </w:t>
      </w:r>
      <w:r w:rsidRPr="00BF2CE5">
        <w:rPr>
          <w:rFonts w:ascii="Times New Roman" w:hAnsi="Times New Roman" w:cs="Times New Roman"/>
          <w:i/>
          <w:iCs/>
        </w:rPr>
        <w:t>After Virtue: A Study in Moral Theory</w:t>
      </w:r>
      <w:r w:rsidRPr="00BF2CE5">
        <w:rPr>
          <w:rFonts w:ascii="Times New Roman" w:hAnsi="Times New Roman" w:cs="Times New Roman"/>
        </w:rPr>
        <w:t>. London: Duckworth.</w:t>
      </w:r>
    </w:p>
    <w:p w14:paraId="2E919F26" w14:textId="38F435A0" w:rsidR="00B2156D" w:rsidRPr="00BF2CE5" w:rsidRDefault="00B2156D" w:rsidP="00BF2CE5">
      <w:pPr>
        <w:pStyle w:val="Bibliography"/>
        <w:rPr>
          <w:rFonts w:ascii="Times New Roman" w:hAnsi="Times New Roman" w:cs="Times New Roman"/>
        </w:rPr>
      </w:pPr>
      <w:r w:rsidRPr="00BF2CE5">
        <w:rPr>
          <w:rFonts w:ascii="Times New Roman" w:hAnsi="Times New Roman" w:cs="Times New Roman"/>
        </w:rPr>
        <w:t>Mez</w:t>
      </w:r>
      <w:r w:rsidR="0094168F" w:rsidRPr="00BF2CE5">
        <w:rPr>
          <w:rFonts w:ascii="Times New Roman" w:hAnsi="Times New Roman" w:cs="Times New Roman"/>
        </w:rPr>
        <w:t>irow, J</w:t>
      </w:r>
      <w:r w:rsidRPr="00BF2CE5">
        <w:rPr>
          <w:rFonts w:ascii="Times New Roman" w:hAnsi="Times New Roman" w:cs="Times New Roman"/>
        </w:rPr>
        <w:t xml:space="preserve">. 1990. </w:t>
      </w:r>
      <w:r w:rsidRPr="00BF2CE5">
        <w:rPr>
          <w:rFonts w:ascii="Times New Roman" w:hAnsi="Times New Roman" w:cs="Times New Roman"/>
          <w:i/>
          <w:iCs/>
        </w:rPr>
        <w:t>Fostering Critical Reflection in Adulthood: A Guide to Transformative and Emancipatory Learning</w:t>
      </w:r>
      <w:r w:rsidRPr="00BF2CE5">
        <w:rPr>
          <w:rFonts w:ascii="Times New Roman" w:hAnsi="Times New Roman" w:cs="Times New Roman"/>
        </w:rPr>
        <w:t>. Jossey-Bass Publishers.</w:t>
      </w:r>
    </w:p>
    <w:p w14:paraId="23932F2D" w14:textId="7CEE3776" w:rsidR="00B2156D" w:rsidRPr="00BF2CE5" w:rsidRDefault="0094168F" w:rsidP="00BF2CE5">
      <w:pPr>
        <w:pStyle w:val="Bibliography"/>
        <w:rPr>
          <w:rFonts w:ascii="Times New Roman" w:hAnsi="Times New Roman" w:cs="Times New Roman"/>
        </w:rPr>
      </w:pPr>
      <w:r w:rsidRPr="00BF2CE5">
        <w:rPr>
          <w:rFonts w:ascii="Times New Roman" w:hAnsi="Times New Roman" w:cs="Times New Roman"/>
        </w:rPr>
        <w:t>Moschella, M</w:t>
      </w:r>
      <w:r w:rsidR="00B2156D" w:rsidRPr="00BF2CE5">
        <w:rPr>
          <w:rFonts w:ascii="Times New Roman" w:hAnsi="Times New Roman" w:cs="Times New Roman"/>
        </w:rPr>
        <w:t xml:space="preserve">. 2014. ‘Social Contract Theory and Moral Agency: Understanding the Roots of an Uncaring Society’. In </w:t>
      </w:r>
      <w:r w:rsidR="00B2156D" w:rsidRPr="00BF2CE5">
        <w:rPr>
          <w:rFonts w:ascii="Times New Roman" w:hAnsi="Times New Roman" w:cs="Times New Roman"/>
          <w:i/>
          <w:iCs/>
        </w:rPr>
        <w:t>Care Professions and Globalization</w:t>
      </w:r>
      <w:r w:rsidR="00B2156D" w:rsidRPr="00BF2CE5">
        <w:rPr>
          <w:rFonts w:ascii="Times New Roman" w:hAnsi="Times New Roman" w:cs="Times New Roman"/>
        </w:rPr>
        <w:t>, edited by Ana Marta González and Craig Iffland, 87–115. New York, NY: Palgrave Macmillan.</w:t>
      </w:r>
    </w:p>
    <w:p w14:paraId="608597EE" w14:textId="7E3E4F76" w:rsidR="00B2156D" w:rsidRPr="00BF2CE5" w:rsidRDefault="0094168F" w:rsidP="00BF2CE5">
      <w:pPr>
        <w:pStyle w:val="Bibliography"/>
        <w:rPr>
          <w:rFonts w:ascii="Times New Roman" w:hAnsi="Times New Roman" w:cs="Times New Roman"/>
        </w:rPr>
      </w:pPr>
      <w:r w:rsidRPr="00BF2CE5">
        <w:rPr>
          <w:rFonts w:ascii="Times New Roman" w:hAnsi="Times New Roman" w:cs="Times New Roman"/>
        </w:rPr>
        <w:t>Newman, J.H</w:t>
      </w:r>
      <w:r w:rsidR="00B2156D" w:rsidRPr="00BF2CE5">
        <w:rPr>
          <w:rFonts w:ascii="Times New Roman" w:hAnsi="Times New Roman" w:cs="Times New Roman"/>
        </w:rPr>
        <w:t xml:space="preserve">. 2008. </w:t>
      </w:r>
      <w:r w:rsidR="00B2156D" w:rsidRPr="00BF2CE5">
        <w:rPr>
          <w:rFonts w:ascii="Times New Roman" w:hAnsi="Times New Roman" w:cs="Times New Roman"/>
          <w:i/>
          <w:iCs/>
        </w:rPr>
        <w:t>The Idea of a University</w:t>
      </w:r>
      <w:r w:rsidR="00B2156D" w:rsidRPr="00BF2CE5">
        <w:rPr>
          <w:rFonts w:ascii="Times New Roman" w:hAnsi="Times New Roman" w:cs="Times New Roman"/>
        </w:rPr>
        <w:t>. New Haven, CT: Yale University Press.</w:t>
      </w:r>
    </w:p>
    <w:p w14:paraId="0022635A" w14:textId="09A4144D" w:rsidR="00B2156D" w:rsidRPr="00BF2CE5" w:rsidRDefault="0094168F" w:rsidP="00BF2CE5">
      <w:pPr>
        <w:pStyle w:val="Bibliography"/>
        <w:rPr>
          <w:rFonts w:ascii="Times New Roman" w:hAnsi="Times New Roman" w:cs="Times New Roman"/>
        </w:rPr>
      </w:pPr>
      <w:r w:rsidRPr="00BF2CE5">
        <w:rPr>
          <w:rFonts w:ascii="Times New Roman" w:hAnsi="Times New Roman" w:cs="Times New Roman"/>
        </w:rPr>
        <w:t>Nussbaum, M.</w:t>
      </w:r>
      <w:r w:rsidR="00B2156D" w:rsidRPr="00BF2CE5">
        <w:rPr>
          <w:rFonts w:ascii="Times New Roman" w:hAnsi="Times New Roman" w:cs="Times New Roman"/>
        </w:rPr>
        <w:t xml:space="preserve">C. 2001. </w:t>
      </w:r>
      <w:r w:rsidR="00B2156D" w:rsidRPr="00BF2CE5">
        <w:rPr>
          <w:rFonts w:ascii="Times New Roman" w:hAnsi="Times New Roman" w:cs="Times New Roman"/>
          <w:i/>
          <w:iCs/>
        </w:rPr>
        <w:t>Women and Human Development: The Capabilities Approach</w:t>
      </w:r>
      <w:r w:rsidR="00B2156D" w:rsidRPr="00BF2CE5">
        <w:rPr>
          <w:rFonts w:ascii="Times New Roman" w:hAnsi="Times New Roman" w:cs="Times New Roman"/>
        </w:rPr>
        <w:t>. Vol. 3. Cambridge: Cambridge University Press.</w:t>
      </w:r>
    </w:p>
    <w:p w14:paraId="424A17A9" w14:textId="626CD7D3" w:rsidR="00B2156D" w:rsidRPr="00BF2CE5" w:rsidRDefault="0094168F" w:rsidP="00BF2CE5">
      <w:pPr>
        <w:pStyle w:val="Bibliography"/>
        <w:rPr>
          <w:rFonts w:ascii="Times New Roman" w:hAnsi="Times New Roman" w:cs="Times New Roman"/>
        </w:rPr>
      </w:pPr>
      <w:r w:rsidRPr="00BF2CE5">
        <w:rPr>
          <w:rFonts w:ascii="Times New Roman" w:hAnsi="Times New Roman" w:cs="Times New Roman"/>
        </w:rPr>
        <w:t xml:space="preserve">Nussbaum, M. and </w:t>
      </w:r>
      <w:r w:rsidR="00B2156D" w:rsidRPr="00BF2CE5">
        <w:rPr>
          <w:rFonts w:ascii="Times New Roman" w:hAnsi="Times New Roman" w:cs="Times New Roman"/>
        </w:rPr>
        <w:t>Sen</w:t>
      </w:r>
      <w:r w:rsidRPr="00BF2CE5">
        <w:rPr>
          <w:rFonts w:ascii="Times New Roman" w:hAnsi="Times New Roman" w:cs="Times New Roman"/>
        </w:rPr>
        <w:t>, A.</w:t>
      </w:r>
      <w:r w:rsidR="00B2156D" w:rsidRPr="00BF2CE5">
        <w:rPr>
          <w:rFonts w:ascii="Times New Roman" w:hAnsi="Times New Roman" w:cs="Times New Roman"/>
        </w:rPr>
        <w:t xml:space="preserve"> 1993. </w:t>
      </w:r>
      <w:r w:rsidR="00B2156D" w:rsidRPr="00BF2CE5">
        <w:rPr>
          <w:rFonts w:ascii="Times New Roman" w:hAnsi="Times New Roman" w:cs="Times New Roman"/>
          <w:i/>
          <w:iCs/>
        </w:rPr>
        <w:t>The Quality of Life</w:t>
      </w:r>
      <w:r w:rsidR="00B2156D" w:rsidRPr="00BF2CE5">
        <w:rPr>
          <w:rFonts w:ascii="Times New Roman" w:hAnsi="Times New Roman" w:cs="Times New Roman"/>
        </w:rPr>
        <w:t>. Oxford: Oxford University Press.</w:t>
      </w:r>
    </w:p>
    <w:p w14:paraId="59353529" w14:textId="77777777" w:rsidR="00B375A6" w:rsidRPr="00BF2CE5" w:rsidRDefault="00B375A6" w:rsidP="00BF2CE5">
      <w:pPr>
        <w:pStyle w:val="Bibliography"/>
        <w:rPr>
          <w:rFonts w:ascii="Times New Roman" w:hAnsi="Times New Roman" w:cs="Times New Roman"/>
          <w:color w:val="000000"/>
        </w:rPr>
      </w:pPr>
      <w:r w:rsidRPr="00BF2CE5">
        <w:rPr>
          <w:rFonts w:ascii="Times New Roman" w:hAnsi="Times New Roman" w:cs="Times New Roman"/>
          <w:color w:val="000000"/>
        </w:rPr>
        <w:t xml:space="preserve">Perkins, D. 2006. ‘Constructivism and Troublesome Knowledge’. In </w:t>
      </w:r>
      <w:r w:rsidRPr="00BF2CE5">
        <w:rPr>
          <w:rFonts w:ascii="Times New Roman" w:hAnsi="Times New Roman" w:cs="Times New Roman"/>
          <w:i/>
          <w:iCs/>
          <w:color w:val="000000"/>
        </w:rPr>
        <w:t>Overcoming Barriers to Student Understanding: Threshold Concepts and Troublesome Knowledge</w:t>
      </w:r>
      <w:r w:rsidRPr="00BF2CE5">
        <w:rPr>
          <w:rFonts w:ascii="Times New Roman" w:hAnsi="Times New Roman" w:cs="Times New Roman"/>
          <w:color w:val="000000"/>
        </w:rPr>
        <w:t>, edited by J. Meyer and R. Land, 33–47. London: Routledge.</w:t>
      </w:r>
    </w:p>
    <w:p w14:paraId="6945529D" w14:textId="3C498779" w:rsidR="00B375A6" w:rsidRPr="00BF2CE5" w:rsidRDefault="00B375A6" w:rsidP="00BF2CE5">
      <w:pPr>
        <w:pStyle w:val="Bibliography"/>
        <w:rPr>
          <w:rFonts w:ascii="Times New Roman" w:hAnsi="Times New Roman" w:cs="Times New Roman"/>
          <w:color w:val="000000"/>
        </w:rPr>
      </w:pPr>
      <w:r w:rsidRPr="00BF2CE5">
        <w:rPr>
          <w:rFonts w:ascii="Times New Roman" w:hAnsi="Times New Roman" w:cs="Times New Roman"/>
          <w:color w:val="000000"/>
        </w:rPr>
        <w:t xml:space="preserve">Sabapathy, J.W. and Miller, N. 2011. ‘“Open Universities: A Vision for the Public University in the Twenty-First Century”’. In </w:t>
      </w:r>
      <w:r w:rsidRPr="00BF2CE5">
        <w:rPr>
          <w:rFonts w:ascii="Times New Roman" w:hAnsi="Times New Roman" w:cs="Times New Roman"/>
          <w:i/>
          <w:iCs/>
          <w:color w:val="000000"/>
        </w:rPr>
        <w:t>A Manifesto for the Public University</w:t>
      </w:r>
      <w:r w:rsidRPr="00BF2CE5">
        <w:rPr>
          <w:rFonts w:ascii="Times New Roman" w:hAnsi="Times New Roman" w:cs="Times New Roman"/>
          <w:color w:val="000000"/>
        </w:rPr>
        <w:t xml:space="preserve">, edited by J Holmwood, 42–55. London: Bloomsbury Academic. </w:t>
      </w:r>
    </w:p>
    <w:p w14:paraId="2F7A8F6E" w14:textId="38B7A487" w:rsidR="00B2156D" w:rsidRPr="00BF2CE5" w:rsidRDefault="00B375A6" w:rsidP="00BF2CE5">
      <w:pPr>
        <w:pStyle w:val="Bibliography"/>
        <w:rPr>
          <w:rFonts w:ascii="Times New Roman" w:hAnsi="Times New Roman" w:cs="Times New Roman"/>
        </w:rPr>
      </w:pPr>
      <w:r w:rsidRPr="00BF2CE5">
        <w:rPr>
          <w:rFonts w:ascii="Times New Roman" w:hAnsi="Times New Roman" w:cs="Times New Roman"/>
        </w:rPr>
        <w:t>Smith, C</w:t>
      </w:r>
      <w:r w:rsidR="00B2156D" w:rsidRPr="00BF2CE5">
        <w:rPr>
          <w:rFonts w:ascii="Times New Roman" w:hAnsi="Times New Roman" w:cs="Times New Roman"/>
        </w:rPr>
        <w:t xml:space="preserve">. 2010. </w:t>
      </w:r>
      <w:r w:rsidR="00B2156D" w:rsidRPr="00BF2CE5">
        <w:rPr>
          <w:rFonts w:ascii="Times New Roman" w:hAnsi="Times New Roman" w:cs="Times New Roman"/>
          <w:i/>
          <w:iCs/>
        </w:rPr>
        <w:t>What Is a Person?: Rethinking Humanity, Social Life, and the Moral Good from the Person up</w:t>
      </w:r>
      <w:r w:rsidR="00B2156D" w:rsidRPr="00BF2CE5">
        <w:rPr>
          <w:rFonts w:ascii="Times New Roman" w:hAnsi="Times New Roman" w:cs="Times New Roman"/>
        </w:rPr>
        <w:t>. Chicago, IL: University of Chicago Press.</w:t>
      </w:r>
    </w:p>
    <w:p w14:paraId="0BDD3971" w14:textId="15F13710" w:rsidR="00B2156D" w:rsidRPr="00BF2CE5" w:rsidRDefault="0094168F" w:rsidP="00BF2CE5">
      <w:pPr>
        <w:pStyle w:val="Bibliography"/>
        <w:rPr>
          <w:rFonts w:ascii="Times New Roman" w:hAnsi="Times New Roman" w:cs="Times New Roman"/>
        </w:rPr>
      </w:pPr>
      <w:r w:rsidRPr="00BF2CE5">
        <w:rPr>
          <w:rFonts w:ascii="Times New Roman" w:hAnsi="Times New Roman" w:cs="Times New Roman"/>
        </w:rPr>
        <w:t xml:space="preserve">Stevenson, J. and </w:t>
      </w:r>
      <w:r w:rsidR="00B2156D" w:rsidRPr="00BF2CE5">
        <w:rPr>
          <w:rFonts w:ascii="Times New Roman" w:hAnsi="Times New Roman" w:cs="Times New Roman"/>
        </w:rPr>
        <w:t>Clegg</w:t>
      </w:r>
      <w:r w:rsidRPr="00BF2CE5">
        <w:rPr>
          <w:rFonts w:ascii="Times New Roman" w:hAnsi="Times New Roman" w:cs="Times New Roman"/>
        </w:rPr>
        <w:t>, S</w:t>
      </w:r>
      <w:r w:rsidR="00B2156D" w:rsidRPr="00BF2CE5">
        <w:rPr>
          <w:rFonts w:ascii="Times New Roman" w:hAnsi="Times New Roman" w:cs="Times New Roman"/>
        </w:rPr>
        <w:t xml:space="preserve">. 2011. ‘Possible Selves: Students Orientating Themselves towards the Future through Extracurricular Activity’. </w:t>
      </w:r>
      <w:r w:rsidR="00B2156D" w:rsidRPr="00BF2CE5">
        <w:rPr>
          <w:rFonts w:ascii="Times New Roman" w:hAnsi="Times New Roman" w:cs="Times New Roman"/>
          <w:i/>
          <w:iCs/>
        </w:rPr>
        <w:t>British Educational Research Journal</w:t>
      </w:r>
      <w:r w:rsidR="00B2156D" w:rsidRPr="00BF2CE5">
        <w:rPr>
          <w:rFonts w:ascii="Times New Roman" w:hAnsi="Times New Roman" w:cs="Times New Roman"/>
        </w:rPr>
        <w:t xml:space="preserve"> 37 (2): 231–46.</w:t>
      </w:r>
    </w:p>
    <w:p w14:paraId="40F16CA8" w14:textId="23389BD5" w:rsidR="00B2156D" w:rsidRPr="00BF2CE5" w:rsidRDefault="0094168F" w:rsidP="00BF2CE5">
      <w:pPr>
        <w:pStyle w:val="Bibliography"/>
        <w:rPr>
          <w:rFonts w:ascii="Times New Roman" w:hAnsi="Times New Roman" w:cs="Times New Roman"/>
        </w:rPr>
      </w:pPr>
      <w:r w:rsidRPr="00BF2CE5">
        <w:rPr>
          <w:rFonts w:ascii="Times New Roman" w:hAnsi="Times New Roman" w:cs="Times New Roman"/>
        </w:rPr>
        <w:t>Taylor, C</w:t>
      </w:r>
      <w:r w:rsidR="00B2156D" w:rsidRPr="00BF2CE5">
        <w:rPr>
          <w:rFonts w:ascii="Times New Roman" w:hAnsi="Times New Roman" w:cs="Times New Roman"/>
        </w:rPr>
        <w:t xml:space="preserve">. 1989. </w:t>
      </w:r>
      <w:r w:rsidR="00B2156D" w:rsidRPr="00BF2CE5">
        <w:rPr>
          <w:rFonts w:ascii="Times New Roman" w:hAnsi="Times New Roman" w:cs="Times New Roman"/>
          <w:i/>
          <w:iCs/>
        </w:rPr>
        <w:t>Sources of the Self: The Making of the Modern Identity</w:t>
      </w:r>
      <w:r w:rsidR="00B2156D" w:rsidRPr="00BF2CE5">
        <w:rPr>
          <w:rFonts w:ascii="Times New Roman" w:hAnsi="Times New Roman" w:cs="Times New Roman"/>
        </w:rPr>
        <w:t>. Cambridge: Cambridge University Press.</w:t>
      </w:r>
    </w:p>
    <w:p w14:paraId="08E24340" w14:textId="537DC52A" w:rsidR="00B2156D" w:rsidRPr="00BF2CE5" w:rsidRDefault="0094168F" w:rsidP="00BF2CE5">
      <w:pPr>
        <w:pStyle w:val="Bibliography"/>
        <w:rPr>
          <w:rFonts w:ascii="Times New Roman" w:hAnsi="Times New Roman" w:cs="Times New Roman"/>
        </w:rPr>
      </w:pPr>
      <w:r w:rsidRPr="00BF2CE5">
        <w:rPr>
          <w:rFonts w:ascii="Times New Roman" w:hAnsi="Times New Roman" w:cs="Times New Roman"/>
        </w:rPr>
        <w:t>Vita, G.</w:t>
      </w:r>
      <w:r w:rsidR="00B2156D" w:rsidRPr="00BF2CE5">
        <w:rPr>
          <w:rFonts w:ascii="Times New Roman" w:hAnsi="Times New Roman" w:cs="Times New Roman"/>
        </w:rPr>
        <w:t xml:space="preserve"> 2002. ‘Does Assessed Multicultural Group Work Really Pull UK Students’ Average Down?’ </w:t>
      </w:r>
      <w:r w:rsidR="00B2156D" w:rsidRPr="00BF2CE5">
        <w:rPr>
          <w:rFonts w:ascii="Times New Roman" w:hAnsi="Times New Roman" w:cs="Times New Roman"/>
          <w:i/>
          <w:iCs/>
        </w:rPr>
        <w:t>Assessment &amp; Evaluation in Higher Education</w:t>
      </w:r>
      <w:r w:rsidR="00B2156D" w:rsidRPr="00BF2CE5">
        <w:rPr>
          <w:rFonts w:ascii="Times New Roman" w:hAnsi="Times New Roman" w:cs="Times New Roman"/>
        </w:rPr>
        <w:t xml:space="preserve"> 27 (2): 153–61.</w:t>
      </w:r>
    </w:p>
    <w:p w14:paraId="6B3A9609" w14:textId="6DBFA8A3" w:rsidR="00B2156D" w:rsidRPr="00BF2CE5" w:rsidRDefault="0094168F" w:rsidP="00BF2CE5">
      <w:pPr>
        <w:pStyle w:val="Bibliography"/>
        <w:rPr>
          <w:rFonts w:ascii="Times New Roman" w:hAnsi="Times New Roman" w:cs="Times New Roman"/>
        </w:rPr>
      </w:pPr>
      <w:r w:rsidRPr="00BF2CE5">
        <w:rPr>
          <w:rFonts w:ascii="Times New Roman" w:hAnsi="Times New Roman" w:cs="Times New Roman"/>
        </w:rPr>
        <w:t>Volet, S. E. and Ang, G</w:t>
      </w:r>
      <w:r w:rsidR="00B2156D" w:rsidRPr="00BF2CE5">
        <w:rPr>
          <w:rFonts w:ascii="Times New Roman" w:hAnsi="Times New Roman" w:cs="Times New Roman"/>
        </w:rPr>
        <w:t xml:space="preserve"> 1998. ‘Culturally Mixed Groups on International Campuses: An Opportunity for Inter</w:t>
      </w:r>
      <w:r w:rsidR="00B2156D" w:rsidRPr="00BF2CE5">
        <w:rPr>
          <w:rFonts w:ascii="Calibri" w:eastAsia="Calibri" w:hAnsi="Calibri" w:cs="Calibri"/>
        </w:rPr>
        <w:t>‐</w:t>
      </w:r>
      <w:r w:rsidR="00B2156D" w:rsidRPr="00BF2CE5">
        <w:rPr>
          <w:rFonts w:ascii="Times New Roman" w:hAnsi="Times New Roman" w:cs="Times New Roman"/>
        </w:rPr>
        <w:t xml:space="preserve">cultural Learning’. </w:t>
      </w:r>
      <w:r w:rsidR="00B2156D" w:rsidRPr="00BF2CE5">
        <w:rPr>
          <w:rFonts w:ascii="Times New Roman" w:hAnsi="Times New Roman" w:cs="Times New Roman"/>
          <w:i/>
          <w:iCs/>
        </w:rPr>
        <w:t>Higher Education Research &amp; Development</w:t>
      </w:r>
      <w:r w:rsidR="00B2156D" w:rsidRPr="00BF2CE5">
        <w:rPr>
          <w:rFonts w:ascii="Times New Roman" w:hAnsi="Times New Roman" w:cs="Times New Roman"/>
        </w:rPr>
        <w:t xml:space="preserve"> 17 (1): 5–23.</w:t>
      </w:r>
    </w:p>
    <w:p w14:paraId="419AC26B" w14:textId="03C8F0B3" w:rsidR="00B2156D" w:rsidRPr="00BF2CE5" w:rsidRDefault="0094168F" w:rsidP="00BF2CE5">
      <w:pPr>
        <w:pStyle w:val="Bibliography"/>
        <w:rPr>
          <w:rFonts w:ascii="Times New Roman" w:hAnsi="Times New Roman" w:cs="Times New Roman"/>
        </w:rPr>
      </w:pPr>
      <w:r w:rsidRPr="00BF2CE5">
        <w:rPr>
          <w:rFonts w:ascii="Times New Roman" w:hAnsi="Times New Roman" w:cs="Times New Roman"/>
        </w:rPr>
        <w:t>Wheelahan, L</w:t>
      </w:r>
      <w:r w:rsidR="00B2156D" w:rsidRPr="00BF2CE5">
        <w:rPr>
          <w:rFonts w:ascii="Times New Roman" w:hAnsi="Times New Roman" w:cs="Times New Roman"/>
        </w:rPr>
        <w:t xml:space="preserve">. 2012. </w:t>
      </w:r>
      <w:r w:rsidR="00B2156D" w:rsidRPr="00BF2CE5">
        <w:rPr>
          <w:rFonts w:ascii="Times New Roman" w:hAnsi="Times New Roman" w:cs="Times New Roman"/>
          <w:i/>
          <w:iCs/>
        </w:rPr>
        <w:t>Why Knowledge Matters in Curriculum: A Social Realist Argument</w:t>
      </w:r>
      <w:r w:rsidR="00B2156D" w:rsidRPr="00BF2CE5">
        <w:rPr>
          <w:rFonts w:ascii="Times New Roman" w:hAnsi="Times New Roman" w:cs="Times New Roman"/>
        </w:rPr>
        <w:t>. Abingdon: Routledge.</w:t>
      </w:r>
    </w:p>
    <w:p w14:paraId="6921531E" w14:textId="77777777" w:rsidR="00B2156D" w:rsidRPr="00BF2CE5" w:rsidRDefault="00B2156D" w:rsidP="00BF2CE5">
      <w:pPr>
        <w:pStyle w:val="Bibliography"/>
        <w:rPr>
          <w:rFonts w:ascii="Times New Roman" w:hAnsi="Times New Roman" w:cs="Times New Roman"/>
        </w:rPr>
      </w:pPr>
      <w:r w:rsidRPr="00BF2CE5">
        <w:rPr>
          <w:rFonts w:ascii="Times New Roman" w:hAnsi="Times New Roman" w:cs="Times New Roman"/>
        </w:rPr>
        <w:t xml:space="preserve">Williams, K. 2012. ‘Rethinking “Learning” in Higher Education: Viewing the Student as “Social Actor”’. </w:t>
      </w:r>
      <w:r w:rsidRPr="00BF2CE5">
        <w:rPr>
          <w:rFonts w:ascii="Times New Roman" w:hAnsi="Times New Roman" w:cs="Times New Roman"/>
          <w:i/>
          <w:iCs/>
        </w:rPr>
        <w:t>Journal of Critical Realism</w:t>
      </w:r>
      <w:r w:rsidRPr="00BF2CE5">
        <w:rPr>
          <w:rFonts w:ascii="Times New Roman" w:hAnsi="Times New Roman" w:cs="Times New Roman"/>
        </w:rPr>
        <w:t xml:space="preserve"> 11 (3): 296–323.</w:t>
      </w:r>
    </w:p>
    <w:p w14:paraId="18AB8246" w14:textId="5D7ED5D4" w:rsidR="000673A4" w:rsidRPr="00BF2CE5" w:rsidRDefault="0094168F" w:rsidP="00BF2CE5">
      <w:pPr>
        <w:pStyle w:val="Bibliography"/>
      </w:pPr>
      <w:r w:rsidRPr="00BF2CE5">
        <w:rPr>
          <w:rFonts w:ascii="Times New Roman" w:hAnsi="Times New Roman" w:cs="Times New Roman"/>
        </w:rPr>
        <w:t xml:space="preserve">Wilson-Strydom, M. and </w:t>
      </w:r>
      <w:r w:rsidR="00B2156D" w:rsidRPr="00BF2CE5">
        <w:rPr>
          <w:rFonts w:ascii="Times New Roman" w:hAnsi="Times New Roman" w:cs="Times New Roman"/>
        </w:rPr>
        <w:t>Walker</w:t>
      </w:r>
      <w:r w:rsidRPr="00BF2CE5">
        <w:rPr>
          <w:rFonts w:ascii="Times New Roman" w:hAnsi="Times New Roman" w:cs="Times New Roman"/>
        </w:rPr>
        <w:t>, M</w:t>
      </w:r>
      <w:r w:rsidR="00B2156D" w:rsidRPr="00BF2CE5">
        <w:rPr>
          <w:rFonts w:ascii="Times New Roman" w:hAnsi="Times New Roman" w:cs="Times New Roman"/>
        </w:rPr>
        <w:t xml:space="preserve">. 2015. ‘A Capabilities-Friendly Conceptualisation of Flourishing in and through Education’. </w:t>
      </w:r>
      <w:r w:rsidR="00B2156D" w:rsidRPr="00BF2CE5">
        <w:rPr>
          <w:rFonts w:ascii="Times New Roman" w:hAnsi="Times New Roman" w:cs="Times New Roman"/>
          <w:i/>
          <w:iCs/>
        </w:rPr>
        <w:t>Journal of Moral Education</w:t>
      </w:r>
      <w:r w:rsidR="00B2156D" w:rsidRPr="00BF2CE5">
        <w:rPr>
          <w:rFonts w:ascii="Times New Roman" w:hAnsi="Times New Roman" w:cs="Times New Roman"/>
        </w:rPr>
        <w:t xml:space="preserve"> 44 (3): 310–24.</w:t>
      </w:r>
    </w:p>
    <w:sectPr w:rsidR="000673A4" w:rsidRPr="00BF2CE5" w:rsidSect="008A1F06">
      <w:headerReference w:type="even" r:id="rId8"/>
      <w:footerReference w:type="even"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0F514" w14:textId="77777777" w:rsidR="00C66FE1" w:rsidRDefault="00C66FE1" w:rsidP="003A6CCE">
      <w:r>
        <w:separator/>
      </w:r>
    </w:p>
  </w:endnote>
  <w:endnote w:type="continuationSeparator" w:id="0">
    <w:p w14:paraId="00232FBA" w14:textId="77777777" w:rsidR="00C66FE1" w:rsidRDefault="00C66FE1" w:rsidP="003A6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D8EE6" w14:textId="77777777" w:rsidR="00B37CD1" w:rsidRDefault="00B37CD1" w:rsidP="00860AC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6F3B">
      <w:rPr>
        <w:rStyle w:val="PageNumber"/>
        <w:noProof/>
      </w:rPr>
      <w:t>2</w:t>
    </w:r>
    <w:r>
      <w:rPr>
        <w:rStyle w:val="PageNumber"/>
      </w:rPr>
      <w:fldChar w:fldCharType="end"/>
    </w:r>
  </w:p>
  <w:p w14:paraId="1D4BE359" w14:textId="77777777" w:rsidR="00B37CD1" w:rsidRDefault="00B37C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A5DC3" w14:textId="77777777" w:rsidR="00B37CD1" w:rsidRDefault="00B37CD1" w:rsidP="00860AC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6F3B">
      <w:rPr>
        <w:rStyle w:val="PageNumber"/>
        <w:noProof/>
      </w:rPr>
      <w:t>1</w:t>
    </w:r>
    <w:r>
      <w:rPr>
        <w:rStyle w:val="PageNumber"/>
      </w:rPr>
      <w:fldChar w:fldCharType="end"/>
    </w:r>
  </w:p>
  <w:p w14:paraId="237E45D9" w14:textId="77777777" w:rsidR="00B37CD1" w:rsidRDefault="00B37C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70FD25" w14:textId="77777777" w:rsidR="00C66FE1" w:rsidRDefault="00C66FE1" w:rsidP="003A6CCE">
      <w:r>
        <w:separator/>
      </w:r>
    </w:p>
  </w:footnote>
  <w:footnote w:type="continuationSeparator" w:id="0">
    <w:p w14:paraId="394343DD" w14:textId="77777777" w:rsidR="00C66FE1" w:rsidRDefault="00C66FE1" w:rsidP="003A6CCE">
      <w:r>
        <w:continuationSeparator/>
      </w:r>
    </w:p>
  </w:footnote>
  <w:footnote w:id="1">
    <w:p w14:paraId="5F2D1B32" w14:textId="77777777" w:rsidR="00BF2CE5" w:rsidRPr="00BF2CE5" w:rsidRDefault="00BF2CE5" w:rsidP="00BF2CE5">
      <w:pPr>
        <w:rPr>
          <w:sz w:val="20"/>
          <w:szCs w:val="20"/>
        </w:rPr>
      </w:pPr>
      <w:r>
        <w:rPr>
          <w:rStyle w:val="FootnoteReference"/>
        </w:rPr>
        <w:footnoteRef/>
      </w:r>
      <w:r>
        <w:t xml:space="preserve"> </w:t>
      </w:r>
      <w:r w:rsidRPr="00BF2CE5">
        <w:rPr>
          <w:sz w:val="20"/>
          <w:szCs w:val="20"/>
        </w:rPr>
        <w:t xml:space="preserve">Email: </w:t>
      </w:r>
      <w:hyperlink r:id="rId1" w:history="1">
        <w:r w:rsidRPr="00BF2CE5">
          <w:rPr>
            <w:rStyle w:val="Hyperlink"/>
            <w:sz w:val="20"/>
            <w:szCs w:val="20"/>
          </w:rPr>
          <w:t>kahn@liverpool.ac.uk</w:t>
        </w:r>
      </w:hyperlink>
    </w:p>
    <w:p w14:paraId="60792FEB" w14:textId="77777777" w:rsidR="00BF2CE5" w:rsidRPr="00BF2CE5" w:rsidRDefault="00BF2CE5" w:rsidP="00BF2CE5">
      <w:pPr>
        <w:rPr>
          <w:sz w:val="20"/>
          <w:szCs w:val="20"/>
        </w:rPr>
      </w:pPr>
      <w:r w:rsidRPr="00BF2CE5">
        <w:rPr>
          <w:sz w:val="20"/>
          <w:szCs w:val="20"/>
        </w:rPr>
        <w:t>Tel: +44 151 794 2497</w:t>
      </w:r>
    </w:p>
    <w:p w14:paraId="243033A6" w14:textId="77777777" w:rsidR="00BF2CE5" w:rsidRPr="00BF2CE5" w:rsidRDefault="00BF2CE5" w:rsidP="00BF2CE5">
      <w:pPr>
        <w:rPr>
          <w:sz w:val="20"/>
          <w:szCs w:val="20"/>
        </w:rPr>
      </w:pPr>
      <w:r w:rsidRPr="00BF2CE5">
        <w:rPr>
          <w:sz w:val="20"/>
          <w:szCs w:val="20"/>
        </w:rPr>
        <w:t>https://uk.linkedin.com/in/kahnpeter</w:t>
      </w:r>
    </w:p>
    <w:p w14:paraId="063FDC3A" w14:textId="4E9FAFEE" w:rsidR="00BF2CE5" w:rsidRDefault="00BF2CE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836B1" w14:textId="1405B18D" w:rsidR="00B37CD1" w:rsidRPr="008A1F06" w:rsidRDefault="00B37CD1">
    <w:pPr>
      <w:pStyle w:val="Header"/>
      <w:rPr>
        <w:i/>
        <w:sz w:val="20"/>
        <w:szCs w:val="20"/>
      </w:rPr>
    </w:pPr>
    <w:r w:rsidRPr="008A1F06">
      <w:rPr>
        <w:i/>
        <w:sz w:val="20"/>
        <w:szCs w:val="20"/>
      </w:rPr>
      <w:t>Kahn, P.E.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1C2CE" w14:textId="5797B565" w:rsidR="00B37CD1" w:rsidRPr="008A1F06" w:rsidRDefault="00B37CD1">
    <w:pPr>
      <w:pStyle w:val="Header"/>
      <w:rPr>
        <w:i/>
        <w:sz w:val="20"/>
        <w:szCs w:val="20"/>
      </w:rPr>
    </w:pPr>
    <w:r w:rsidRPr="008A1F06">
      <w:rPr>
        <w:i/>
        <w:sz w:val="20"/>
        <w:szCs w:val="20"/>
      </w:rPr>
      <w:t>Kahn, P.E.</w:t>
    </w:r>
  </w:p>
  <w:p w14:paraId="7F4C9B79" w14:textId="77777777" w:rsidR="00B37CD1" w:rsidRDefault="00B37C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71516A"/>
    <w:multiLevelType w:val="hybridMultilevel"/>
    <w:tmpl w:val="704C7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9B0"/>
    <w:rsid w:val="00006569"/>
    <w:rsid w:val="000077A9"/>
    <w:rsid w:val="00010BFD"/>
    <w:rsid w:val="00010D9F"/>
    <w:rsid w:val="0001129A"/>
    <w:rsid w:val="00017008"/>
    <w:rsid w:val="00024D23"/>
    <w:rsid w:val="00025D80"/>
    <w:rsid w:val="00026B52"/>
    <w:rsid w:val="00027617"/>
    <w:rsid w:val="0003247B"/>
    <w:rsid w:val="0003285A"/>
    <w:rsid w:val="00033C9C"/>
    <w:rsid w:val="00035C23"/>
    <w:rsid w:val="0003717E"/>
    <w:rsid w:val="00040F4E"/>
    <w:rsid w:val="00040FDA"/>
    <w:rsid w:val="00043153"/>
    <w:rsid w:val="00045E4B"/>
    <w:rsid w:val="00047436"/>
    <w:rsid w:val="00051E48"/>
    <w:rsid w:val="00062305"/>
    <w:rsid w:val="00064AB9"/>
    <w:rsid w:val="00066FD7"/>
    <w:rsid w:val="000673A4"/>
    <w:rsid w:val="000701CB"/>
    <w:rsid w:val="00070603"/>
    <w:rsid w:val="000764BB"/>
    <w:rsid w:val="000817BD"/>
    <w:rsid w:val="000824A4"/>
    <w:rsid w:val="00085943"/>
    <w:rsid w:val="000874B4"/>
    <w:rsid w:val="0009069C"/>
    <w:rsid w:val="00091147"/>
    <w:rsid w:val="00095107"/>
    <w:rsid w:val="000A7D55"/>
    <w:rsid w:val="000B19BE"/>
    <w:rsid w:val="000B2D3D"/>
    <w:rsid w:val="000B686B"/>
    <w:rsid w:val="000C02BB"/>
    <w:rsid w:val="000C212B"/>
    <w:rsid w:val="000C2205"/>
    <w:rsid w:val="000C4343"/>
    <w:rsid w:val="000C5ECF"/>
    <w:rsid w:val="000D0001"/>
    <w:rsid w:val="000D0083"/>
    <w:rsid w:val="000D0A68"/>
    <w:rsid w:val="000D0A97"/>
    <w:rsid w:val="000D241C"/>
    <w:rsid w:val="000D3554"/>
    <w:rsid w:val="000D379A"/>
    <w:rsid w:val="000D61AE"/>
    <w:rsid w:val="000D6FE1"/>
    <w:rsid w:val="000D71A3"/>
    <w:rsid w:val="000E1C81"/>
    <w:rsid w:val="000E2E3E"/>
    <w:rsid w:val="000E4F44"/>
    <w:rsid w:val="000F0822"/>
    <w:rsid w:val="000F1C45"/>
    <w:rsid w:val="001067FE"/>
    <w:rsid w:val="00112B69"/>
    <w:rsid w:val="001155A7"/>
    <w:rsid w:val="00121133"/>
    <w:rsid w:val="001260DC"/>
    <w:rsid w:val="00130FC1"/>
    <w:rsid w:val="001377CA"/>
    <w:rsid w:val="00140E15"/>
    <w:rsid w:val="00142878"/>
    <w:rsid w:val="00150B0D"/>
    <w:rsid w:val="001535FC"/>
    <w:rsid w:val="00156C8E"/>
    <w:rsid w:val="0016006D"/>
    <w:rsid w:val="00162099"/>
    <w:rsid w:val="00171300"/>
    <w:rsid w:val="00172008"/>
    <w:rsid w:val="00176FC1"/>
    <w:rsid w:val="00177EF2"/>
    <w:rsid w:val="00177FE0"/>
    <w:rsid w:val="0018085F"/>
    <w:rsid w:val="0018132B"/>
    <w:rsid w:val="001813B6"/>
    <w:rsid w:val="00181E33"/>
    <w:rsid w:val="001839B2"/>
    <w:rsid w:val="00197A2F"/>
    <w:rsid w:val="001A0546"/>
    <w:rsid w:val="001A09F2"/>
    <w:rsid w:val="001A1107"/>
    <w:rsid w:val="001A2919"/>
    <w:rsid w:val="001A340A"/>
    <w:rsid w:val="001A388F"/>
    <w:rsid w:val="001A3899"/>
    <w:rsid w:val="001A40E2"/>
    <w:rsid w:val="001A46F4"/>
    <w:rsid w:val="001A5B3E"/>
    <w:rsid w:val="001B37EE"/>
    <w:rsid w:val="001B3A9C"/>
    <w:rsid w:val="001B6F3B"/>
    <w:rsid w:val="001B76DF"/>
    <w:rsid w:val="001C1A84"/>
    <w:rsid w:val="001C559B"/>
    <w:rsid w:val="001C619A"/>
    <w:rsid w:val="001C7A33"/>
    <w:rsid w:val="001D1BBB"/>
    <w:rsid w:val="001D31A9"/>
    <w:rsid w:val="001D398D"/>
    <w:rsid w:val="001D44F1"/>
    <w:rsid w:val="001D5919"/>
    <w:rsid w:val="001E122F"/>
    <w:rsid w:val="001E3350"/>
    <w:rsid w:val="001E71BA"/>
    <w:rsid w:val="001F0F23"/>
    <w:rsid w:val="002002EE"/>
    <w:rsid w:val="00200AB2"/>
    <w:rsid w:val="00201C2A"/>
    <w:rsid w:val="0020538E"/>
    <w:rsid w:val="00206AE2"/>
    <w:rsid w:val="002072ED"/>
    <w:rsid w:val="002073EE"/>
    <w:rsid w:val="00213311"/>
    <w:rsid w:val="00215646"/>
    <w:rsid w:val="00217FFD"/>
    <w:rsid w:val="00223D1A"/>
    <w:rsid w:val="002262E1"/>
    <w:rsid w:val="00227C91"/>
    <w:rsid w:val="00233E17"/>
    <w:rsid w:val="002421AE"/>
    <w:rsid w:val="002434D2"/>
    <w:rsid w:val="00244B15"/>
    <w:rsid w:val="002504FC"/>
    <w:rsid w:val="00254D76"/>
    <w:rsid w:val="00255DBB"/>
    <w:rsid w:val="002600F5"/>
    <w:rsid w:val="00260582"/>
    <w:rsid w:val="00262978"/>
    <w:rsid w:val="002638D4"/>
    <w:rsid w:val="00263A40"/>
    <w:rsid w:val="00264877"/>
    <w:rsid w:val="00272FC3"/>
    <w:rsid w:val="00275E1E"/>
    <w:rsid w:val="00276247"/>
    <w:rsid w:val="00276A2F"/>
    <w:rsid w:val="00276D30"/>
    <w:rsid w:val="00281432"/>
    <w:rsid w:val="00284688"/>
    <w:rsid w:val="00286990"/>
    <w:rsid w:val="002900D8"/>
    <w:rsid w:val="002919CC"/>
    <w:rsid w:val="00292397"/>
    <w:rsid w:val="0029328A"/>
    <w:rsid w:val="00294921"/>
    <w:rsid w:val="00297FB3"/>
    <w:rsid w:val="002A1D75"/>
    <w:rsid w:val="002A2DB9"/>
    <w:rsid w:val="002A4C59"/>
    <w:rsid w:val="002B49DB"/>
    <w:rsid w:val="002B4B36"/>
    <w:rsid w:val="002D020D"/>
    <w:rsid w:val="002D1408"/>
    <w:rsid w:val="002D26BD"/>
    <w:rsid w:val="002D2FD1"/>
    <w:rsid w:val="002D68FA"/>
    <w:rsid w:val="002D6931"/>
    <w:rsid w:val="002E09FC"/>
    <w:rsid w:val="002E13BA"/>
    <w:rsid w:val="002E1FB4"/>
    <w:rsid w:val="002E350B"/>
    <w:rsid w:val="002E5234"/>
    <w:rsid w:val="002E6E65"/>
    <w:rsid w:val="002F7132"/>
    <w:rsid w:val="002F7676"/>
    <w:rsid w:val="003069A3"/>
    <w:rsid w:val="00306CC4"/>
    <w:rsid w:val="00307B2B"/>
    <w:rsid w:val="00310BFE"/>
    <w:rsid w:val="00311299"/>
    <w:rsid w:val="00311401"/>
    <w:rsid w:val="00313093"/>
    <w:rsid w:val="00314CE5"/>
    <w:rsid w:val="00315F9D"/>
    <w:rsid w:val="003162E9"/>
    <w:rsid w:val="00322DC7"/>
    <w:rsid w:val="00324F51"/>
    <w:rsid w:val="00325757"/>
    <w:rsid w:val="00326E75"/>
    <w:rsid w:val="0033100C"/>
    <w:rsid w:val="00333174"/>
    <w:rsid w:val="00334680"/>
    <w:rsid w:val="00334761"/>
    <w:rsid w:val="00334D55"/>
    <w:rsid w:val="0033663B"/>
    <w:rsid w:val="0034051B"/>
    <w:rsid w:val="00341D54"/>
    <w:rsid w:val="00343BAB"/>
    <w:rsid w:val="0034474F"/>
    <w:rsid w:val="003449F7"/>
    <w:rsid w:val="00345AD5"/>
    <w:rsid w:val="00346F15"/>
    <w:rsid w:val="00354916"/>
    <w:rsid w:val="0035673C"/>
    <w:rsid w:val="003627E7"/>
    <w:rsid w:val="003648F7"/>
    <w:rsid w:val="003651B6"/>
    <w:rsid w:val="00371C78"/>
    <w:rsid w:val="00373DC9"/>
    <w:rsid w:val="00374FA4"/>
    <w:rsid w:val="0037592E"/>
    <w:rsid w:val="00375BBE"/>
    <w:rsid w:val="003765FE"/>
    <w:rsid w:val="00376B6D"/>
    <w:rsid w:val="00380E13"/>
    <w:rsid w:val="00381E54"/>
    <w:rsid w:val="00382630"/>
    <w:rsid w:val="00391E22"/>
    <w:rsid w:val="00393844"/>
    <w:rsid w:val="00394F04"/>
    <w:rsid w:val="00397318"/>
    <w:rsid w:val="003A1EB5"/>
    <w:rsid w:val="003A48B4"/>
    <w:rsid w:val="003A4E10"/>
    <w:rsid w:val="003A520D"/>
    <w:rsid w:val="003A5474"/>
    <w:rsid w:val="003A6563"/>
    <w:rsid w:val="003A6BF4"/>
    <w:rsid w:val="003A6CCE"/>
    <w:rsid w:val="003A779E"/>
    <w:rsid w:val="003B34BE"/>
    <w:rsid w:val="003C18C9"/>
    <w:rsid w:val="003C1E59"/>
    <w:rsid w:val="003C351C"/>
    <w:rsid w:val="003C390C"/>
    <w:rsid w:val="003D07CF"/>
    <w:rsid w:val="003D29EC"/>
    <w:rsid w:val="003D468C"/>
    <w:rsid w:val="003D59EB"/>
    <w:rsid w:val="003D673E"/>
    <w:rsid w:val="003D7252"/>
    <w:rsid w:val="003D77FF"/>
    <w:rsid w:val="003E04FC"/>
    <w:rsid w:val="003E12AF"/>
    <w:rsid w:val="003E4330"/>
    <w:rsid w:val="003E4E91"/>
    <w:rsid w:val="003E5B47"/>
    <w:rsid w:val="003E5E88"/>
    <w:rsid w:val="003F1320"/>
    <w:rsid w:val="003F1897"/>
    <w:rsid w:val="003F20E3"/>
    <w:rsid w:val="003F2FA7"/>
    <w:rsid w:val="003F4439"/>
    <w:rsid w:val="00403B1B"/>
    <w:rsid w:val="00405168"/>
    <w:rsid w:val="004061C5"/>
    <w:rsid w:val="00407997"/>
    <w:rsid w:val="00410717"/>
    <w:rsid w:val="00410D31"/>
    <w:rsid w:val="004116EC"/>
    <w:rsid w:val="00413BEF"/>
    <w:rsid w:val="004178BB"/>
    <w:rsid w:val="004204D2"/>
    <w:rsid w:val="00420FFE"/>
    <w:rsid w:val="00424268"/>
    <w:rsid w:val="00427EBF"/>
    <w:rsid w:val="004313D9"/>
    <w:rsid w:val="004352E5"/>
    <w:rsid w:val="00437F24"/>
    <w:rsid w:val="0044183C"/>
    <w:rsid w:val="0044639B"/>
    <w:rsid w:val="004470A5"/>
    <w:rsid w:val="00453DCF"/>
    <w:rsid w:val="0045620C"/>
    <w:rsid w:val="00457B6C"/>
    <w:rsid w:val="00461678"/>
    <w:rsid w:val="00461838"/>
    <w:rsid w:val="00463899"/>
    <w:rsid w:val="00463FFD"/>
    <w:rsid w:val="00473E23"/>
    <w:rsid w:val="00473FAA"/>
    <w:rsid w:val="00475D68"/>
    <w:rsid w:val="0047683B"/>
    <w:rsid w:val="004812AE"/>
    <w:rsid w:val="0048177D"/>
    <w:rsid w:val="004818B7"/>
    <w:rsid w:val="004871F3"/>
    <w:rsid w:val="0048793D"/>
    <w:rsid w:val="00490CD8"/>
    <w:rsid w:val="00490E57"/>
    <w:rsid w:val="00493F1C"/>
    <w:rsid w:val="00496133"/>
    <w:rsid w:val="00496670"/>
    <w:rsid w:val="004A04B2"/>
    <w:rsid w:val="004A08A5"/>
    <w:rsid w:val="004A39E4"/>
    <w:rsid w:val="004A5C1D"/>
    <w:rsid w:val="004A7E8F"/>
    <w:rsid w:val="004B1CE3"/>
    <w:rsid w:val="004B22BD"/>
    <w:rsid w:val="004C37DC"/>
    <w:rsid w:val="004C4735"/>
    <w:rsid w:val="004C5B14"/>
    <w:rsid w:val="004C671A"/>
    <w:rsid w:val="004D0DD8"/>
    <w:rsid w:val="004D6EBE"/>
    <w:rsid w:val="004D70B3"/>
    <w:rsid w:val="004E221A"/>
    <w:rsid w:val="004E2D6C"/>
    <w:rsid w:val="004E3988"/>
    <w:rsid w:val="004F194C"/>
    <w:rsid w:val="004F3C30"/>
    <w:rsid w:val="004F66A3"/>
    <w:rsid w:val="00506945"/>
    <w:rsid w:val="005078C3"/>
    <w:rsid w:val="0050795D"/>
    <w:rsid w:val="00507D57"/>
    <w:rsid w:val="005118AD"/>
    <w:rsid w:val="00511E92"/>
    <w:rsid w:val="00513830"/>
    <w:rsid w:val="00514898"/>
    <w:rsid w:val="00515FAF"/>
    <w:rsid w:val="00516365"/>
    <w:rsid w:val="005169B2"/>
    <w:rsid w:val="00517FC6"/>
    <w:rsid w:val="00526F1D"/>
    <w:rsid w:val="00535282"/>
    <w:rsid w:val="00541043"/>
    <w:rsid w:val="00550541"/>
    <w:rsid w:val="00552108"/>
    <w:rsid w:val="00552BC0"/>
    <w:rsid w:val="005541CC"/>
    <w:rsid w:val="0056246B"/>
    <w:rsid w:val="00563BF9"/>
    <w:rsid w:val="0056404D"/>
    <w:rsid w:val="0056633D"/>
    <w:rsid w:val="005706A9"/>
    <w:rsid w:val="00570AB9"/>
    <w:rsid w:val="00571A78"/>
    <w:rsid w:val="00577207"/>
    <w:rsid w:val="00577D85"/>
    <w:rsid w:val="00577FB8"/>
    <w:rsid w:val="00585B5C"/>
    <w:rsid w:val="00591F98"/>
    <w:rsid w:val="00592E02"/>
    <w:rsid w:val="005948D1"/>
    <w:rsid w:val="00596EAE"/>
    <w:rsid w:val="005A49C4"/>
    <w:rsid w:val="005A4A35"/>
    <w:rsid w:val="005A5DC7"/>
    <w:rsid w:val="005A6B54"/>
    <w:rsid w:val="005A751B"/>
    <w:rsid w:val="005B1C7D"/>
    <w:rsid w:val="005B4761"/>
    <w:rsid w:val="005B6085"/>
    <w:rsid w:val="005C5AAA"/>
    <w:rsid w:val="005C60D1"/>
    <w:rsid w:val="005C70EC"/>
    <w:rsid w:val="005D21D5"/>
    <w:rsid w:val="005D31A6"/>
    <w:rsid w:val="005D3822"/>
    <w:rsid w:val="005D3AED"/>
    <w:rsid w:val="005D3D22"/>
    <w:rsid w:val="005D49EB"/>
    <w:rsid w:val="005D50E5"/>
    <w:rsid w:val="005D7AF6"/>
    <w:rsid w:val="005E01A1"/>
    <w:rsid w:val="005E1605"/>
    <w:rsid w:val="005E562F"/>
    <w:rsid w:val="005F0E7F"/>
    <w:rsid w:val="005F124C"/>
    <w:rsid w:val="005F2235"/>
    <w:rsid w:val="005F2EDE"/>
    <w:rsid w:val="0060049D"/>
    <w:rsid w:val="00600928"/>
    <w:rsid w:val="006012DD"/>
    <w:rsid w:val="00602570"/>
    <w:rsid w:val="006035FA"/>
    <w:rsid w:val="00605BC1"/>
    <w:rsid w:val="006157AC"/>
    <w:rsid w:val="00617F69"/>
    <w:rsid w:val="00624C94"/>
    <w:rsid w:val="006309C1"/>
    <w:rsid w:val="00633CEE"/>
    <w:rsid w:val="00645B38"/>
    <w:rsid w:val="00645C25"/>
    <w:rsid w:val="00654918"/>
    <w:rsid w:val="00654C27"/>
    <w:rsid w:val="006567DB"/>
    <w:rsid w:val="00660B60"/>
    <w:rsid w:val="00662C18"/>
    <w:rsid w:val="006638C9"/>
    <w:rsid w:val="00666B36"/>
    <w:rsid w:val="006779DB"/>
    <w:rsid w:val="00681F26"/>
    <w:rsid w:val="00683886"/>
    <w:rsid w:val="00684477"/>
    <w:rsid w:val="00690A7C"/>
    <w:rsid w:val="00690E10"/>
    <w:rsid w:val="0069235F"/>
    <w:rsid w:val="00694235"/>
    <w:rsid w:val="006951F4"/>
    <w:rsid w:val="00696DAE"/>
    <w:rsid w:val="00696ED6"/>
    <w:rsid w:val="00697EE9"/>
    <w:rsid w:val="006A124F"/>
    <w:rsid w:val="006A40C0"/>
    <w:rsid w:val="006A491D"/>
    <w:rsid w:val="006A4B5D"/>
    <w:rsid w:val="006A4F9F"/>
    <w:rsid w:val="006A5A63"/>
    <w:rsid w:val="006B024C"/>
    <w:rsid w:val="006B1DE4"/>
    <w:rsid w:val="006B4029"/>
    <w:rsid w:val="006D5E2D"/>
    <w:rsid w:val="006D74E0"/>
    <w:rsid w:val="006D77E1"/>
    <w:rsid w:val="006E252A"/>
    <w:rsid w:val="006E2B25"/>
    <w:rsid w:val="006E4DA8"/>
    <w:rsid w:val="006E4E6B"/>
    <w:rsid w:val="006E56EB"/>
    <w:rsid w:val="006E7821"/>
    <w:rsid w:val="006F4AB6"/>
    <w:rsid w:val="0070058D"/>
    <w:rsid w:val="00703455"/>
    <w:rsid w:val="0070648D"/>
    <w:rsid w:val="007069A6"/>
    <w:rsid w:val="0071116B"/>
    <w:rsid w:val="00711697"/>
    <w:rsid w:val="0071223E"/>
    <w:rsid w:val="0071344D"/>
    <w:rsid w:val="00715E79"/>
    <w:rsid w:val="007178BD"/>
    <w:rsid w:val="007319D0"/>
    <w:rsid w:val="0073341C"/>
    <w:rsid w:val="00737EDD"/>
    <w:rsid w:val="00746651"/>
    <w:rsid w:val="00750284"/>
    <w:rsid w:val="00752AC9"/>
    <w:rsid w:val="007545BB"/>
    <w:rsid w:val="00755A38"/>
    <w:rsid w:val="007579DC"/>
    <w:rsid w:val="00763C09"/>
    <w:rsid w:val="00764031"/>
    <w:rsid w:val="00764EAC"/>
    <w:rsid w:val="007721FF"/>
    <w:rsid w:val="007773E8"/>
    <w:rsid w:val="00780322"/>
    <w:rsid w:val="00780FF4"/>
    <w:rsid w:val="0078377C"/>
    <w:rsid w:val="00784204"/>
    <w:rsid w:val="00784D34"/>
    <w:rsid w:val="0078615D"/>
    <w:rsid w:val="007868EC"/>
    <w:rsid w:val="00787C89"/>
    <w:rsid w:val="00792DC9"/>
    <w:rsid w:val="00793C93"/>
    <w:rsid w:val="007960BE"/>
    <w:rsid w:val="00797727"/>
    <w:rsid w:val="007A0910"/>
    <w:rsid w:val="007A28FC"/>
    <w:rsid w:val="007A61AE"/>
    <w:rsid w:val="007A625F"/>
    <w:rsid w:val="007B054E"/>
    <w:rsid w:val="007B345E"/>
    <w:rsid w:val="007B54E2"/>
    <w:rsid w:val="007C0646"/>
    <w:rsid w:val="007C0D36"/>
    <w:rsid w:val="007C27CC"/>
    <w:rsid w:val="007C5595"/>
    <w:rsid w:val="007D0474"/>
    <w:rsid w:val="007D2E44"/>
    <w:rsid w:val="007D31C9"/>
    <w:rsid w:val="007E101B"/>
    <w:rsid w:val="007E3111"/>
    <w:rsid w:val="007E3F53"/>
    <w:rsid w:val="007E6A2A"/>
    <w:rsid w:val="007E6F1F"/>
    <w:rsid w:val="007F1ED9"/>
    <w:rsid w:val="007F3B49"/>
    <w:rsid w:val="007F7162"/>
    <w:rsid w:val="007F72AD"/>
    <w:rsid w:val="007F7FFB"/>
    <w:rsid w:val="008022F1"/>
    <w:rsid w:val="008073D2"/>
    <w:rsid w:val="008120A9"/>
    <w:rsid w:val="00813302"/>
    <w:rsid w:val="008147F9"/>
    <w:rsid w:val="00815580"/>
    <w:rsid w:val="00815BBB"/>
    <w:rsid w:val="0081675A"/>
    <w:rsid w:val="00817C73"/>
    <w:rsid w:val="008219A7"/>
    <w:rsid w:val="008243AC"/>
    <w:rsid w:val="00826794"/>
    <w:rsid w:val="00826CFC"/>
    <w:rsid w:val="00826D22"/>
    <w:rsid w:val="00827178"/>
    <w:rsid w:val="008303D8"/>
    <w:rsid w:val="008309BF"/>
    <w:rsid w:val="008324A2"/>
    <w:rsid w:val="00832F9C"/>
    <w:rsid w:val="00833E37"/>
    <w:rsid w:val="00834414"/>
    <w:rsid w:val="008349AC"/>
    <w:rsid w:val="00835037"/>
    <w:rsid w:val="00835141"/>
    <w:rsid w:val="00837392"/>
    <w:rsid w:val="00840143"/>
    <w:rsid w:val="008408A9"/>
    <w:rsid w:val="00841273"/>
    <w:rsid w:val="00842912"/>
    <w:rsid w:val="008478AE"/>
    <w:rsid w:val="0085064C"/>
    <w:rsid w:val="00851F90"/>
    <w:rsid w:val="00854E87"/>
    <w:rsid w:val="00860413"/>
    <w:rsid w:val="00860AC5"/>
    <w:rsid w:val="0086158F"/>
    <w:rsid w:val="00863479"/>
    <w:rsid w:val="00863AC6"/>
    <w:rsid w:val="00865D56"/>
    <w:rsid w:val="0086703D"/>
    <w:rsid w:val="00873D10"/>
    <w:rsid w:val="00874F36"/>
    <w:rsid w:val="00875158"/>
    <w:rsid w:val="008755AE"/>
    <w:rsid w:val="00875FD0"/>
    <w:rsid w:val="00884938"/>
    <w:rsid w:val="008907B5"/>
    <w:rsid w:val="00895847"/>
    <w:rsid w:val="00895AD4"/>
    <w:rsid w:val="00896A2C"/>
    <w:rsid w:val="00897820"/>
    <w:rsid w:val="00897925"/>
    <w:rsid w:val="008A0C5A"/>
    <w:rsid w:val="008A1F06"/>
    <w:rsid w:val="008A35A5"/>
    <w:rsid w:val="008A47D5"/>
    <w:rsid w:val="008A6711"/>
    <w:rsid w:val="008B40D8"/>
    <w:rsid w:val="008C0583"/>
    <w:rsid w:val="008C084B"/>
    <w:rsid w:val="008C1388"/>
    <w:rsid w:val="008C1A30"/>
    <w:rsid w:val="008C2700"/>
    <w:rsid w:val="008D3116"/>
    <w:rsid w:val="008E18D7"/>
    <w:rsid w:val="008E7956"/>
    <w:rsid w:val="008F036F"/>
    <w:rsid w:val="008F3920"/>
    <w:rsid w:val="008F4320"/>
    <w:rsid w:val="008F7C27"/>
    <w:rsid w:val="009016E4"/>
    <w:rsid w:val="0090195D"/>
    <w:rsid w:val="009022D0"/>
    <w:rsid w:val="009027A8"/>
    <w:rsid w:val="009066BA"/>
    <w:rsid w:val="009105F2"/>
    <w:rsid w:val="00911B3C"/>
    <w:rsid w:val="00912A58"/>
    <w:rsid w:val="00913FE4"/>
    <w:rsid w:val="00914860"/>
    <w:rsid w:val="0092146E"/>
    <w:rsid w:val="009239D2"/>
    <w:rsid w:val="0092420F"/>
    <w:rsid w:val="0092429E"/>
    <w:rsid w:val="00925437"/>
    <w:rsid w:val="00925D70"/>
    <w:rsid w:val="00925E59"/>
    <w:rsid w:val="00925F3F"/>
    <w:rsid w:val="00926EF1"/>
    <w:rsid w:val="00927F27"/>
    <w:rsid w:val="00933EDC"/>
    <w:rsid w:val="00935D31"/>
    <w:rsid w:val="009364D9"/>
    <w:rsid w:val="00936753"/>
    <w:rsid w:val="00937329"/>
    <w:rsid w:val="00937D4F"/>
    <w:rsid w:val="0094168F"/>
    <w:rsid w:val="0094257E"/>
    <w:rsid w:val="00943264"/>
    <w:rsid w:val="00943CFA"/>
    <w:rsid w:val="0095019F"/>
    <w:rsid w:val="009505E7"/>
    <w:rsid w:val="00950D1E"/>
    <w:rsid w:val="0095407F"/>
    <w:rsid w:val="0096048A"/>
    <w:rsid w:val="00960D43"/>
    <w:rsid w:val="00962F53"/>
    <w:rsid w:val="00963D7D"/>
    <w:rsid w:val="00964D01"/>
    <w:rsid w:val="00965701"/>
    <w:rsid w:val="00967097"/>
    <w:rsid w:val="009674BC"/>
    <w:rsid w:val="00967877"/>
    <w:rsid w:val="00970028"/>
    <w:rsid w:val="00971EC6"/>
    <w:rsid w:val="00972B7C"/>
    <w:rsid w:val="0097512E"/>
    <w:rsid w:val="00975B74"/>
    <w:rsid w:val="00982F77"/>
    <w:rsid w:val="009875D5"/>
    <w:rsid w:val="00990467"/>
    <w:rsid w:val="009928CD"/>
    <w:rsid w:val="00996267"/>
    <w:rsid w:val="00996B48"/>
    <w:rsid w:val="0099721B"/>
    <w:rsid w:val="0099727C"/>
    <w:rsid w:val="009A393C"/>
    <w:rsid w:val="009A68C0"/>
    <w:rsid w:val="009B27AD"/>
    <w:rsid w:val="009B3E45"/>
    <w:rsid w:val="009B40E9"/>
    <w:rsid w:val="009B6D38"/>
    <w:rsid w:val="009C7FCB"/>
    <w:rsid w:val="009D0437"/>
    <w:rsid w:val="009D0729"/>
    <w:rsid w:val="009D53A5"/>
    <w:rsid w:val="009D6479"/>
    <w:rsid w:val="009D7CDE"/>
    <w:rsid w:val="009E06A5"/>
    <w:rsid w:val="009E251B"/>
    <w:rsid w:val="009E316B"/>
    <w:rsid w:val="009E3B66"/>
    <w:rsid w:val="009E61BD"/>
    <w:rsid w:val="009E6678"/>
    <w:rsid w:val="009E6C61"/>
    <w:rsid w:val="009E6E11"/>
    <w:rsid w:val="009E7A19"/>
    <w:rsid w:val="009F0256"/>
    <w:rsid w:val="009F0DA2"/>
    <w:rsid w:val="009F1F10"/>
    <w:rsid w:val="00A01492"/>
    <w:rsid w:val="00A01DF6"/>
    <w:rsid w:val="00A10025"/>
    <w:rsid w:val="00A10604"/>
    <w:rsid w:val="00A308A0"/>
    <w:rsid w:val="00A35680"/>
    <w:rsid w:val="00A35BD9"/>
    <w:rsid w:val="00A36D8A"/>
    <w:rsid w:val="00A3738E"/>
    <w:rsid w:val="00A42178"/>
    <w:rsid w:val="00A449BA"/>
    <w:rsid w:val="00A50267"/>
    <w:rsid w:val="00A52333"/>
    <w:rsid w:val="00A53F63"/>
    <w:rsid w:val="00A5571D"/>
    <w:rsid w:val="00A55AE3"/>
    <w:rsid w:val="00A5684B"/>
    <w:rsid w:val="00A56AE7"/>
    <w:rsid w:val="00A603CD"/>
    <w:rsid w:val="00A60A97"/>
    <w:rsid w:val="00A64148"/>
    <w:rsid w:val="00A66929"/>
    <w:rsid w:val="00A70569"/>
    <w:rsid w:val="00A70E7A"/>
    <w:rsid w:val="00A70EC9"/>
    <w:rsid w:val="00A713C6"/>
    <w:rsid w:val="00A7642A"/>
    <w:rsid w:val="00A7715E"/>
    <w:rsid w:val="00A804AE"/>
    <w:rsid w:val="00A82167"/>
    <w:rsid w:val="00A822FB"/>
    <w:rsid w:val="00A84326"/>
    <w:rsid w:val="00A84C1C"/>
    <w:rsid w:val="00A8767A"/>
    <w:rsid w:val="00A93C83"/>
    <w:rsid w:val="00A97969"/>
    <w:rsid w:val="00AA26F3"/>
    <w:rsid w:val="00AA470F"/>
    <w:rsid w:val="00AA4F00"/>
    <w:rsid w:val="00AA5F7A"/>
    <w:rsid w:val="00AB6823"/>
    <w:rsid w:val="00AB7C17"/>
    <w:rsid w:val="00AC16AE"/>
    <w:rsid w:val="00AC18C2"/>
    <w:rsid w:val="00AC1AA0"/>
    <w:rsid w:val="00AC41B6"/>
    <w:rsid w:val="00AC5592"/>
    <w:rsid w:val="00AC7F15"/>
    <w:rsid w:val="00AD0152"/>
    <w:rsid w:val="00AD221E"/>
    <w:rsid w:val="00AD224B"/>
    <w:rsid w:val="00AD25C0"/>
    <w:rsid w:val="00AD27FD"/>
    <w:rsid w:val="00AD29B3"/>
    <w:rsid w:val="00AD5A2B"/>
    <w:rsid w:val="00AD79F1"/>
    <w:rsid w:val="00AE0F3D"/>
    <w:rsid w:val="00AE1474"/>
    <w:rsid w:val="00AE193B"/>
    <w:rsid w:val="00AE1A4F"/>
    <w:rsid w:val="00AE2ECB"/>
    <w:rsid w:val="00AE6829"/>
    <w:rsid w:val="00AE7693"/>
    <w:rsid w:val="00AF1E30"/>
    <w:rsid w:val="00AF238C"/>
    <w:rsid w:val="00AF5281"/>
    <w:rsid w:val="00AF6725"/>
    <w:rsid w:val="00AF75AB"/>
    <w:rsid w:val="00B05F86"/>
    <w:rsid w:val="00B129B6"/>
    <w:rsid w:val="00B17777"/>
    <w:rsid w:val="00B2156D"/>
    <w:rsid w:val="00B23CA1"/>
    <w:rsid w:val="00B25E3A"/>
    <w:rsid w:val="00B26200"/>
    <w:rsid w:val="00B27A7A"/>
    <w:rsid w:val="00B31167"/>
    <w:rsid w:val="00B31A0B"/>
    <w:rsid w:val="00B375A6"/>
    <w:rsid w:val="00B37CD1"/>
    <w:rsid w:val="00B4001E"/>
    <w:rsid w:val="00B41855"/>
    <w:rsid w:val="00B4199C"/>
    <w:rsid w:val="00B42630"/>
    <w:rsid w:val="00B43B50"/>
    <w:rsid w:val="00B4475F"/>
    <w:rsid w:val="00B460F3"/>
    <w:rsid w:val="00B47B4A"/>
    <w:rsid w:val="00B532DF"/>
    <w:rsid w:val="00B554EB"/>
    <w:rsid w:val="00B575AF"/>
    <w:rsid w:val="00B610D0"/>
    <w:rsid w:val="00B63379"/>
    <w:rsid w:val="00B65372"/>
    <w:rsid w:val="00B6639A"/>
    <w:rsid w:val="00B74B6C"/>
    <w:rsid w:val="00B75192"/>
    <w:rsid w:val="00B773CE"/>
    <w:rsid w:val="00B84D07"/>
    <w:rsid w:val="00B86954"/>
    <w:rsid w:val="00B938C2"/>
    <w:rsid w:val="00B93AB7"/>
    <w:rsid w:val="00B96998"/>
    <w:rsid w:val="00BB3E83"/>
    <w:rsid w:val="00BB4E1C"/>
    <w:rsid w:val="00BB55FA"/>
    <w:rsid w:val="00BB6F50"/>
    <w:rsid w:val="00BB7DA2"/>
    <w:rsid w:val="00BC413F"/>
    <w:rsid w:val="00BC793B"/>
    <w:rsid w:val="00BD094B"/>
    <w:rsid w:val="00BE0E57"/>
    <w:rsid w:val="00BE14FF"/>
    <w:rsid w:val="00BE1722"/>
    <w:rsid w:val="00BE262E"/>
    <w:rsid w:val="00BE5BD2"/>
    <w:rsid w:val="00BF2CE5"/>
    <w:rsid w:val="00BF300A"/>
    <w:rsid w:val="00BF32B3"/>
    <w:rsid w:val="00BF4581"/>
    <w:rsid w:val="00C01891"/>
    <w:rsid w:val="00C01FEE"/>
    <w:rsid w:val="00C06398"/>
    <w:rsid w:val="00C0700D"/>
    <w:rsid w:val="00C1059B"/>
    <w:rsid w:val="00C1745C"/>
    <w:rsid w:val="00C17F18"/>
    <w:rsid w:val="00C20A87"/>
    <w:rsid w:val="00C32A89"/>
    <w:rsid w:val="00C3300C"/>
    <w:rsid w:val="00C35C2A"/>
    <w:rsid w:val="00C436E5"/>
    <w:rsid w:val="00C46833"/>
    <w:rsid w:val="00C46F7D"/>
    <w:rsid w:val="00C51196"/>
    <w:rsid w:val="00C51812"/>
    <w:rsid w:val="00C56238"/>
    <w:rsid w:val="00C563D0"/>
    <w:rsid w:val="00C64A45"/>
    <w:rsid w:val="00C65739"/>
    <w:rsid w:val="00C66FE1"/>
    <w:rsid w:val="00C67420"/>
    <w:rsid w:val="00C719B4"/>
    <w:rsid w:val="00C7640E"/>
    <w:rsid w:val="00C76723"/>
    <w:rsid w:val="00C80F95"/>
    <w:rsid w:val="00C81387"/>
    <w:rsid w:val="00C8180D"/>
    <w:rsid w:val="00C9093F"/>
    <w:rsid w:val="00C92150"/>
    <w:rsid w:val="00C94239"/>
    <w:rsid w:val="00C95D2D"/>
    <w:rsid w:val="00CA0119"/>
    <w:rsid w:val="00CA0791"/>
    <w:rsid w:val="00CA6F00"/>
    <w:rsid w:val="00CA6F30"/>
    <w:rsid w:val="00CA7B3B"/>
    <w:rsid w:val="00CA7E2B"/>
    <w:rsid w:val="00CC1EE1"/>
    <w:rsid w:val="00CC2594"/>
    <w:rsid w:val="00CC6158"/>
    <w:rsid w:val="00CC621A"/>
    <w:rsid w:val="00CC7BDA"/>
    <w:rsid w:val="00CD3210"/>
    <w:rsid w:val="00CD3981"/>
    <w:rsid w:val="00CD43CF"/>
    <w:rsid w:val="00CD4A00"/>
    <w:rsid w:val="00CE2947"/>
    <w:rsid w:val="00CE4329"/>
    <w:rsid w:val="00CE573D"/>
    <w:rsid w:val="00CE6F80"/>
    <w:rsid w:val="00CE7EC0"/>
    <w:rsid w:val="00CF0582"/>
    <w:rsid w:val="00CF1093"/>
    <w:rsid w:val="00CF3F93"/>
    <w:rsid w:val="00CF401D"/>
    <w:rsid w:val="00CF7507"/>
    <w:rsid w:val="00D020D8"/>
    <w:rsid w:val="00D027C5"/>
    <w:rsid w:val="00D0769B"/>
    <w:rsid w:val="00D07EFC"/>
    <w:rsid w:val="00D13607"/>
    <w:rsid w:val="00D158A7"/>
    <w:rsid w:val="00D167A1"/>
    <w:rsid w:val="00D17F09"/>
    <w:rsid w:val="00D21DC5"/>
    <w:rsid w:val="00D24244"/>
    <w:rsid w:val="00D33878"/>
    <w:rsid w:val="00D34B1E"/>
    <w:rsid w:val="00D35D5F"/>
    <w:rsid w:val="00D36602"/>
    <w:rsid w:val="00D4233E"/>
    <w:rsid w:val="00D4357C"/>
    <w:rsid w:val="00D46695"/>
    <w:rsid w:val="00D46B6D"/>
    <w:rsid w:val="00D46C25"/>
    <w:rsid w:val="00D5256C"/>
    <w:rsid w:val="00D52C60"/>
    <w:rsid w:val="00D54D06"/>
    <w:rsid w:val="00D55A8D"/>
    <w:rsid w:val="00D55DAF"/>
    <w:rsid w:val="00D56DF3"/>
    <w:rsid w:val="00D609D9"/>
    <w:rsid w:val="00D62098"/>
    <w:rsid w:val="00D70377"/>
    <w:rsid w:val="00D71EBA"/>
    <w:rsid w:val="00D7408E"/>
    <w:rsid w:val="00D74DB8"/>
    <w:rsid w:val="00D75A91"/>
    <w:rsid w:val="00D75E44"/>
    <w:rsid w:val="00D765E6"/>
    <w:rsid w:val="00D800B4"/>
    <w:rsid w:val="00D82803"/>
    <w:rsid w:val="00D82BDD"/>
    <w:rsid w:val="00D86A2C"/>
    <w:rsid w:val="00D903F2"/>
    <w:rsid w:val="00D91948"/>
    <w:rsid w:val="00D94E3D"/>
    <w:rsid w:val="00DA0F30"/>
    <w:rsid w:val="00DA12E3"/>
    <w:rsid w:val="00DA3FB5"/>
    <w:rsid w:val="00DA5285"/>
    <w:rsid w:val="00DA644A"/>
    <w:rsid w:val="00DB1334"/>
    <w:rsid w:val="00DB1644"/>
    <w:rsid w:val="00DB2158"/>
    <w:rsid w:val="00DB4EE0"/>
    <w:rsid w:val="00DB54FD"/>
    <w:rsid w:val="00DC00AA"/>
    <w:rsid w:val="00DC1924"/>
    <w:rsid w:val="00DC4567"/>
    <w:rsid w:val="00DC45F5"/>
    <w:rsid w:val="00DC5DF7"/>
    <w:rsid w:val="00DC6787"/>
    <w:rsid w:val="00DC74D1"/>
    <w:rsid w:val="00DD02AE"/>
    <w:rsid w:val="00DD17F2"/>
    <w:rsid w:val="00DD1AFE"/>
    <w:rsid w:val="00DD27F3"/>
    <w:rsid w:val="00DD5B1C"/>
    <w:rsid w:val="00DD7043"/>
    <w:rsid w:val="00DE21A5"/>
    <w:rsid w:val="00DE3CFF"/>
    <w:rsid w:val="00DE623D"/>
    <w:rsid w:val="00DE62C0"/>
    <w:rsid w:val="00DF2104"/>
    <w:rsid w:val="00DF39B1"/>
    <w:rsid w:val="00E00349"/>
    <w:rsid w:val="00E0080A"/>
    <w:rsid w:val="00E01D80"/>
    <w:rsid w:val="00E03784"/>
    <w:rsid w:val="00E06F55"/>
    <w:rsid w:val="00E117C6"/>
    <w:rsid w:val="00E13C94"/>
    <w:rsid w:val="00E154A2"/>
    <w:rsid w:val="00E231CA"/>
    <w:rsid w:val="00E23A2D"/>
    <w:rsid w:val="00E23D92"/>
    <w:rsid w:val="00E270B3"/>
    <w:rsid w:val="00E27B24"/>
    <w:rsid w:val="00E37C07"/>
    <w:rsid w:val="00E51F9D"/>
    <w:rsid w:val="00E52E9A"/>
    <w:rsid w:val="00E57C34"/>
    <w:rsid w:val="00E61DB0"/>
    <w:rsid w:val="00E7241D"/>
    <w:rsid w:val="00E870A5"/>
    <w:rsid w:val="00E90BC6"/>
    <w:rsid w:val="00E92EB7"/>
    <w:rsid w:val="00E93C99"/>
    <w:rsid w:val="00E976AF"/>
    <w:rsid w:val="00EA0557"/>
    <w:rsid w:val="00EA16B1"/>
    <w:rsid w:val="00EA3C8F"/>
    <w:rsid w:val="00EA3E29"/>
    <w:rsid w:val="00EC0AD5"/>
    <w:rsid w:val="00EC7AB9"/>
    <w:rsid w:val="00ED2C92"/>
    <w:rsid w:val="00ED39E5"/>
    <w:rsid w:val="00ED44C7"/>
    <w:rsid w:val="00ED59A3"/>
    <w:rsid w:val="00ED677E"/>
    <w:rsid w:val="00ED7E45"/>
    <w:rsid w:val="00EE3A3A"/>
    <w:rsid w:val="00EE3FA6"/>
    <w:rsid w:val="00EE54C1"/>
    <w:rsid w:val="00EE7830"/>
    <w:rsid w:val="00EE7D32"/>
    <w:rsid w:val="00EF04A4"/>
    <w:rsid w:val="00EF08EC"/>
    <w:rsid w:val="00EF128C"/>
    <w:rsid w:val="00EF25CF"/>
    <w:rsid w:val="00EF46DE"/>
    <w:rsid w:val="00EF4C21"/>
    <w:rsid w:val="00EF4FF9"/>
    <w:rsid w:val="00EF64E9"/>
    <w:rsid w:val="00F03042"/>
    <w:rsid w:val="00F05A72"/>
    <w:rsid w:val="00F06199"/>
    <w:rsid w:val="00F065A5"/>
    <w:rsid w:val="00F12669"/>
    <w:rsid w:val="00F14769"/>
    <w:rsid w:val="00F15269"/>
    <w:rsid w:val="00F154FE"/>
    <w:rsid w:val="00F15790"/>
    <w:rsid w:val="00F16AB3"/>
    <w:rsid w:val="00F16FBE"/>
    <w:rsid w:val="00F17E00"/>
    <w:rsid w:val="00F3056E"/>
    <w:rsid w:val="00F30EF8"/>
    <w:rsid w:val="00F311C0"/>
    <w:rsid w:val="00F31355"/>
    <w:rsid w:val="00F36369"/>
    <w:rsid w:val="00F3654E"/>
    <w:rsid w:val="00F3737F"/>
    <w:rsid w:val="00F42C86"/>
    <w:rsid w:val="00F4435A"/>
    <w:rsid w:val="00F45F63"/>
    <w:rsid w:val="00F46A95"/>
    <w:rsid w:val="00F47A3D"/>
    <w:rsid w:val="00F47D64"/>
    <w:rsid w:val="00F50078"/>
    <w:rsid w:val="00F511EE"/>
    <w:rsid w:val="00F51AA5"/>
    <w:rsid w:val="00F53252"/>
    <w:rsid w:val="00F53F9E"/>
    <w:rsid w:val="00F577E1"/>
    <w:rsid w:val="00F62692"/>
    <w:rsid w:val="00F62DE9"/>
    <w:rsid w:val="00F64E71"/>
    <w:rsid w:val="00F66991"/>
    <w:rsid w:val="00F66B09"/>
    <w:rsid w:val="00F712A1"/>
    <w:rsid w:val="00F732F0"/>
    <w:rsid w:val="00F7545E"/>
    <w:rsid w:val="00F813CA"/>
    <w:rsid w:val="00F813E1"/>
    <w:rsid w:val="00F82D5F"/>
    <w:rsid w:val="00F844B8"/>
    <w:rsid w:val="00F868E0"/>
    <w:rsid w:val="00F91054"/>
    <w:rsid w:val="00F91591"/>
    <w:rsid w:val="00F91D4F"/>
    <w:rsid w:val="00F92A20"/>
    <w:rsid w:val="00F95868"/>
    <w:rsid w:val="00F965D9"/>
    <w:rsid w:val="00F97A6B"/>
    <w:rsid w:val="00FA0A0F"/>
    <w:rsid w:val="00FA172F"/>
    <w:rsid w:val="00FA1EDD"/>
    <w:rsid w:val="00FB0261"/>
    <w:rsid w:val="00FB1D62"/>
    <w:rsid w:val="00FB2B5A"/>
    <w:rsid w:val="00FB3FA5"/>
    <w:rsid w:val="00FB4222"/>
    <w:rsid w:val="00FB42CF"/>
    <w:rsid w:val="00FC34C1"/>
    <w:rsid w:val="00FC5A7F"/>
    <w:rsid w:val="00FC6C1B"/>
    <w:rsid w:val="00FC7041"/>
    <w:rsid w:val="00FC79E6"/>
    <w:rsid w:val="00FD1E35"/>
    <w:rsid w:val="00FE1C77"/>
    <w:rsid w:val="00FE4045"/>
    <w:rsid w:val="00FE4F51"/>
    <w:rsid w:val="00FF29B0"/>
    <w:rsid w:val="00FF44F7"/>
    <w:rsid w:val="00FF7090"/>
    <w:rsid w:val="00FF7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39DA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68F"/>
    <w:pPr>
      <w:spacing w:after="0" w:line="240" w:lineRule="auto"/>
    </w:pPr>
    <w:rPr>
      <w:rFonts w:ascii="Times New Roman" w:hAnsi="Times New Roman" w:cs="Times New Roman"/>
      <w:sz w:val="24"/>
      <w:szCs w:val="24"/>
      <w:lang w:val="en-US"/>
    </w:rPr>
  </w:style>
  <w:style w:type="paragraph" w:styleId="Heading1">
    <w:name w:val="heading 1"/>
    <w:basedOn w:val="Normal"/>
    <w:next w:val="Normal"/>
    <w:link w:val="Heading1Char"/>
    <w:uiPriority w:val="9"/>
    <w:qFormat/>
    <w:rsid w:val="00E01D80"/>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n-GB"/>
    </w:rPr>
  </w:style>
  <w:style w:type="paragraph" w:styleId="Heading3">
    <w:name w:val="heading 3"/>
    <w:basedOn w:val="Normal"/>
    <w:link w:val="Heading3Char"/>
    <w:uiPriority w:val="9"/>
    <w:qFormat/>
    <w:rsid w:val="00FF29B0"/>
    <w:pPr>
      <w:spacing w:before="100" w:beforeAutospacing="1" w:after="100" w:afterAutospacing="1"/>
      <w:outlineLvl w:val="2"/>
    </w:pPr>
    <w:rPr>
      <w:rFonts w:eastAsia="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F29B0"/>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FF29B0"/>
    <w:rPr>
      <w:b/>
      <w:bCs/>
    </w:rPr>
  </w:style>
  <w:style w:type="paragraph" w:styleId="NormalWeb">
    <w:name w:val="Normal (Web)"/>
    <w:basedOn w:val="Normal"/>
    <w:uiPriority w:val="99"/>
    <w:semiHidden/>
    <w:unhideWhenUsed/>
    <w:rsid w:val="00FF29B0"/>
    <w:pPr>
      <w:spacing w:before="100" w:beforeAutospacing="1" w:after="100" w:afterAutospacing="1"/>
    </w:pPr>
    <w:rPr>
      <w:rFonts w:eastAsia="Times New Roman"/>
      <w:lang w:eastAsia="en-GB"/>
    </w:rPr>
  </w:style>
  <w:style w:type="character" w:customStyle="1" w:styleId="apple-converted-space">
    <w:name w:val="apple-converted-space"/>
    <w:basedOn w:val="DefaultParagraphFont"/>
    <w:rsid w:val="00897925"/>
  </w:style>
  <w:style w:type="character" w:styleId="Hyperlink">
    <w:name w:val="Hyperlink"/>
    <w:basedOn w:val="DefaultParagraphFont"/>
    <w:uiPriority w:val="99"/>
    <w:unhideWhenUsed/>
    <w:rsid w:val="00897925"/>
    <w:rPr>
      <w:color w:val="0000FF"/>
      <w:u w:val="single"/>
    </w:rPr>
  </w:style>
  <w:style w:type="paragraph" w:styleId="FootnoteText">
    <w:name w:val="footnote text"/>
    <w:basedOn w:val="Normal"/>
    <w:link w:val="FootnoteTextChar"/>
    <w:uiPriority w:val="99"/>
    <w:unhideWhenUsed/>
    <w:rsid w:val="003A6CCE"/>
    <w:rPr>
      <w:rFonts w:asciiTheme="minorHAnsi" w:hAnsiTheme="minorHAnsi" w:cstheme="minorBidi"/>
      <w:lang w:val="en-GB"/>
    </w:rPr>
  </w:style>
  <w:style w:type="character" w:customStyle="1" w:styleId="FootnoteTextChar">
    <w:name w:val="Footnote Text Char"/>
    <w:basedOn w:val="DefaultParagraphFont"/>
    <w:link w:val="FootnoteText"/>
    <w:uiPriority w:val="99"/>
    <w:rsid w:val="003A6CCE"/>
    <w:rPr>
      <w:sz w:val="24"/>
      <w:szCs w:val="24"/>
    </w:rPr>
  </w:style>
  <w:style w:type="character" w:styleId="FootnoteReference">
    <w:name w:val="footnote reference"/>
    <w:basedOn w:val="DefaultParagraphFont"/>
    <w:uiPriority w:val="99"/>
    <w:unhideWhenUsed/>
    <w:rsid w:val="003A6CCE"/>
    <w:rPr>
      <w:vertAlign w:val="superscript"/>
    </w:rPr>
  </w:style>
  <w:style w:type="paragraph" w:customStyle="1" w:styleId="Body">
    <w:name w:val="Body"/>
    <w:rsid w:val="00660B60"/>
    <w:pPr>
      <w:pBdr>
        <w:top w:val="nil"/>
        <w:left w:val="nil"/>
        <w:bottom w:val="nil"/>
        <w:right w:val="nil"/>
        <w:between w:val="nil"/>
        <w:bar w:val="nil"/>
      </w:pBdr>
      <w:spacing w:after="0" w:line="240" w:lineRule="auto"/>
    </w:pPr>
    <w:rPr>
      <w:rFonts w:ascii="Calibri" w:eastAsia="Calibri" w:hAnsi="Calibri" w:cs="Calibri"/>
      <w:color w:val="000000"/>
      <w:u w:color="000000"/>
      <w:bdr w:val="nil"/>
      <w:lang w:val="en-US"/>
    </w:rPr>
  </w:style>
  <w:style w:type="paragraph" w:styleId="Bibliography">
    <w:name w:val="Bibliography"/>
    <w:basedOn w:val="Normal"/>
    <w:next w:val="Normal"/>
    <w:uiPriority w:val="37"/>
    <w:unhideWhenUsed/>
    <w:rsid w:val="00860413"/>
    <w:pPr>
      <w:ind w:left="720" w:hanging="720"/>
    </w:pPr>
    <w:rPr>
      <w:rFonts w:asciiTheme="minorHAnsi" w:hAnsiTheme="minorHAnsi" w:cstheme="minorBidi"/>
      <w:sz w:val="22"/>
      <w:szCs w:val="22"/>
      <w:lang w:val="en-GB"/>
    </w:rPr>
  </w:style>
  <w:style w:type="character" w:styleId="EndnoteReference">
    <w:name w:val="endnote reference"/>
    <w:basedOn w:val="DefaultParagraphFont"/>
    <w:uiPriority w:val="99"/>
    <w:semiHidden/>
    <w:unhideWhenUsed/>
    <w:rsid w:val="00E01D80"/>
    <w:rPr>
      <w:vertAlign w:val="superscript"/>
    </w:rPr>
  </w:style>
  <w:style w:type="paragraph" w:styleId="DocumentMap">
    <w:name w:val="Document Map"/>
    <w:basedOn w:val="Normal"/>
    <w:link w:val="DocumentMapChar"/>
    <w:uiPriority w:val="99"/>
    <w:semiHidden/>
    <w:unhideWhenUsed/>
    <w:rsid w:val="00E01D80"/>
  </w:style>
  <w:style w:type="character" w:customStyle="1" w:styleId="DocumentMapChar">
    <w:name w:val="Document Map Char"/>
    <w:basedOn w:val="DefaultParagraphFont"/>
    <w:link w:val="DocumentMap"/>
    <w:uiPriority w:val="99"/>
    <w:semiHidden/>
    <w:rsid w:val="00E01D80"/>
    <w:rPr>
      <w:rFonts w:ascii="Times New Roman" w:hAnsi="Times New Roman" w:cs="Times New Roman"/>
      <w:sz w:val="24"/>
      <w:szCs w:val="24"/>
    </w:rPr>
  </w:style>
  <w:style w:type="character" w:customStyle="1" w:styleId="Heading1Char">
    <w:name w:val="Heading 1 Char"/>
    <w:basedOn w:val="DefaultParagraphFont"/>
    <w:link w:val="Heading1"/>
    <w:uiPriority w:val="9"/>
    <w:rsid w:val="00E01D80"/>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unhideWhenUsed/>
    <w:rsid w:val="008A1F06"/>
    <w:pPr>
      <w:tabs>
        <w:tab w:val="center" w:pos="4513"/>
        <w:tab w:val="right" w:pos="9026"/>
      </w:tabs>
    </w:pPr>
    <w:rPr>
      <w:rFonts w:asciiTheme="minorHAnsi" w:hAnsiTheme="minorHAnsi" w:cstheme="minorBidi"/>
      <w:sz w:val="22"/>
      <w:szCs w:val="22"/>
      <w:lang w:val="en-GB"/>
    </w:rPr>
  </w:style>
  <w:style w:type="character" w:customStyle="1" w:styleId="FooterChar">
    <w:name w:val="Footer Char"/>
    <w:basedOn w:val="DefaultParagraphFont"/>
    <w:link w:val="Footer"/>
    <w:uiPriority w:val="99"/>
    <w:rsid w:val="008A1F06"/>
  </w:style>
  <w:style w:type="character" w:styleId="PageNumber">
    <w:name w:val="page number"/>
    <w:basedOn w:val="DefaultParagraphFont"/>
    <w:uiPriority w:val="99"/>
    <w:semiHidden/>
    <w:unhideWhenUsed/>
    <w:rsid w:val="008A1F06"/>
  </w:style>
  <w:style w:type="paragraph" w:styleId="Header">
    <w:name w:val="header"/>
    <w:basedOn w:val="Normal"/>
    <w:link w:val="HeaderChar"/>
    <w:uiPriority w:val="99"/>
    <w:unhideWhenUsed/>
    <w:rsid w:val="008A1F06"/>
    <w:pPr>
      <w:tabs>
        <w:tab w:val="center" w:pos="4513"/>
        <w:tab w:val="right" w:pos="9026"/>
      </w:tabs>
    </w:pPr>
    <w:rPr>
      <w:rFonts w:asciiTheme="minorHAnsi" w:hAnsiTheme="minorHAnsi" w:cstheme="minorBidi"/>
      <w:sz w:val="22"/>
      <w:szCs w:val="22"/>
      <w:lang w:val="en-GB"/>
    </w:rPr>
  </w:style>
  <w:style w:type="character" w:customStyle="1" w:styleId="HeaderChar">
    <w:name w:val="Header Char"/>
    <w:basedOn w:val="DefaultParagraphFont"/>
    <w:link w:val="Header"/>
    <w:uiPriority w:val="99"/>
    <w:rsid w:val="008A1F06"/>
  </w:style>
  <w:style w:type="paragraph" w:styleId="ListParagraph">
    <w:name w:val="List Paragraph"/>
    <w:basedOn w:val="Normal"/>
    <w:uiPriority w:val="34"/>
    <w:qFormat/>
    <w:rsid w:val="003648F7"/>
    <w:pPr>
      <w:spacing w:after="160" w:line="259" w:lineRule="auto"/>
      <w:ind w:left="720"/>
      <w:contextualSpacing/>
    </w:pPr>
    <w:rPr>
      <w:rFonts w:asciiTheme="minorHAnsi" w:hAnsiTheme="minorHAnsi" w:cstheme="minorBidi"/>
      <w:sz w:val="22"/>
      <w:szCs w:val="22"/>
      <w:lang w:val="en-GB"/>
    </w:rPr>
  </w:style>
  <w:style w:type="character" w:styleId="CommentReference">
    <w:name w:val="annotation reference"/>
    <w:basedOn w:val="DefaultParagraphFont"/>
    <w:uiPriority w:val="99"/>
    <w:semiHidden/>
    <w:unhideWhenUsed/>
    <w:rsid w:val="009B3E45"/>
    <w:rPr>
      <w:sz w:val="18"/>
      <w:szCs w:val="18"/>
    </w:rPr>
  </w:style>
  <w:style w:type="paragraph" w:styleId="CommentText">
    <w:name w:val="annotation text"/>
    <w:basedOn w:val="Normal"/>
    <w:link w:val="CommentTextChar"/>
    <w:uiPriority w:val="99"/>
    <w:unhideWhenUsed/>
    <w:rsid w:val="009B3E45"/>
    <w:pPr>
      <w:spacing w:after="160"/>
    </w:pPr>
    <w:rPr>
      <w:rFonts w:asciiTheme="minorHAnsi" w:hAnsiTheme="minorHAnsi" w:cstheme="minorBidi"/>
      <w:lang w:val="en-GB"/>
    </w:rPr>
  </w:style>
  <w:style w:type="character" w:customStyle="1" w:styleId="CommentTextChar">
    <w:name w:val="Comment Text Char"/>
    <w:basedOn w:val="DefaultParagraphFont"/>
    <w:link w:val="CommentText"/>
    <w:uiPriority w:val="99"/>
    <w:rsid w:val="009B3E45"/>
    <w:rPr>
      <w:sz w:val="24"/>
      <w:szCs w:val="24"/>
    </w:rPr>
  </w:style>
  <w:style w:type="paragraph" w:styleId="CommentSubject">
    <w:name w:val="annotation subject"/>
    <w:basedOn w:val="CommentText"/>
    <w:next w:val="CommentText"/>
    <w:link w:val="CommentSubjectChar"/>
    <w:uiPriority w:val="99"/>
    <w:semiHidden/>
    <w:unhideWhenUsed/>
    <w:rsid w:val="009B3E45"/>
    <w:rPr>
      <w:b/>
      <w:bCs/>
      <w:sz w:val="20"/>
      <w:szCs w:val="20"/>
    </w:rPr>
  </w:style>
  <w:style w:type="character" w:customStyle="1" w:styleId="CommentSubjectChar">
    <w:name w:val="Comment Subject Char"/>
    <w:basedOn w:val="CommentTextChar"/>
    <w:link w:val="CommentSubject"/>
    <w:uiPriority w:val="99"/>
    <w:semiHidden/>
    <w:rsid w:val="009B3E45"/>
    <w:rPr>
      <w:b/>
      <w:bCs/>
      <w:sz w:val="20"/>
      <w:szCs w:val="20"/>
    </w:rPr>
  </w:style>
  <w:style w:type="paragraph" w:styleId="BalloonText">
    <w:name w:val="Balloon Text"/>
    <w:basedOn w:val="Normal"/>
    <w:link w:val="BalloonTextChar"/>
    <w:uiPriority w:val="99"/>
    <w:semiHidden/>
    <w:unhideWhenUsed/>
    <w:rsid w:val="009B3E45"/>
    <w:rPr>
      <w:sz w:val="18"/>
      <w:szCs w:val="18"/>
      <w:lang w:val="en-GB"/>
    </w:rPr>
  </w:style>
  <w:style w:type="character" w:customStyle="1" w:styleId="BalloonTextChar">
    <w:name w:val="Balloon Text Char"/>
    <w:basedOn w:val="DefaultParagraphFont"/>
    <w:link w:val="BalloonText"/>
    <w:uiPriority w:val="99"/>
    <w:semiHidden/>
    <w:rsid w:val="009B3E45"/>
    <w:rPr>
      <w:rFonts w:ascii="Times New Roman" w:hAnsi="Times New Roman" w:cs="Times New Roman"/>
      <w:sz w:val="18"/>
      <w:szCs w:val="18"/>
    </w:rPr>
  </w:style>
  <w:style w:type="character" w:customStyle="1" w:styleId="gsct1">
    <w:name w:val="gs_ct1"/>
    <w:basedOn w:val="DefaultParagraphFont"/>
    <w:rsid w:val="00260582"/>
  </w:style>
  <w:style w:type="character" w:styleId="FollowedHyperlink">
    <w:name w:val="FollowedHyperlink"/>
    <w:basedOn w:val="DefaultParagraphFont"/>
    <w:uiPriority w:val="99"/>
    <w:semiHidden/>
    <w:unhideWhenUsed/>
    <w:rsid w:val="007A625F"/>
    <w:rPr>
      <w:color w:val="954F72" w:themeColor="followedHyperlink"/>
      <w:u w:val="single"/>
    </w:rPr>
  </w:style>
  <w:style w:type="table" w:styleId="TableGrid">
    <w:name w:val="Table Grid"/>
    <w:basedOn w:val="TableNormal"/>
    <w:uiPriority w:val="39"/>
    <w:rsid w:val="00F64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citationvolume">
    <w:name w:val="articlecitation_volume"/>
    <w:basedOn w:val="DefaultParagraphFont"/>
    <w:rsid w:val="00E23A2D"/>
  </w:style>
  <w:style w:type="character" w:customStyle="1" w:styleId="articlecitationpages">
    <w:name w:val="articlecitation_pages"/>
    <w:basedOn w:val="DefaultParagraphFont"/>
    <w:rsid w:val="00E23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0913">
      <w:bodyDiv w:val="1"/>
      <w:marLeft w:val="0"/>
      <w:marRight w:val="0"/>
      <w:marTop w:val="0"/>
      <w:marBottom w:val="0"/>
      <w:divBdr>
        <w:top w:val="none" w:sz="0" w:space="0" w:color="auto"/>
        <w:left w:val="none" w:sz="0" w:space="0" w:color="auto"/>
        <w:bottom w:val="none" w:sz="0" w:space="0" w:color="auto"/>
        <w:right w:val="none" w:sz="0" w:space="0" w:color="auto"/>
      </w:divBdr>
    </w:div>
    <w:div w:id="57217906">
      <w:bodyDiv w:val="1"/>
      <w:marLeft w:val="0"/>
      <w:marRight w:val="0"/>
      <w:marTop w:val="0"/>
      <w:marBottom w:val="0"/>
      <w:divBdr>
        <w:top w:val="none" w:sz="0" w:space="0" w:color="auto"/>
        <w:left w:val="none" w:sz="0" w:space="0" w:color="auto"/>
        <w:bottom w:val="none" w:sz="0" w:space="0" w:color="auto"/>
        <w:right w:val="none" w:sz="0" w:space="0" w:color="auto"/>
      </w:divBdr>
    </w:div>
    <w:div w:id="66804873">
      <w:bodyDiv w:val="1"/>
      <w:marLeft w:val="0"/>
      <w:marRight w:val="0"/>
      <w:marTop w:val="0"/>
      <w:marBottom w:val="0"/>
      <w:divBdr>
        <w:top w:val="none" w:sz="0" w:space="0" w:color="auto"/>
        <w:left w:val="none" w:sz="0" w:space="0" w:color="auto"/>
        <w:bottom w:val="none" w:sz="0" w:space="0" w:color="auto"/>
        <w:right w:val="none" w:sz="0" w:space="0" w:color="auto"/>
      </w:divBdr>
    </w:div>
    <w:div w:id="102699240">
      <w:bodyDiv w:val="1"/>
      <w:marLeft w:val="0"/>
      <w:marRight w:val="0"/>
      <w:marTop w:val="0"/>
      <w:marBottom w:val="0"/>
      <w:divBdr>
        <w:top w:val="none" w:sz="0" w:space="0" w:color="auto"/>
        <w:left w:val="none" w:sz="0" w:space="0" w:color="auto"/>
        <w:bottom w:val="none" w:sz="0" w:space="0" w:color="auto"/>
        <w:right w:val="none" w:sz="0" w:space="0" w:color="auto"/>
      </w:divBdr>
    </w:div>
    <w:div w:id="103043888">
      <w:bodyDiv w:val="1"/>
      <w:marLeft w:val="0"/>
      <w:marRight w:val="0"/>
      <w:marTop w:val="0"/>
      <w:marBottom w:val="0"/>
      <w:divBdr>
        <w:top w:val="none" w:sz="0" w:space="0" w:color="auto"/>
        <w:left w:val="none" w:sz="0" w:space="0" w:color="auto"/>
        <w:bottom w:val="none" w:sz="0" w:space="0" w:color="auto"/>
        <w:right w:val="none" w:sz="0" w:space="0" w:color="auto"/>
      </w:divBdr>
    </w:div>
    <w:div w:id="114716634">
      <w:bodyDiv w:val="1"/>
      <w:marLeft w:val="0"/>
      <w:marRight w:val="0"/>
      <w:marTop w:val="0"/>
      <w:marBottom w:val="0"/>
      <w:divBdr>
        <w:top w:val="none" w:sz="0" w:space="0" w:color="auto"/>
        <w:left w:val="none" w:sz="0" w:space="0" w:color="auto"/>
        <w:bottom w:val="none" w:sz="0" w:space="0" w:color="auto"/>
        <w:right w:val="none" w:sz="0" w:space="0" w:color="auto"/>
      </w:divBdr>
    </w:div>
    <w:div w:id="118652714">
      <w:bodyDiv w:val="1"/>
      <w:marLeft w:val="0"/>
      <w:marRight w:val="0"/>
      <w:marTop w:val="0"/>
      <w:marBottom w:val="0"/>
      <w:divBdr>
        <w:top w:val="none" w:sz="0" w:space="0" w:color="auto"/>
        <w:left w:val="none" w:sz="0" w:space="0" w:color="auto"/>
        <w:bottom w:val="none" w:sz="0" w:space="0" w:color="auto"/>
        <w:right w:val="none" w:sz="0" w:space="0" w:color="auto"/>
      </w:divBdr>
    </w:div>
    <w:div w:id="141049304">
      <w:bodyDiv w:val="1"/>
      <w:marLeft w:val="0"/>
      <w:marRight w:val="0"/>
      <w:marTop w:val="0"/>
      <w:marBottom w:val="0"/>
      <w:divBdr>
        <w:top w:val="none" w:sz="0" w:space="0" w:color="auto"/>
        <w:left w:val="none" w:sz="0" w:space="0" w:color="auto"/>
        <w:bottom w:val="none" w:sz="0" w:space="0" w:color="auto"/>
        <w:right w:val="none" w:sz="0" w:space="0" w:color="auto"/>
      </w:divBdr>
    </w:div>
    <w:div w:id="149908015">
      <w:bodyDiv w:val="1"/>
      <w:marLeft w:val="0"/>
      <w:marRight w:val="0"/>
      <w:marTop w:val="0"/>
      <w:marBottom w:val="0"/>
      <w:divBdr>
        <w:top w:val="none" w:sz="0" w:space="0" w:color="auto"/>
        <w:left w:val="none" w:sz="0" w:space="0" w:color="auto"/>
        <w:bottom w:val="none" w:sz="0" w:space="0" w:color="auto"/>
        <w:right w:val="none" w:sz="0" w:space="0" w:color="auto"/>
      </w:divBdr>
    </w:div>
    <w:div w:id="151333402">
      <w:bodyDiv w:val="1"/>
      <w:marLeft w:val="0"/>
      <w:marRight w:val="0"/>
      <w:marTop w:val="0"/>
      <w:marBottom w:val="0"/>
      <w:divBdr>
        <w:top w:val="none" w:sz="0" w:space="0" w:color="auto"/>
        <w:left w:val="none" w:sz="0" w:space="0" w:color="auto"/>
        <w:bottom w:val="none" w:sz="0" w:space="0" w:color="auto"/>
        <w:right w:val="none" w:sz="0" w:space="0" w:color="auto"/>
      </w:divBdr>
    </w:div>
    <w:div w:id="225386517">
      <w:bodyDiv w:val="1"/>
      <w:marLeft w:val="0"/>
      <w:marRight w:val="0"/>
      <w:marTop w:val="0"/>
      <w:marBottom w:val="0"/>
      <w:divBdr>
        <w:top w:val="none" w:sz="0" w:space="0" w:color="auto"/>
        <w:left w:val="none" w:sz="0" w:space="0" w:color="auto"/>
        <w:bottom w:val="none" w:sz="0" w:space="0" w:color="auto"/>
        <w:right w:val="none" w:sz="0" w:space="0" w:color="auto"/>
      </w:divBdr>
    </w:div>
    <w:div w:id="229969433">
      <w:bodyDiv w:val="1"/>
      <w:marLeft w:val="0"/>
      <w:marRight w:val="0"/>
      <w:marTop w:val="0"/>
      <w:marBottom w:val="0"/>
      <w:divBdr>
        <w:top w:val="none" w:sz="0" w:space="0" w:color="auto"/>
        <w:left w:val="none" w:sz="0" w:space="0" w:color="auto"/>
        <w:bottom w:val="none" w:sz="0" w:space="0" w:color="auto"/>
        <w:right w:val="none" w:sz="0" w:space="0" w:color="auto"/>
      </w:divBdr>
    </w:div>
    <w:div w:id="244268194">
      <w:bodyDiv w:val="1"/>
      <w:marLeft w:val="0"/>
      <w:marRight w:val="0"/>
      <w:marTop w:val="0"/>
      <w:marBottom w:val="0"/>
      <w:divBdr>
        <w:top w:val="none" w:sz="0" w:space="0" w:color="auto"/>
        <w:left w:val="none" w:sz="0" w:space="0" w:color="auto"/>
        <w:bottom w:val="none" w:sz="0" w:space="0" w:color="auto"/>
        <w:right w:val="none" w:sz="0" w:space="0" w:color="auto"/>
      </w:divBdr>
    </w:div>
    <w:div w:id="261187902">
      <w:bodyDiv w:val="1"/>
      <w:marLeft w:val="0"/>
      <w:marRight w:val="0"/>
      <w:marTop w:val="0"/>
      <w:marBottom w:val="0"/>
      <w:divBdr>
        <w:top w:val="none" w:sz="0" w:space="0" w:color="auto"/>
        <w:left w:val="none" w:sz="0" w:space="0" w:color="auto"/>
        <w:bottom w:val="none" w:sz="0" w:space="0" w:color="auto"/>
        <w:right w:val="none" w:sz="0" w:space="0" w:color="auto"/>
      </w:divBdr>
    </w:div>
    <w:div w:id="322591006">
      <w:bodyDiv w:val="1"/>
      <w:marLeft w:val="0"/>
      <w:marRight w:val="0"/>
      <w:marTop w:val="0"/>
      <w:marBottom w:val="0"/>
      <w:divBdr>
        <w:top w:val="none" w:sz="0" w:space="0" w:color="auto"/>
        <w:left w:val="none" w:sz="0" w:space="0" w:color="auto"/>
        <w:bottom w:val="none" w:sz="0" w:space="0" w:color="auto"/>
        <w:right w:val="none" w:sz="0" w:space="0" w:color="auto"/>
      </w:divBdr>
    </w:div>
    <w:div w:id="426073162">
      <w:bodyDiv w:val="1"/>
      <w:marLeft w:val="0"/>
      <w:marRight w:val="0"/>
      <w:marTop w:val="0"/>
      <w:marBottom w:val="0"/>
      <w:divBdr>
        <w:top w:val="none" w:sz="0" w:space="0" w:color="auto"/>
        <w:left w:val="none" w:sz="0" w:space="0" w:color="auto"/>
        <w:bottom w:val="none" w:sz="0" w:space="0" w:color="auto"/>
        <w:right w:val="none" w:sz="0" w:space="0" w:color="auto"/>
      </w:divBdr>
    </w:div>
    <w:div w:id="437993170">
      <w:bodyDiv w:val="1"/>
      <w:marLeft w:val="0"/>
      <w:marRight w:val="0"/>
      <w:marTop w:val="0"/>
      <w:marBottom w:val="0"/>
      <w:divBdr>
        <w:top w:val="none" w:sz="0" w:space="0" w:color="auto"/>
        <w:left w:val="none" w:sz="0" w:space="0" w:color="auto"/>
        <w:bottom w:val="none" w:sz="0" w:space="0" w:color="auto"/>
        <w:right w:val="none" w:sz="0" w:space="0" w:color="auto"/>
      </w:divBdr>
    </w:div>
    <w:div w:id="459422037">
      <w:bodyDiv w:val="1"/>
      <w:marLeft w:val="0"/>
      <w:marRight w:val="0"/>
      <w:marTop w:val="0"/>
      <w:marBottom w:val="0"/>
      <w:divBdr>
        <w:top w:val="none" w:sz="0" w:space="0" w:color="auto"/>
        <w:left w:val="none" w:sz="0" w:space="0" w:color="auto"/>
        <w:bottom w:val="none" w:sz="0" w:space="0" w:color="auto"/>
        <w:right w:val="none" w:sz="0" w:space="0" w:color="auto"/>
      </w:divBdr>
    </w:div>
    <w:div w:id="483474672">
      <w:bodyDiv w:val="1"/>
      <w:marLeft w:val="0"/>
      <w:marRight w:val="0"/>
      <w:marTop w:val="0"/>
      <w:marBottom w:val="0"/>
      <w:divBdr>
        <w:top w:val="none" w:sz="0" w:space="0" w:color="auto"/>
        <w:left w:val="none" w:sz="0" w:space="0" w:color="auto"/>
        <w:bottom w:val="none" w:sz="0" w:space="0" w:color="auto"/>
        <w:right w:val="none" w:sz="0" w:space="0" w:color="auto"/>
      </w:divBdr>
    </w:div>
    <w:div w:id="503397193">
      <w:bodyDiv w:val="1"/>
      <w:marLeft w:val="0"/>
      <w:marRight w:val="0"/>
      <w:marTop w:val="0"/>
      <w:marBottom w:val="0"/>
      <w:divBdr>
        <w:top w:val="none" w:sz="0" w:space="0" w:color="auto"/>
        <w:left w:val="none" w:sz="0" w:space="0" w:color="auto"/>
        <w:bottom w:val="none" w:sz="0" w:space="0" w:color="auto"/>
        <w:right w:val="none" w:sz="0" w:space="0" w:color="auto"/>
      </w:divBdr>
      <w:divsChild>
        <w:div w:id="265046425">
          <w:marLeft w:val="0"/>
          <w:marRight w:val="0"/>
          <w:marTop w:val="0"/>
          <w:marBottom w:val="0"/>
          <w:divBdr>
            <w:top w:val="none" w:sz="0" w:space="0" w:color="auto"/>
            <w:left w:val="none" w:sz="0" w:space="0" w:color="auto"/>
            <w:bottom w:val="none" w:sz="0" w:space="0" w:color="auto"/>
            <w:right w:val="none" w:sz="0" w:space="0" w:color="auto"/>
          </w:divBdr>
        </w:div>
      </w:divsChild>
    </w:div>
    <w:div w:id="512844571">
      <w:bodyDiv w:val="1"/>
      <w:marLeft w:val="0"/>
      <w:marRight w:val="0"/>
      <w:marTop w:val="0"/>
      <w:marBottom w:val="0"/>
      <w:divBdr>
        <w:top w:val="none" w:sz="0" w:space="0" w:color="auto"/>
        <w:left w:val="none" w:sz="0" w:space="0" w:color="auto"/>
        <w:bottom w:val="none" w:sz="0" w:space="0" w:color="auto"/>
        <w:right w:val="none" w:sz="0" w:space="0" w:color="auto"/>
      </w:divBdr>
    </w:div>
    <w:div w:id="540217230">
      <w:bodyDiv w:val="1"/>
      <w:marLeft w:val="0"/>
      <w:marRight w:val="0"/>
      <w:marTop w:val="0"/>
      <w:marBottom w:val="0"/>
      <w:divBdr>
        <w:top w:val="none" w:sz="0" w:space="0" w:color="auto"/>
        <w:left w:val="none" w:sz="0" w:space="0" w:color="auto"/>
        <w:bottom w:val="none" w:sz="0" w:space="0" w:color="auto"/>
        <w:right w:val="none" w:sz="0" w:space="0" w:color="auto"/>
      </w:divBdr>
    </w:div>
    <w:div w:id="571504841">
      <w:bodyDiv w:val="1"/>
      <w:marLeft w:val="0"/>
      <w:marRight w:val="0"/>
      <w:marTop w:val="0"/>
      <w:marBottom w:val="0"/>
      <w:divBdr>
        <w:top w:val="none" w:sz="0" w:space="0" w:color="auto"/>
        <w:left w:val="none" w:sz="0" w:space="0" w:color="auto"/>
        <w:bottom w:val="none" w:sz="0" w:space="0" w:color="auto"/>
        <w:right w:val="none" w:sz="0" w:space="0" w:color="auto"/>
      </w:divBdr>
    </w:div>
    <w:div w:id="575210790">
      <w:bodyDiv w:val="1"/>
      <w:marLeft w:val="0"/>
      <w:marRight w:val="0"/>
      <w:marTop w:val="0"/>
      <w:marBottom w:val="0"/>
      <w:divBdr>
        <w:top w:val="none" w:sz="0" w:space="0" w:color="auto"/>
        <w:left w:val="none" w:sz="0" w:space="0" w:color="auto"/>
        <w:bottom w:val="none" w:sz="0" w:space="0" w:color="auto"/>
        <w:right w:val="none" w:sz="0" w:space="0" w:color="auto"/>
      </w:divBdr>
    </w:div>
    <w:div w:id="647244784">
      <w:bodyDiv w:val="1"/>
      <w:marLeft w:val="0"/>
      <w:marRight w:val="0"/>
      <w:marTop w:val="0"/>
      <w:marBottom w:val="0"/>
      <w:divBdr>
        <w:top w:val="none" w:sz="0" w:space="0" w:color="auto"/>
        <w:left w:val="none" w:sz="0" w:space="0" w:color="auto"/>
        <w:bottom w:val="none" w:sz="0" w:space="0" w:color="auto"/>
        <w:right w:val="none" w:sz="0" w:space="0" w:color="auto"/>
      </w:divBdr>
    </w:div>
    <w:div w:id="654913362">
      <w:bodyDiv w:val="1"/>
      <w:marLeft w:val="0"/>
      <w:marRight w:val="0"/>
      <w:marTop w:val="0"/>
      <w:marBottom w:val="0"/>
      <w:divBdr>
        <w:top w:val="none" w:sz="0" w:space="0" w:color="auto"/>
        <w:left w:val="none" w:sz="0" w:space="0" w:color="auto"/>
        <w:bottom w:val="none" w:sz="0" w:space="0" w:color="auto"/>
        <w:right w:val="none" w:sz="0" w:space="0" w:color="auto"/>
      </w:divBdr>
    </w:div>
    <w:div w:id="660161328">
      <w:bodyDiv w:val="1"/>
      <w:marLeft w:val="0"/>
      <w:marRight w:val="0"/>
      <w:marTop w:val="0"/>
      <w:marBottom w:val="0"/>
      <w:divBdr>
        <w:top w:val="none" w:sz="0" w:space="0" w:color="auto"/>
        <w:left w:val="none" w:sz="0" w:space="0" w:color="auto"/>
        <w:bottom w:val="none" w:sz="0" w:space="0" w:color="auto"/>
        <w:right w:val="none" w:sz="0" w:space="0" w:color="auto"/>
      </w:divBdr>
    </w:div>
    <w:div w:id="672797941">
      <w:bodyDiv w:val="1"/>
      <w:marLeft w:val="0"/>
      <w:marRight w:val="0"/>
      <w:marTop w:val="0"/>
      <w:marBottom w:val="0"/>
      <w:divBdr>
        <w:top w:val="none" w:sz="0" w:space="0" w:color="auto"/>
        <w:left w:val="none" w:sz="0" w:space="0" w:color="auto"/>
        <w:bottom w:val="none" w:sz="0" w:space="0" w:color="auto"/>
        <w:right w:val="none" w:sz="0" w:space="0" w:color="auto"/>
      </w:divBdr>
    </w:div>
    <w:div w:id="682168978">
      <w:bodyDiv w:val="1"/>
      <w:marLeft w:val="0"/>
      <w:marRight w:val="0"/>
      <w:marTop w:val="0"/>
      <w:marBottom w:val="0"/>
      <w:divBdr>
        <w:top w:val="none" w:sz="0" w:space="0" w:color="auto"/>
        <w:left w:val="none" w:sz="0" w:space="0" w:color="auto"/>
        <w:bottom w:val="none" w:sz="0" w:space="0" w:color="auto"/>
        <w:right w:val="none" w:sz="0" w:space="0" w:color="auto"/>
      </w:divBdr>
    </w:div>
    <w:div w:id="687024536">
      <w:bodyDiv w:val="1"/>
      <w:marLeft w:val="0"/>
      <w:marRight w:val="0"/>
      <w:marTop w:val="0"/>
      <w:marBottom w:val="0"/>
      <w:divBdr>
        <w:top w:val="none" w:sz="0" w:space="0" w:color="auto"/>
        <w:left w:val="none" w:sz="0" w:space="0" w:color="auto"/>
        <w:bottom w:val="none" w:sz="0" w:space="0" w:color="auto"/>
        <w:right w:val="none" w:sz="0" w:space="0" w:color="auto"/>
      </w:divBdr>
    </w:div>
    <w:div w:id="732040895">
      <w:bodyDiv w:val="1"/>
      <w:marLeft w:val="0"/>
      <w:marRight w:val="0"/>
      <w:marTop w:val="0"/>
      <w:marBottom w:val="0"/>
      <w:divBdr>
        <w:top w:val="none" w:sz="0" w:space="0" w:color="auto"/>
        <w:left w:val="none" w:sz="0" w:space="0" w:color="auto"/>
        <w:bottom w:val="none" w:sz="0" w:space="0" w:color="auto"/>
        <w:right w:val="none" w:sz="0" w:space="0" w:color="auto"/>
      </w:divBdr>
    </w:div>
    <w:div w:id="754204662">
      <w:bodyDiv w:val="1"/>
      <w:marLeft w:val="0"/>
      <w:marRight w:val="0"/>
      <w:marTop w:val="0"/>
      <w:marBottom w:val="0"/>
      <w:divBdr>
        <w:top w:val="none" w:sz="0" w:space="0" w:color="auto"/>
        <w:left w:val="none" w:sz="0" w:space="0" w:color="auto"/>
        <w:bottom w:val="none" w:sz="0" w:space="0" w:color="auto"/>
        <w:right w:val="none" w:sz="0" w:space="0" w:color="auto"/>
      </w:divBdr>
    </w:div>
    <w:div w:id="763455696">
      <w:bodyDiv w:val="1"/>
      <w:marLeft w:val="0"/>
      <w:marRight w:val="0"/>
      <w:marTop w:val="0"/>
      <w:marBottom w:val="0"/>
      <w:divBdr>
        <w:top w:val="none" w:sz="0" w:space="0" w:color="auto"/>
        <w:left w:val="none" w:sz="0" w:space="0" w:color="auto"/>
        <w:bottom w:val="none" w:sz="0" w:space="0" w:color="auto"/>
        <w:right w:val="none" w:sz="0" w:space="0" w:color="auto"/>
      </w:divBdr>
    </w:div>
    <w:div w:id="798575758">
      <w:bodyDiv w:val="1"/>
      <w:marLeft w:val="0"/>
      <w:marRight w:val="0"/>
      <w:marTop w:val="0"/>
      <w:marBottom w:val="0"/>
      <w:divBdr>
        <w:top w:val="none" w:sz="0" w:space="0" w:color="auto"/>
        <w:left w:val="none" w:sz="0" w:space="0" w:color="auto"/>
        <w:bottom w:val="none" w:sz="0" w:space="0" w:color="auto"/>
        <w:right w:val="none" w:sz="0" w:space="0" w:color="auto"/>
      </w:divBdr>
    </w:div>
    <w:div w:id="803501517">
      <w:bodyDiv w:val="1"/>
      <w:marLeft w:val="0"/>
      <w:marRight w:val="0"/>
      <w:marTop w:val="0"/>
      <w:marBottom w:val="0"/>
      <w:divBdr>
        <w:top w:val="none" w:sz="0" w:space="0" w:color="auto"/>
        <w:left w:val="none" w:sz="0" w:space="0" w:color="auto"/>
        <w:bottom w:val="none" w:sz="0" w:space="0" w:color="auto"/>
        <w:right w:val="none" w:sz="0" w:space="0" w:color="auto"/>
      </w:divBdr>
    </w:div>
    <w:div w:id="854880594">
      <w:bodyDiv w:val="1"/>
      <w:marLeft w:val="0"/>
      <w:marRight w:val="0"/>
      <w:marTop w:val="0"/>
      <w:marBottom w:val="0"/>
      <w:divBdr>
        <w:top w:val="none" w:sz="0" w:space="0" w:color="auto"/>
        <w:left w:val="none" w:sz="0" w:space="0" w:color="auto"/>
        <w:bottom w:val="none" w:sz="0" w:space="0" w:color="auto"/>
        <w:right w:val="none" w:sz="0" w:space="0" w:color="auto"/>
      </w:divBdr>
    </w:div>
    <w:div w:id="873999539">
      <w:bodyDiv w:val="1"/>
      <w:marLeft w:val="0"/>
      <w:marRight w:val="0"/>
      <w:marTop w:val="0"/>
      <w:marBottom w:val="0"/>
      <w:divBdr>
        <w:top w:val="none" w:sz="0" w:space="0" w:color="auto"/>
        <w:left w:val="none" w:sz="0" w:space="0" w:color="auto"/>
        <w:bottom w:val="none" w:sz="0" w:space="0" w:color="auto"/>
        <w:right w:val="none" w:sz="0" w:space="0" w:color="auto"/>
      </w:divBdr>
    </w:div>
    <w:div w:id="935796187">
      <w:bodyDiv w:val="1"/>
      <w:marLeft w:val="0"/>
      <w:marRight w:val="0"/>
      <w:marTop w:val="0"/>
      <w:marBottom w:val="0"/>
      <w:divBdr>
        <w:top w:val="none" w:sz="0" w:space="0" w:color="auto"/>
        <w:left w:val="none" w:sz="0" w:space="0" w:color="auto"/>
        <w:bottom w:val="none" w:sz="0" w:space="0" w:color="auto"/>
        <w:right w:val="none" w:sz="0" w:space="0" w:color="auto"/>
      </w:divBdr>
    </w:div>
    <w:div w:id="939331795">
      <w:bodyDiv w:val="1"/>
      <w:marLeft w:val="0"/>
      <w:marRight w:val="0"/>
      <w:marTop w:val="0"/>
      <w:marBottom w:val="0"/>
      <w:divBdr>
        <w:top w:val="none" w:sz="0" w:space="0" w:color="auto"/>
        <w:left w:val="none" w:sz="0" w:space="0" w:color="auto"/>
        <w:bottom w:val="none" w:sz="0" w:space="0" w:color="auto"/>
        <w:right w:val="none" w:sz="0" w:space="0" w:color="auto"/>
      </w:divBdr>
    </w:div>
    <w:div w:id="958561754">
      <w:bodyDiv w:val="1"/>
      <w:marLeft w:val="0"/>
      <w:marRight w:val="0"/>
      <w:marTop w:val="0"/>
      <w:marBottom w:val="0"/>
      <w:divBdr>
        <w:top w:val="none" w:sz="0" w:space="0" w:color="auto"/>
        <w:left w:val="none" w:sz="0" w:space="0" w:color="auto"/>
        <w:bottom w:val="none" w:sz="0" w:space="0" w:color="auto"/>
        <w:right w:val="none" w:sz="0" w:space="0" w:color="auto"/>
      </w:divBdr>
    </w:div>
    <w:div w:id="990600055">
      <w:bodyDiv w:val="1"/>
      <w:marLeft w:val="0"/>
      <w:marRight w:val="0"/>
      <w:marTop w:val="0"/>
      <w:marBottom w:val="0"/>
      <w:divBdr>
        <w:top w:val="none" w:sz="0" w:space="0" w:color="auto"/>
        <w:left w:val="none" w:sz="0" w:space="0" w:color="auto"/>
        <w:bottom w:val="none" w:sz="0" w:space="0" w:color="auto"/>
        <w:right w:val="none" w:sz="0" w:space="0" w:color="auto"/>
      </w:divBdr>
    </w:div>
    <w:div w:id="1028725622">
      <w:bodyDiv w:val="1"/>
      <w:marLeft w:val="0"/>
      <w:marRight w:val="0"/>
      <w:marTop w:val="0"/>
      <w:marBottom w:val="0"/>
      <w:divBdr>
        <w:top w:val="none" w:sz="0" w:space="0" w:color="auto"/>
        <w:left w:val="none" w:sz="0" w:space="0" w:color="auto"/>
        <w:bottom w:val="none" w:sz="0" w:space="0" w:color="auto"/>
        <w:right w:val="none" w:sz="0" w:space="0" w:color="auto"/>
      </w:divBdr>
    </w:div>
    <w:div w:id="1037782295">
      <w:bodyDiv w:val="1"/>
      <w:marLeft w:val="0"/>
      <w:marRight w:val="0"/>
      <w:marTop w:val="0"/>
      <w:marBottom w:val="0"/>
      <w:divBdr>
        <w:top w:val="none" w:sz="0" w:space="0" w:color="auto"/>
        <w:left w:val="none" w:sz="0" w:space="0" w:color="auto"/>
        <w:bottom w:val="none" w:sz="0" w:space="0" w:color="auto"/>
        <w:right w:val="none" w:sz="0" w:space="0" w:color="auto"/>
      </w:divBdr>
    </w:div>
    <w:div w:id="1050226982">
      <w:bodyDiv w:val="1"/>
      <w:marLeft w:val="0"/>
      <w:marRight w:val="0"/>
      <w:marTop w:val="0"/>
      <w:marBottom w:val="0"/>
      <w:divBdr>
        <w:top w:val="none" w:sz="0" w:space="0" w:color="auto"/>
        <w:left w:val="none" w:sz="0" w:space="0" w:color="auto"/>
        <w:bottom w:val="none" w:sz="0" w:space="0" w:color="auto"/>
        <w:right w:val="none" w:sz="0" w:space="0" w:color="auto"/>
      </w:divBdr>
    </w:div>
    <w:div w:id="1056899140">
      <w:bodyDiv w:val="1"/>
      <w:marLeft w:val="0"/>
      <w:marRight w:val="0"/>
      <w:marTop w:val="0"/>
      <w:marBottom w:val="0"/>
      <w:divBdr>
        <w:top w:val="none" w:sz="0" w:space="0" w:color="auto"/>
        <w:left w:val="none" w:sz="0" w:space="0" w:color="auto"/>
        <w:bottom w:val="none" w:sz="0" w:space="0" w:color="auto"/>
        <w:right w:val="none" w:sz="0" w:space="0" w:color="auto"/>
      </w:divBdr>
      <w:divsChild>
        <w:div w:id="1231573327">
          <w:marLeft w:val="0"/>
          <w:marRight w:val="0"/>
          <w:marTop w:val="0"/>
          <w:marBottom w:val="0"/>
          <w:divBdr>
            <w:top w:val="none" w:sz="0" w:space="0" w:color="auto"/>
            <w:left w:val="none" w:sz="0" w:space="0" w:color="auto"/>
            <w:bottom w:val="none" w:sz="0" w:space="0" w:color="auto"/>
            <w:right w:val="none" w:sz="0" w:space="0" w:color="auto"/>
          </w:divBdr>
        </w:div>
        <w:div w:id="1832718145">
          <w:marLeft w:val="0"/>
          <w:marRight w:val="0"/>
          <w:marTop w:val="15"/>
          <w:marBottom w:val="15"/>
          <w:divBdr>
            <w:top w:val="none" w:sz="0" w:space="0" w:color="auto"/>
            <w:left w:val="none" w:sz="0" w:space="0" w:color="auto"/>
            <w:bottom w:val="none" w:sz="0" w:space="0" w:color="auto"/>
            <w:right w:val="none" w:sz="0" w:space="0" w:color="auto"/>
          </w:divBdr>
        </w:div>
      </w:divsChild>
    </w:div>
    <w:div w:id="1107701323">
      <w:bodyDiv w:val="1"/>
      <w:marLeft w:val="0"/>
      <w:marRight w:val="0"/>
      <w:marTop w:val="0"/>
      <w:marBottom w:val="0"/>
      <w:divBdr>
        <w:top w:val="none" w:sz="0" w:space="0" w:color="auto"/>
        <w:left w:val="none" w:sz="0" w:space="0" w:color="auto"/>
        <w:bottom w:val="none" w:sz="0" w:space="0" w:color="auto"/>
        <w:right w:val="none" w:sz="0" w:space="0" w:color="auto"/>
      </w:divBdr>
    </w:div>
    <w:div w:id="1200315659">
      <w:bodyDiv w:val="1"/>
      <w:marLeft w:val="0"/>
      <w:marRight w:val="0"/>
      <w:marTop w:val="0"/>
      <w:marBottom w:val="0"/>
      <w:divBdr>
        <w:top w:val="none" w:sz="0" w:space="0" w:color="auto"/>
        <w:left w:val="none" w:sz="0" w:space="0" w:color="auto"/>
        <w:bottom w:val="none" w:sz="0" w:space="0" w:color="auto"/>
        <w:right w:val="none" w:sz="0" w:space="0" w:color="auto"/>
      </w:divBdr>
    </w:div>
    <w:div w:id="1211303022">
      <w:bodyDiv w:val="1"/>
      <w:marLeft w:val="0"/>
      <w:marRight w:val="0"/>
      <w:marTop w:val="0"/>
      <w:marBottom w:val="0"/>
      <w:divBdr>
        <w:top w:val="none" w:sz="0" w:space="0" w:color="auto"/>
        <w:left w:val="none" w:sz="0" w:space="0" w:color="auto"/>
        <w:bottom w:val="none" w:sz="0" w:space="0" w:color="auto"/>
        <w:right w:val="none" w:sz="0" w:space="0" w:color="auto"/>
      </w:divBdr>
    </w:div>
    <w:div w:id="1242830879">
      <w:bodyDiv w:val="1"/>
      <w:marLeft w:val="0"/>
      <w:marRight w:val="0"/>
      <w:marTop w:val="0"/>
      <w:marBottom w:val="0"/>
      <w:divBdr>
        <w:top w:val="none" w:sz="0" w:space="0" w:color="auto"/>
        <w:left w:val="none" w:sz="0" w:space="0" w:color="auto"/>
        <w:bottom w:val="none" w:sz="0" w:space="0" w:color="auto"/>
        <w:right w:val="none" w:sz="0" w:space="0" w:color="auto"/>
      </w:divBdr>
    </w:div>
    <w:div w:id="1249073954">
      <w:bodyDiv w:val="1"/>
      <w:marLeft w:val="0"/>
      <w:marRight w:val="0"/>
      <w:marTop w:val="0"/>
      <w:marBottom w:val="0"/>
      <w:divBdr>
        <w:top w:val="none" w:sz="0" w:space="0" w:color="auto"/>
        <w:left w:val="none" w:sz="0" w:space="0" w:color="auto"/>
        <w:bottom w:val="none" w:sz="0" w:space="0" w:color="auto"/>
        <w:right w:val="none" w:sz="0" w:space="0" w:color="auto"/>
      </w:divBdr>
    </w:div>
    <w:div w:id="1266646610">
      <w:bodyDiv w:val="1"/>
      <w:marLeft w:val="0"/>
      <w:marRight w:val="0"/>
      <w:marTop w:val="0"/>
      <w:marBottom w:val="0"/>
      <w:divBdr>
        <w:top w:val="none" w:sz="0" w:space="0" w:color="auto"/>
        <w:left w:val="none" w:sz="0" w:space="0" w:color="auto"/>
        <w:bottom w:val="none" w:sz="0" w:space="0" w:color="auto"/>
        <w:right w:val="none" w:sz="0" w:space="0" w:color="auto"/>
      </w:divBdr>
    </w:div>
    <w:div w:id="1299920973">
      <w:bodyDiv w:val="1"/>
      <w:marLeft w:val="0"/>
      <w:marRight w:val="0"/>
      <w:marTop w:val="0"/>
      <w:marBottom w:val="0"/>
      <w:divBdr>
        <w:top w:val="none" w:sz="0" w:space="0" w:color="auto"/>
        <w:left w:val="none" w:sz="0" w:space="0" w:color="auto"/>
        <w:bottom w:val="none" w:sz="0" w:space="0" w:color="auto"/>
        <w:right w:val="none" w:sz="0" w:space="0" w:color="auto"/>
      </w:divBdr>
    </w:div>
    <w:div w:id="1310014944">
      <w:bodyDiv w:val="1"/>
      <w:marLeft w:val="0"/>
      <w:marRight w:val="0"/>
      <w:marTop w:val="0"/>
      <w:marBottom w:val="0"/>
      <w:divBdr>
        <w:top w:val="none" w:sz="0" w:space="0" w:color="auto"/>
        <w:left w:val="none" w:sz="0" w:space="0" w:color="auto"/>
        <w:bottom w:val="none" w:sz="0" w:space="0" w:color="auto"/>
        <w:right w:val="none" w:sz="0" w:space="0" w:color="auto"/>
      </w:divBdr>
      <w:divsChild>
        <w:div w:id="817186346">
          <w:marLeft w:val="0"/>
          <w:marRight w:val="0"/>
          <w:marTop w:val="0"/>
          <w:marBottom w:val="0"/>
          <w:divBdr>
            <w:top w:val="none" w:sz="0" w:space="0" w:color="auto"/>
            <w:left w:val="none" w:sz="0" w:space="0" w:color="auto"/>
            <w:bottom w:val="none" w:sz="0" w:space="0" w:color="auto"/>
            <w:right w:val="none" w:sz="0" w:space="0" w:color="auto"/>
          </w:divBdr>
        </w:div>
      </w:divsChild>
    </w:div>
    <w:div w:id="1379159602">
      <w:bodyDiv w:val="1"/>
      <w:marLeft w:val="0"/>
      <w:marRight w:val="0"/>
      <w:marTop w:val="0"/>
      <w:marBottom w:val="0"/>
      <w:divBdr>
        <w:top w:val="none" w:sz="0" w:space="0" w:color="auto"/>
        <w:left w:val="none" w:sz="0" w:space="0" w:color="auto"/>
        <w:bottom w:val="none" w:sz="0" w:space="0" w:color="auto"/>
        <w:right w:val="none" w:sz="0" w:space="0" w:color="auto"/>
      </w:divBdr>
    </w:div>
    <w:div w:id="1379234377">
      <w:bodyDiv w:val="1"/>
      <w:marLeft w:val="0"/>
      <w:marRight w:val="0"/>
      <w:marTop w:val="0"/>
      <w:marBottom w:val="0"/>
      <w:divBdr>
        <w:top w:val="none" w:sz="0" w:space="0" w:color="auto"/>
        <w:left w:val="none" w:sz="0" w:space="0" w:color="auto"/>
        <w:bottom w:val="none" w:sz="0" w:space="0" w:color="auto"/>
        <w:right w:val="none" w:sz="0" w:space="0" w:color="auto"/>
      </w:divBdr>
    </w:div>
    <w:div w:id="1399480098">
      <w:bodyDiv w:val="1"/>
      <w:marLeft w:val="0"/>
      <w:marRight w:val="0"/>
      <w:marTop w:val="0"/>
      <w:marBottom w:val="0"/>
      <w:divBdr>
        <w:top w:val="none" w:sz="0" w:space="0" w:color="auto"/>
        <w:left w:val="none" w:sz="0" w:space="0" w:color="auto"/>
        <w:bottom w:val="none" w:sz="0" w:space="0" w:color="auto"/>
        <w:right w:val="none" w:sz="0" w:space="0" w:color="auto"/>
      </w:divBdr>
    </w:div>
    <w:div w:id="1424838880">
      <w:bodyDiv w:val="1"/>
      <w:marLeft w:val="0"/>
      <w:marRight w:val="0"/>
      <w:marTop w:val="0"/>
      <w:marBottom w:val="0"/>
      <w:divBdr>
        <w:top w:val="none" w:sz="0" w:space="0" w:color="auto"/>
        <w:left w:val="none" w:sz="0" w:space="0" w:color="auto"/>
        <w:bottom w:val="none" w:sz="0" w:space="0" w:color="auto"/>
        <w:right w:val="none" w:sz="0" w:space="0" w:color="auto"/>
      </w:divBdr>
      <w:divsChild>
        <w:div w:id="519317229">
          <w:marLeft w:val="0"/>
          <w:marRight w:val="0"/>
          <w:marTop w:val="0"/>
          <w:marBottom w:val="0"/>
          <w:divBdr>
            <w:top w:val="none" w:sz="0" w:space="0" w:color="auto"/>
            <w:left w:val="none" w:sz="0" w:space="0" w:color="auto"/>
            <w:bottom w:val="none" w:sz="0" w:space="0" w:color="auto"/>
            <w:right w:val="none" w:sz="0" w:space="0" w:color="auto"/>
          </w:divBdr>
        </w:div>
      </w:divsChild>
    </w:div>
    <w:div w:id="1445425242">
      <w:bodyDiv w:val="1"/>
      <w:marLeft w:val="0"/>
      <w:marRight w:val="0"/>
      <w:marTop w:val="0"/>
      <w:marBottom w:val="0"/>
      <w:divBdr>
        <w:top w:val="none" w:sz="0" w:space="0" w:color="auto"/>
        <w:left w:val="none" w:sz="0" w:space="0" w:color="auto"/>
        <w:bottom w:val="none" w:sz="0" w:space="0" w:color="auto"/>
        <w:right w:val="none" w:sz="0" w:space="0" w:color="auto"/>
      </w:divBdr>
    </w:div>
    <w:div w:id="1446120987">
      <w:bodyDiv w:val="1"/>
      <w:marLeft w:val="0"/>
      <w:marRight w:val="0"/>
      <w:marTop w:val="0"/>
      <w:marBottom w:val="0"/>
      <w:divBdr>
        <w:top w:val="none" w:sz="0" w:space="0" w:color="auto"/>
        <w:left w:val="none" w:sz="0" w:space="0" w:color="auto"/>
        <w:bottom w:val="none" w:sz="0" w:space="0" w:color="auto"/>
        <w:right w:val="none" w:sz="0" w:space="0" w:color="auto"/>
      </w:divBdr>
    </w:div>
    <w:div w:id="1502502824">
      <w:bodyDiv w:val="1"/>
      <w:marLeft w:val="0"/>
      <w:marRight w:val="0"/>
      <w:marTop w:val="0"/>
      <w:marBottom w:val="0"/>
      <w:divBdr>
        <w:top w:val="none" w:sz="0" w:space="0" w:color="auto"/>
        <w:left w:val="none" w:sz="0" w:space="0" w:color="auto"/>
        <w:bottom w:val="none" w:sz="0" w:space="0" w:color="auto"/>
        <w:right w:val="none" w:sz="0" w:space="0" w:color="auto"/>
      </w:divBdr>
    </w:div>
    <w:div w:id="1513832871">
      <w:bodyDiv w:val="1"/>
      <w:marLeft w:val="0"/>
      <w:marRight w:val="0"/>
      <w:marTop w:val="0"/>
      <w:marBottom w:val="0"/>
      <w:divBdr>
        <w:top w:val="none" w:sz="0" w:space="0" w:color="auto"/>
        <w:left w:val="none" w:sz="0" w:space="0" w:color="auto"/>
        <w:bottom w:val="none" w:sz="0" w:space="0" w:color="auto"/>
        <w:right w:val="none" w:sz="0" w:space="0" w:color="auto"/>
      </w:divBdr>
    </w:div>
    <w:div w:id="1518353376">
      <w:bodyDiv w:val="1"/>
      <w:marLeft w:val="0"/>
      <w:marRight w:val="0"/>
      <w:marTop w:val="0"/>
      <w:marBottom w:val="0"/>
      <w:divBdr>
        <w:top w:val="none" w:sz="0" w:space="0" w:color="auto"/>
        <w:left w:val="none" w:sz="0" w:space="0" w:color="auto"/>
        <w:bottom w:val="none" w:sz="0" w:space="0" w:color="auto"/>
        <w:right w:val="none" w:sz="0" w:space="0" w:color="auto"/>
      </w:divBdr>
    </w:div>
    <w:div w:id="1521354191">
      <w:bodyDiv w:val="1"/>
      <w:marLeft w:val="0"/>
      <w:marRight w:val="0"/>
      <w:marTop w:val="0"/>
      <w:marBottom w:val="0"/>
      <w:divBdr>
        <w:top w:val="none" w:sz="0" w:space="0" w:color="auto"/>
        <w:left w:val="none" w:sz="0" w:space="0" w:color="auto"/>
        <w:bottom w:val="none" w:sz="0" w:space="0" w:color="auto"/>
        <w:right w:val="none" w:sz="0" w:space="0" w:color="auto"/>
      </w:divBdr>
    </w:div>
    <w:div w:id="1543708594">
      <w:bodyDiv w:val="1"/>
      <w:marLeft w:val="0"/>
      <w:marRight w:val="0"/>
      <w:marTop w:val="0"/>
      <w:marBottom w:val="0"/>
      <w:divBdr>
        <w:top w:val="none" w:sz="0" w:space="0" w:color="auto"/>
        <w:left w:val="none" w:sz="0" w:space="0" w:color="auto"/>
        <w:bottom w:val="none" w:sz="0" w:space="0" w:color="auto"/>
        <w:right w:val="none" w:sz="0" w:space="0" w:color="auto"/>
      </w:divBdr>
    </w:div>
    <w:div w:id="1554343432">
      <w:bodyDiv w:val="1"/>
      <w:marLeft w:val="0"/>
      <w:marRight w:val="0"/>
      <w:marTop w:val="0"/>
      <w:marBottom w:val="0"/>
      <w:divBdr>
        <w:top w:val="none" w:sz="0" w:space="0" w:color="auto"/>
        <w:left w:val="none" w:sz="0" w:space="0" w:color="auto"/>
        <w:bottom w:val="none" w:sz="0" w:space="0" w:color="auto"/>
        <w:right w:val="none" w:sz="0" w:space="0" w:color="auto"/>
      </w:divBdr>
    </w:div>
    <w:div w:id="1573350738">
      <w:bodyDiv w:val="1"/>
      <w:marLeft w:val="0"/>
      <w:marRight w:val="0"/>
      <w:marTop w:val="0"/>
      <w:marBottom w:val="0"/>
      <w:divBdr>
        <w:top w:val="none" w:sz="0" w:space="0" w:color="auto"/>
        <w:left w:val="none" w:sz="0" w:space="0" w:color="auto"/>
        <w:bottom w:val="none" w:sz="0" w:space="0" w:color="auto"/>
        <w:right w:val="none" w:sz="0" w:space="0" w:color="auto"/>
      </w:divBdr>
    </w:div>
    <w:div w:id="1657563211">
      <w:bodyDiv w:val="1"/>
      <w:marLeft w:val="0"/>
      <w:marRight w:val="0"/>
      <w:marTop w:val="0"/>
      <w:marBottom w:val="0"/>
      <w:divBdr>
        <w:top w:val="none" w:sz="0" w:space="0" w:color="auto"/>
        <w:left w:val="none" w:sz="0" w:space="0" w:color="auto"/>
        <w:bottom w:val="none" w:sz="0" w:space="0" w:color="auto"/>
        <w:right w:val="none" w:sz="0" w:space="0" w:color="auto"/>
      </w:divBdr>
    </w:div>
    <w:div w:id="1667052555">
      <w:bodyDiv w:val="1"/>
      <w:marLeft w:val="0"/>
      <w:marRight w:val="0"/>
      <w:marTop w:val="0"/>
      <w:marBottom w:val="0"/>
      <w:divBdr>
        <w:top w:val="none" w:sz="0" w:space="0" w:color="auto"/>
        <w:left w:val="none" w:sz="0" w:space="0" w:color="auto"/>
        <w:bottom w:val="none" w:sz="0" w:space="0" w:color="auto"/>
        <w:right w:val="none" w:sz="0" w:space="0" w:color="auto"/>
      </w:divBdr>
    </w:div>
    <w:div w:id="1673530244">
      <w:bodyDiv w:val="1"/>
      <w:marLeft w:val="0"/>
      <w:marRight w:val="0"/>
      <w:marTop w:val="0"/>
      <w:marBottom w:val="0"/>
      <w:divBdr>
        <w:top w:val="none" w:sz="0" w:space="0" w:color="auto"/>
        <w:left w:val="none" w:sz="0" w:space="0" w:color="auto"/>
        <w:bottom w:val="none" w:sz="0" w:space="0" w:color="auto"/>
        <w:right w:val="none" w:sz="0" w:space="0" w:color="auto"/>
      </w:divBdr>
    </w:div>
    <w:div w:id="1758821663">
      <w:bodyDiv w:val="1"/>
      <w:marLeft w:val="0"/>
      <w:marRight w:val="0"/>
      <w:marTop w:val="0"/>
      <w:marBottom w:val="0"/>
      <w:divBdr>
        <w:top w:val="none" w:sz="0" w:space="0" w:color="auto"/>
        <w:left w:val="none" w:sz="0" w:space="0" w:color="auto"/>
        <w:bottom w:val="none" w:sz="0" w:space="0" w:color="auto"/>
        <w:right w:val="none" w:sz="0" w:space="0" w:color="auto"/>
      </w:divBdr>
    </w:div>
    <w:div w:id="1765026960">
      <w:bodyDiv w:val="1"/>
      <w:marLeft w:val="0"/>
      <w:marRight w:val="0"/>
      <w:marTop w:val="0"/>
      <w:marBottom w:val="0"/>
      <w:divBdr>
        <w:top w:val="none" w:sz="0" w:space="0" w:color="auto"/>
        <w:left w:val="none" w:sz="0" w:space="0" w:color="auto"/>
        <w:bottom w:val="none" w:sz="0" w:space="0" w:color="auto"/>
        <w:right w:val="none" w:sz="0" w:space="0" w:color="auto"/>
      </w:divBdr>
    </w:div>
    <w:div w:id="1778407188">
      <w:bodyDiv w:val="1"/>
      <w:marLeft w:val="0"/>
      <w:marRight w:val="0"/>
      <w:marTop w:val="0"/>
      <w:marBottom w:val="0"/>
      <w:divBdr>
        <w:top w:val="none" w:sz="0" w:space="0" w:color="auto"/>
        <w:left w:val="none" w:sz="0" w:space="0" w:color="auto"/>
        <w:bottom w:val="none" w:sz="0" w:space="0" w:color="auto"/>
        <w:right w:val="none" w:sz="0" w:space="0" w:color="auto"/>
      </w:divBdr>
    </w:div>
    <w:div w:id="1856962960">
      <w:bodyDiv w:val="1"/>
      <w:marLeft w:val="0"/>
      <w:marRight w:val="0"/>
      <w:marTop w:val="0"/>
      <w:marBottom w:val="0"/>
      <w:divBdr>
        <w:top w:val="none" w:sz="0" w:space="0" w:color="auto"/>
        <w:left w:val="none" w:sz="0" w:space="0" w:color="auto"/>
        <w:bottom w:val="none" w:sz="0" w:space="0" w:color="auto"/>
        <w:right w:val="none" w:sz="0" w:space="0" w:color="auto"/>
      </w:divBdr>
    </w:div>
    <w:div w:id="1878272874">
      <w:bodyDiv w:val="1"/>
      <w:marLeft w:val="0"/>
      <w:marRight w:val="0"/>
      <w:marTop w:val="0"/>
      <w:marBottom w:val="0"/>
      <w:divBdr>
        <w:top w:val="none" w:sz="0" w:space="0" w:color="auto"/>
        <w:left w:val="none" w:sz="0" w:space="0" w:color="auto"/>
        <w:bottom w:val="none" w:sz="0" w:space="0" w:color="auto"/>
        <w:right w:val="none" w:sz="0" w:space="0" w:color="auto"/>
      </w:divBdr>
    </w:div>
    <w:div w:id="1893148953">
      <w:bodyDiv w:val="1"/>
      <w:marLeft w:val="0"/>
      <w:marRight w:val="0"/>
      <w:marTop w:val="0"/>
      <w:marBottom w:val="0"/>
      <w:divBdr>
        <w:top w:val="none" w:sz="0" w:space="0" w:color="auto"/>
        <w:left w:val="none" w:sz="0" w:space="0" w:color="auto"/>
        <w:bottom w:val="none" w:sz="0" w:space="0" w:color="auto"/>
        <w:right w:val="none" w:sz="0" w:space="0" w:color="auto"/>
      </w:divBdr>
    </w:div>
    <w:div w:id="1896965719">
      <w:bodyDiv w:val="1"/>
      <w:marLeft w:val="0"/>
      <w:marRight w:val="0"/>
      <w:marTop w:val="0"/>
      <w:marBottom w:val="0"/>
      <w:divBdr>
        <w:top w:val="none" w:sz="0" w:space="0" w:color="auto"/>
        <w:left w:val="none" w:sz="0" w:space="0" w:color="auto"/>
        <w:bottom w:val="none" w:sz="0" w:space="0" w:color="auto"/>
        <w:right w:val="none" w:sz="0" w:space="0" w:color="auto"/>
      </w:divBdr>
    </w:div>
    <w:div w:id="2004315185">
      <w:bodyDiv w:val="1"/>
      <w:marLeft w:val="0"/>
      <w:marRight w:val="0"/>
      <w:marTop w:val="0"/>
      <w:marBottom w:val="0"/>
      <w:divBdr>
        <w:top w:val="none" w:sz="0" w:space="0" w:color="auto"/>
        <w:left w:val="none" w:sz="0" w:space="0" w:color="auto"/>
        <w:bottom w:val="none" w:sz="0" w:space="0" w:color="auto"/>
        <w:right w:val="none" w:sz="0" w:space="0" w:color="auto"/>
      </w:divBdr>
    </w:div>
    <w:div w:id="2019502140">
      <w:bodyDiv w:val="1"/>
      <w:marLeft w:val="0"/>
      <w:marRight w:val="0"/>
      <w:marTop w:val="0"/>
      <w:marBottom w:val="0"/>
      <w:divBdr>
        <w:top w:val="none" w:sz="0" w:space="0" w:color="auto"/>
        <w:left w:val="none" w:sz="0" w:space="0" w:color="auto"/>
        <w:bottom w:val="none" w:sz="0" w:space="0" w:color="auto"/>
        <w:right w:val="none" w:sz="0" w:space="0" w:color="auto"/>
      </w:divBdr>
    </w:div>
    <w:div w:id="2044355065">
      <w:bodyDiv w:val="1"/>
      <w:marLeft w:val="0"/>
      <w:marRight w:val="0"/>
      <w:marTop w:val="0"/>
      <w:marBottom w:val="0"/>
      <w:divBdr>
        <w:top w:val="none" w:sz="0" w:space="0" w:color="auto"/>
        <w:left w:val="none" w:sz="0" w:space="0" w:color="auto"/>
        <w:bottom w:val="none" w:sz="0" w:space="0" w:color="auto"/>
        <w:right w:val="none" w:sz="0" w:space="0" w:color="auto"/>
      </w:divBdr>
    </w:div>
    <w:div w:id="211504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kahn@liverpoo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F5872-0F7C-420F-939C-8C50D09C8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7702</Words>
  <Characters>43904</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51503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Kahn, Peter</dc:creator>
  <cp:keywords/>
  <dc:description/>
  <cp:lastModifiedBy>Kahn, Peter</cp:lastModifiedBy>
  <cp:revision>5</cp:revision>
  <cp:lastPrinted>2017-06-08T10:35:00Z</cp:lastPrinted>
  <dcterms:created xsi:type="dcterms:W3CDTF">2017-06-15T10:08:00Z</dcterms:created>
  <dcterms:modified xsi:type="dcterms:W3CDTF">2017-07-12T11:08:00Z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zotero-version="4.0.28.8"&gt;&lt;session id="lvWbeVHU"/&gt;&lt;style id="http://www.zotero.org/styles/chicago-author-date" locale="en-GB" hasBibliography="1" bibliographyStyleHasBeenSet="1"/&gt;&lt;prefs&gt;&lt;pref name="fieldType" value="Field"/&gt;&lt;pref na</vt:lpwstr>
  </property>
  <property fmtid="{D5CDD505-2E9C-101B-9397-08002B2CF9AE}" pid="3" name="ZOTERO_PREF_2">
    <vt:lpwstr>me="storeReferences" value="true"/&gt;&lt;pref name="automaticJournalAbbreviations" value="true"/&gt;&lt;pref name="noteType" value=""/&gt;&lt;/prefs&gt;&lt;/data&gt;</vt:lpwstr>
  </property>
</Properties>
</file>