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E5FAE" w14:textId="1A65D454" w:rsidR="00997C64" w:rsidRPr="00CA4746" w:rsidRDefault="009C2170" w:rsidP="003E595E">
      <w:pPr>
        <w:pStyle w:val="Heading1"/>
        <w:rPr>
          <w:rFonts w:asciiTheme="minorHAnsi" w:hAnsiTheme="minorHAnsi" w:cstheme="minorHAnsi"/>
          <w:bCs/>
        </w:rPr>
      </w:pPr>
      <w:r>
        <w:rPr>
          <w:rFonts w:asciiTheme="minorHAnsi" w:hAnsiTheme="minorHAnsi" w:cstheme="minorHAnsi"/>
          <w:bCs/>
        </w:rPr>
        <w:t>Drug-specific</w:t>
      </w:r>
      <w:r w:rsidR="003E595E" w:rsidRPr="00CA4746">
        <w:rPr>
          <w:rFonts w:asciiTheme="minorHAnsi" w:hAnsiTheme="minorHAnsi" w:cstheme="minorHAnsi"/>
          <w:bCs/>
        </w:rPr>
        <w:t xml:space="preserve"> T-cell responses in patients with liver injury following treatment with the BACE inhibitor atabecestat.</w:t>
      </w:r>
    </w:p>
    <w:p w14:paraId="61197AD7" w14:textId="77777777" w:rsidR="003E595E" w:rsidRPr="00CE08FB" w:rsidRDefault="003E595E" w:rsidP="00CE08FB">
      <w:pPr>
        <w:spacing w:line="480" w:lineRule="auto"/>
        <w:jc w:val="both"/>
        <w:rPr>
          <w:rFonts w:cstheme="minorHAnsi"/>
        </w:rPr>
      </w:pPr>
    </w:p>
    <w:p w14:paraId="614C14D7" w14:textId="4BA22F8B" w:rsidR="00E7156C" w:rsidRDefault="00E7156C" w:rsidP="00E7156C">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Short</w:t>
      </w:r>
      <w:r w:rsidRPr="00001D1A">
        <w:rPr>
          <w:rFonts w:ascii="Times New Roman" w:hAnsi="Times New Roman" w:cs="Times New Roman"/>
          <w:b/>
          <w:sz w:val="24"/>
          <w:szCs w:val="24"/>
        </w:rPr>
        <w:t xml:space="preserve"> title:</w:t>
      </w:r>
      <w:r w:rsidRPr="00001D1A">
        <w:rPr>
          <w:rFonts w:ascii="Times New Roman" w:hAnsi="Times New Roman" w:cs="Times New Roman"/>
          <w:sz w:val="24"/>
          <w:szCs w:val="24"/>
        </w:rPr>
        <w:t xml:space="preserve"> T-cell responses</w:t>
      </w:r>
      <w:r>
        <w:rPr>
          <w:rFonts w:ascii="Times New Roman" w:hAnsi="Times New Roman" w:cs="Times New Roman"/>
          <w:sz w:val="24"/>
          <w:szCs w:val="24"/>
        </w:rPr>
        <w:t xml:space="preserve"> to drugs</w:t>
      </w:r>
      <w:r w:rsidRPr="00001D1A">
        <w:rPr>
          <w:rFonts w:ascii="Times New Roman" w:hAnsi="Times New Roman" w:cs="Times New Roman"/>
          <w:sz w:val="24"/>
          <w:szCs w:val="24"/>
        </w:rPr>
        <w:t xml:space="preserve"> </w:t>
      </w:r>
    </w:p>
    <w:p w14:paraId="3F28B312" w14:textId="77777777" w:rsidR="00E7156C" w:rsidRDefault="00E7156C" w:rsidP="00CE08FB">
      <w:pPr>
        <w:spacing w:after="0" w:line="480" w:lineRule="auto"/>
        <w:jc w:val="both"/>
        <w:rPr>
          <w:b/>
          <w:bCs/>
        </w:rPr>
      </w:pPr>
    </w:p>
    <w:p w14:paraId="6DF316DA" w14:textId="40675298" w:rsidR="00CE08FB" w:rsidRPr="003900EC" w:rsidRDefault="00E7156C" w:rsidP="00CE08FB">
      <w:pPr>
        <w:spacing w:after="0" w:line="480" w:lineRule="auto"/>
        <w:jc w:val="both"/>
        <w:rPr>
          <w:bCs/>
        </w:rPr>
      </w:pPr>
      <w:r>
        <w:rPr>
          <w:b/>
          <w:bCs/>
        </w:rPr>
        <w:t xml:space="preserve">Authors: </w:t>
      </w:r>
      <w:r>
        <w:rPr>
          <w:bCs/>
        </w:rPr>
        <w:t>Paul J Thomson</w:t>
      </w:r>
      <w:r w:rsidR="00CE08FB" w:rsidRPr="003900EC">
        <w:rPr>
          <w:bCs/>
          <w:vertAlign w:val="superscript"/>
        </w:rPr>
        <w:t>1</w:t>
      </w:r>
      <w:r>
        <w:rPr>
          <w:bCs/>
        </w:rPr>
        <w:t>, Laila Kafu</w:t>
      </w:r>
      <w:r w:rsidR="00CE08FB" w:rsidRPr="003900EC">
        <w:rPr>
          <w:bCs/>
          <w:vertAlign w:val="superscript"/>
        </w:rPr>
        <w:t>1</w:t>
      </w:r>
      <w:r w:rsidR="00CE08FB" w:rsidRPr="003900EC">
        <w:rPr>
          <w:bCs/>
        </w:rPr>
        <w:t xml:space="preserve">, </w:t>
      </w:r>
      <w:r>
        <w:rPr>
          <w:bCs/>
        </w:rPr>
        <w:t>Xiaoli Meng</w:t>
      </w:r>
      <w:r w:rsidR="00697BDD" w:rsidRPr="003900EC">
        <w:rPr>
          <w:bCs/>
          <w:vertAlign w:val="superscript"/>
        </w:rPr>
        <w:t>1</w:t>
      </w:r>
      <w:r w:rsidR="00697BDD" w:rsidRPr="003900EC">
        <w:rPr>
          <w:bCs/>
        </w:rPr>
        <w:t xml:space="preserve">, </w:t>
      </w:r>
      <w:r>
        <w:rPr>
          <w:bCs/>
        </w:rPr>
        <w:t>Jan Snoeys</w:t>
      </w:r>
      <w:r w:rsidR="00CE08FB" w:rsidRPr="003900EC">
        <w:rPr>
          <w:bCs/>
          <w:vertAlign w:val="superscript"/>
        </w:rPr>
        <w:t>2</w:t>
      </w:r>
      <w:r>
        <w:rPr>
          <w:bCs/>
        </w:rPr>
        <w:t xml:space="preserve">, </w:t>
      </w:r>
      <w:r w:rsidR="00E31DD6">
        <w:rPr>
          <w:bCs/>
        </w:rPr>
        <w:t>An De Bondt,</w:t>
      </w:r>
      <w:r w:rsidR="00E31DD6">
        <w:rPr>
          <w:bCs/>
          <w:vertAlign w:val="superscript"/>
        </w:rPr>
        <w:t>2</w:t>
      </w:r>
      <w:r w:rsidR="00E31DD6">
        <w:rPr>
          <w:bCs/>
        </w:rPr>
        <w:t xml:space="preserve"> Dries De Maeyer,</w:t>
      </w:r>
      <w:r w:rsidR="00E31DD6">
        <w:rPr>
          <w:bCs/>
          <w:vertAlign w:val="superscript"/>
        </w:rPr>
        <w:t>2</w:t>
      </w:r>
      <w:r w:rsidR="00E31DD6">
        <w:rPr>
          <w:bCs/>
        </w:rPr>
        <w:t xml:space="preserve"> Hans Wils,</w:t>
      </w:r>
      <w:r w:rsidR="00E31DD6">
        <w:rPr>
          <w:bCs/>
          <w:vertAlign w:val="superscript"/>
        </w:rPr>
        <w:t>2</w:t>
      </w:r>
      <w:r w:rsidR="00E31DD6">
        <w:rPr>
          <w:bCs/>
        </w:rPr>
        <w:t xml:space="preserve"> </w:t>
      </w:r>
      <w:r>
        <w:rPr>
          <w:bCs/>
        </w:rPr>
        <w:t>Laurent Leclercq</w:t>
      </w:r>
      <w:r w:rsidR="00CE08FB" w:rsidRPr="003900EC">
        <w:rPr>
          <w:bCs/>
          <w:vertAlign w:val="superscript"/>
        </w:rPr>
        <w:t>2</w:t>
      </w:r>
      <w:r>
        <w:rPr>
          <w:bCs/>
        </w:rPr>
        <w:t>, Petra Vinken</w:t>
      </w:r>
      <w:r w:rsidR="00CE08FB" w:rsidRPr="003900EC">
        <w:rPr>
          <w:bCs/>
          <w:vertAlign w:val="superscript"/>
        </w:rPr>
        <w:t>3</w:t>
      </w:r>
      <w:r>
        <w:rPr>
          <w:bCs/>
        </w:rPr>
        <w:t>, Dean J Naisbitt</w:t>
      </w:r>
      <w:r w:rsidR="00CE08FB" w:rsidRPr="003900EC">
        <w:rPr>
          <w:bCs/>
          <w:vertAlign w:val="superscript"/>
        </w:rPr>
        <w:t>1</w:t>
      </w:r>
      <w:r>
        <w:rPr>
          <w:bCs/>
          <w:vertAlign w:val="superscript"/>
        </w:rPr>
        <w:t>*</w:t>
      </w:r>
      <w:r w:rsidR="00CE08FB" w:rsidRPr="003900EC">
        <w:rPr>
          <w:bCs/>
        </w:rPr>
        <w:t xml:space="preserve">.  </w:t>
      </w:r>
    </w:p>
    <w:p w14:paraId="73A863E2" w14:textId="77777777" w:rsidR="00CE08FB" w:rsidRPr="003900EC" w:rsidRDefault="00CE08FB" w:rsidP="00CE08FB">
      <w:pPr>
        <w:spacing w:after="0" w:line="480" w:lineRule="auto"/>
        <w:jc w:val="both"/>
        <w:rPr>
          <w:bCs/>
        </w:rPr>
      </w:pPr>
    </w:p>
    <w:p w14:paraId="64519C08" w14:textId="77777777" w:rsidR="00CE08FB" w:rsidRPr="00CE08FB" w:rsidRDefault="00CE08FB" w:rsidP="00CE08FB">
      <w:pPr>
        <w:spacing w:after="0" w:line="480" w:lineRule="auto"/>
        <w:jc w:val="both"/>
        <w:rPr>
          <w:bCs/>
        </w:rPr>
      </w:pPr>
      <w:r w:rsidRPr="00CE08FB">
        <w:rPr>
          <w:bCs/>
          <w:vertAlign w:val="superscript"/>
        </w:rPr>
        <w:t>1</w:t>
      </w:r>
      <w:r w:rsidRPr="00CE08FB">
        <w:rPr>
          <w:bCs/>
        </w:rPr>
        <w:t xml:space="preserve">MRC Centre for Drug Safety Science, Department of Molecular and Clinical Pharmacology, Sherrington Building, Ashton Street, University of Liverpool, Liverpool, UK; </w:t>
      </w:r>
    </w:p>
    <w:p w14:paraId="72479E05" w14:textId="77777777" w:rsidR="00CE08FB" w:rsidRPr="00CE08FB" w:rsidRDefault="00CE08FB" w:rsidP="00CE08FB">
      <w:pPr>
        <w:spacing w:after="0" w:line="480" w:lineRule="auto"/>
        <w:jc w:val="both"/>
        <w:rPr>
          <w:bCs/>
        </w:rPr>
      </w:pPr>
      <w:r w:rsidRPr="00CE08FB">
        <w:rPr>
          <w:bCs/>
          <w:vertAlign w:val="superscript"/>
        </w:rPr>
        <w:t>2</w:t>
      </w:r>
      <w:r w:rsidRPr="00CE08FB">
        <w:rPr>
          <w:bCs/>
        </w:rPr>
        <w:t xml:space="preserve">Drug Metabolism and Pharmacokinetics, Janssen R&amp;D, Belgium; </w:t>
      </w:r>
    </w:p>
    <w:p w14:paraId="21C0A2E2" w14:textId="29DBDA04" w:rsidR="00CE08FB" w:rsidRPr="00CE08FB" w:rsidRDefault="00CE08FB" w:rsidP="00CE08FB">
      <w:pPr>
        <w:spacing w:after="0" w:line="480" w:lineRule="auto"/>
        <w:jc w:val="both"/>
        <w:rPr>
          <w:bCs/>
        </w:rPr>
      </w:pPr>
      <w:r w:rsidRPr="00CE08FB">
        <w:rPr>
          <w:bCs/>
          <w:vertAlign w:val="superscript"/>
        </w:rPr>
        <w:t>3</w:t>
      </w:r>
      <w:r w:rsidRPr="00CE08FB">
        <w:rPr>
          <w:bCs/>
        </w:rPr>
        <w:t>Non-Clinical Safety, Janssen R&amp;D, Belgium</w:t>
      </w:r>
    </w:p>
    <w:p w14:paraId="497A5845" w14:textId="77777777" w:rsidR="00E7156C" w:rsidRDefault="00E7156C" w:rsidP="00E7156C">
      <w:pPr>
        <w:pStyle w:val="BodyText"/>
        <w:spacing w:line="480" w:lineRule="auto"/>
        <w:jc w:val="both"/>
        <w:rPr>
          <w:rFonts w:asciiTheme="minorHAnsi" w:hAnsiTheme="minorHAnsi" w:cstheme="minorHAnsi"/>
          <w:b/>
          <w:bCs/>
          <w:sz w:val="22"/>
          <w:szCs w:val="22"/>
          <w:vertAlign w:val="superscript"/>
        </w:rPr>
      </w:pPr>
    </w:p>
    <w:p w14:paraId="60773B71" w14:textId="4FDF6D8B" w:rsidR="00E7156C" w:rsidRPr="00CE08FB" w:rsidRDefault="00E7156C" w:rsidP="00E7156C">
      <w:pPr>
        <w:pStyle w:val="BodyText"/>
        <w:spacing w:line="480" w:lineRule="auto"/>
        <w:jc w:val="both"/>
        <w:rPr>
          <w:rFonts w:asciiTheme="minorHAnsi" w:hAnsiTheme="minorHAnsi" w:cstheme="minorHAnsi"/>
          <w:bCs/>
          <w:sz w:val="22"/>
          <w:szCs w:val="22"/>
        </w:rPr>
      </w:pPr>
      <w:r>
        <w:rPr>
          <w:rFonts w:asciiTheme="minorHAnsi" w:hAnsiTheme="minorHAnsi" w:cstheme="minorHAnsi"/>
          <w:b/>
          <w:bCs/>
          <w:sz w:val="22"/>
          <w:szCs w:val="22"/>
          <w:vertAlign w:val="superscript"/>
        </w:rPr>
        <w:t>*</w:t>
      </w:r>
      <w:r w:rsidRPr="00CE08FB">
        <w:rPr>
          <w:rFonts w:asciiTheme="minorHAnsi" w:hAnsiTheme="minorHAnsi" w:cstheme="minorHAnsi"/>
          <w:b/>
          <w:bCs/>
          <w:sz w:val="22"/>
          <w:szCs w:val="22"/>
        </w:rPr>
        <w:t xml:space="preserve">Corresponding author: </w:t>
      </w:r>
      <w:r w:rsidRPr="00CE08FB">
        <w:rPr>
          <w:rFonts w:asciiTheme="minorHAnsi" w:hAnsiTheme="minorHAnsi" w:cstheme="minorHAnsi"/>
          <w:bCs/>
          <w:sz w:val="22"/>
          <w:szCs w:val="22"/>
        </w:rPr>
        <w:t xml:space="preserve"> Professor Dean J. Naisbitt, MRC </w:t>
      </w:r>
      <w:r w:rsidRPr="00CE08FB">
        <w:rPr>
          <w:rFonts w:asciiTheme="minorHAnsi" w:hAnsiTheme="minorHAnsi" w:cstheme="minorHAnsi"/>
          <w:sz w:val="22"/>
          <w:szCs w:val="22"/>
        </w:rPr>
        <w:t>Centre for Drug Safety Science,</w:t>
      </w:r>
      <w:r w:rsidRPr="00CE08FB">
        <w:rPr>
          <w:rFonts w:asciiTheme="minorHAnsi" w:hAnsiTheme="minorHAnsi" w:cstheme="minorHAnsi"/>
          <w:bCs/>
          <w:sz w:val="22"/>
          <w:szCs w:val="22"/>
        </w:rPr>
        <w:t xml:space="preserve"> Department of Molecular and Clinical Pharmacology, Sherrington Building, Ashton Street,</w:t>
      </w:r>
      <w:r>
        <w:rPr>
          <w:rFonts w:asciiTheme="minorHAnsi" w:hAnsiTheme="minorHAnsi" w:cstheme="minorHAnsi"/>
          <w:bCs/>
          <w:sz w:val="22"/>
          <w:szCs w:val="22"/>
        </w:rPr>
        <w:t xml:space="preserve"> </w:t>
      </w:r>
      <w:r w:rsidRPr="00CE08FB">
        <w:rPr>
          <w:rFonts w:asciiTheme="minorHAnsi" w:hAnsiTheme="minorHAnsi" w:cstheme="minorHAnsi"/>
          <w:bCs/>
          <w:sz w:val="22"/>
          <w:szCs w:val="22"/>
        </w:rPr>
        <w:t>The University of Liverpool, Liverpool L69 3GE, England</w:t>
      </w:r>
    </w:p>
    <w:p w14:paraId="5930411B" w14:textId="77777777" w:rsidR="00E7156C" w:rsidRPr="00CE08FB" w:rsidRDefault="00E7156C" w:rsidP="00E7156C">
      <w:pPr>
        <w:pStyle w:val="BodyText"/>
        <w:spacing w:line="480" w:lineRule="auto"/>
        <w:jc w:val="both"/>
        <w:rPr>
          <w:rFonts w:asciiTheme="minorHAnsi" w:hAnsiTheme="minorHAnsi" w:cstheme="minorHAnsi"/>
          <w:bCs/>
          <w:sz w:val="22"/>
          <w:szCs w:val="22"/>
        </w:rPr>
      </w:pPr>
      <w:r w:rsidRPr="00CE08FB">
        <w:rPr>
          <w:rFonts w:asciiTheme="minorHAnsi" w:hAnsiTheme="minorHAnsi" w:cstheme="minorHAnsi"/>
          <w:bCs/>
          <w:sz w:val="22"/>
          <w:szCs w:val="22"/>
        </w:rPr>
        <w:t>Telephone: 0044 151 7945346; Fax: 0044 151 7945540; e-mail: dnes@liv</w:t>
      </w:r>
      <w:r>
        <w:rPr>
          <w:rFonts w:asciiTheme="minorHAnsi" w:hAnsiTheme="minorHAnsi" w:cstheme="minorHAnsi"/>
          <w:bCs/>
          <w:sz w:val="22"/>
          <w:szCs w:val="22"/>
        </w:rPr>
        <w:t>erpool</w:t>
      </w:r>
      <w:r w:rsidRPr="00CE08FB">
        <w:rPr>
          <w:rFonts w:asciiTheme="minorHAnsi" w:hAnsiTheme="minorHAnsi" w:cstheme="minorHAnsi"/>
          <w:bCs/>
          <w:sz w:val="22"/>
          <w:szCs w:val="22"/>
        </w:rPr>
        <w:t xml:space="preserve">.ac.uk </w:t>
      </w:r>
    </w:p>
    <w:p w14:paraId="6406C67B" w14:textId="77777777" w:rsidR="00E7156C" w:rsidRDefault="00E7156C" w:rsidP="00E7156C">
      <w:pPr>
        <w:spacing w:line="480" w:lineRule="auto"/>
        <w:rPr>
          <w:rFonts w:cstheme="minorHAnsi"/>
          <w:b/>
        </w:rPr>
      </w:pPr>
    </w:p>
    <w:p w14:paraId="3C10E4C6" w14:textId="72C54307" w:rsidR="00E7156C" w:rsidRPr="00CE08FB" w:rsidRDefault="00E7156C" w:rsidP="00E7156C">
      <w:pPr>
        <w:spacing w:line="480" w:lineRule="auto"/>
        <w:rPr>
          <w:rFonts w:cstheme="minorHAnsi"/>
          <w:b/>
        </w:rPr>
      </w:pPr>
      <w:r w:rsidRPr="009F0341">
        <w:rPr>
          <w:rFonts w:cstheme="minorHAnsi"/>
          <w:b/>
        </w:rPr>
        <w:t xml:space="preserve">Word count: </w:t>
      </w:r>
      <w:r w:rsidR="009F0341" w:rsidRPr="009F0341">
        <w:rPr>
          <w:rFonts w:cstheme="minorHAnsi"/>
        </w:rPr>
        <w:t>3</w:t>
      </w:r>
      <w:r w:rsidR="00CF1CB4">
        <w:rPr>
          <w:rFonts w:cstheme="minorHAnsi"/>
        </w:rPr>
        <w:t>499</w:t>
      </w:r>
      <w:r w:rsidRPr="00CE08FB">
        <w:rPr>
          <w:rFonts w:cstheme="minorHAnsi"/>
          <w:b/>
        </w:rPr>
        <w:t xml:space="preserve"> </w:t>
      </w:r>
    </w:p>
    <w:p w14:paraId="76649470" w14:textId="77777777" w:rsidR="00CE08FB" w:rsidRPr="00CE08FB" w:rsidRDefault="00CE08FB" w:rsidP="00CE08FB">
      <w:pPr>
        <w:spacing w:line="480" w:lineRule="auto"/>
        <w:jc w:val="both"/>
        <w:rPr>
          <w:rFonts w:cstheme="minorHAnsi"/>
          <w:b/>
          <w:bCs/>
        </w:rPr>
      </w:pPr>
    </w:p>
    <w:p w14:paraId="25F4D339" w14:textId="43901292" w:rsidR="00CA4746" w:rsidRDefault="00CA4746" w:rsidP="00CE08FB">
      <w:pPr>
        <w:spacing w:line="480" w:lineRule="auto"/>
        <w:jc w:val="both"/>
        <w:rPr>
          <w:rFonts w:eastAsiaTheme="majorEastAsia" w:cstheme="minorHAnsi"/>
          <w:b/>
          <w:sz w:val="28"/>
          <w:szCs w:val="26"/>
        </w:rPr>
      </w:pPr>
      <w:r>
        <w:rPr>
          <w:rFonts w:cstheme="minorHAnsi"/>
        </w:rPr>
        <w:br w:type="page"/>
      </w:r>
    </w:p>
    <w:p w14:paraId="53A33BA3" w14:textId="77777777" w:rsidR="00E7156C" w:rsidRPr="00CA4746" w:rsidRDefault="00E7156C" w:rsidP="00E7156C">
      <w:pPr>
        <w:pStyle w:val="Heading2"/>
        <w:jc w:val="both"/>
        <w:rPr>
          <w:rFonts w:asciiTheme="minorHAnsi" w:hAnsiTheme="minorHAnsi" w:cstheme="minorHAnsi"/>
        </w:rPr>
      </w:pPr>
      <w:r w:rsidRPr="00CA4746">
        <w:rPr>
          <w:rFonts w:asciiTheme="minorHAnsi" w:hAnsiTheme="minorHAnsi" w:cstheme="minorHAnsi"/>
        </w:rPr>
        <w:lastRenderedPageBreak/>
        <w:t>Abstract</w:t>
      </w:r>
    </w:p>
    <w:p w14:paraId="3833C557" w14:textId="77777777" w:rsidR="00E7156C" w:rsidRPr="00CA4746" w:rsidRDefault="00E7156C" w:rsidP="00E7156C">
      <w:pPr>
        <w:jc w:val="both"/>
        <w:rPr>
          <w:rFonts w:cstheme="minorHAnsi"/>
        </w:rPr>
      </w:pPr>
    </w:p>
    <w:p w14:paraId="26E744D9" w14:textId="77777777" w:rsidR="00E7156C" w:rsidRDefault="00E7156C" w:rsidP="00E7156C">
      <w:pPr>
        <w:spacing w:line="480" w:lineRule="auto"/>
        <w:jc w:val="both"/>
        <w:rPr>
          <w:bCs/>
          <w:iCs/>
        </w:rPr>
      </w:pPr>
      <w:r>
        <w:rPr>
          <w:b/>
          <w:bCs/>
          <w:iCs/>
        </w:rPr>
        <w:t xml:space="preserve">Background: </w:t>
      </w:r>
      <w:r>
        <w:rPr>
          <w:bCs/>
          <w:iCs/>
        </w:rPr>
        <w:t xml:space="preserve">Atabecestat is an orally administered BACE inhibitor developed to treat Alzheimer’s disease. Elevations in hepatic enzymes were detected in a number of in trial patients, which resulted in termination of the drug development programme. </w:t>
      </w:r>
      <w:r>
        <w:t>I</w:t>
      </w:r>
      <w:r>
        <w:rPr>
          <w:szCs w:val="24"/>
        </w:rPr>
        <w:t>mmunohistochemical characterization of liver tissue from an index case of atabecestat-mediated liver injury revealed an</w:t>
      </w:r>
      <w:r>
        <w:t xml:space="preserve"> infiltration of T-lymphocytes in areas of hepatocellular damage. </w:t>
      </w:r>
      <w:r>
        <w:rPr>
          <w:bCs/>
          <w:iCs/>
        </w:rPr>
        <w:t xml:space="preserve">This, coupled with the fact that liver injury had a delayed onset suggests that the adaptive immune system may be involved in the pathogenesis. The aim of this study was to generate and characterise atabecestat(metabolite)-responsive T-cell clones from patients with liver injury. </w:t>
      </w:r>
    </w:p>
    <w:p w14:paraId="4E3B97A9" w14:textId="03905866" w:rsidR="00E7156C" w:rsidRDefault="00E7156C" w:rsidP="00E7156C">
      <w:pPr>
        <w:spacing w:line="480" w:lineRule="auto"/>
        <w:jc w:val="both"/>
        <w:rPr>
          <w:szCs w:val="24"/>
        </w:rPr>
      </w:pPr>
      <w:r w:rsidRPr="00E7156C">
        <w:rPr>
          <w:b/>
          <w:bCs/>
          <w:iCs/>
        </w:rPr>
        <w:t>Methods:</w:t>
      </w:r>
      <w:r>
        <w:rPr>
          <w:bCs/>
          <w:iCs/>
        </w:rPr>
        <w:t xml:space="preserve"> </w:t>
      </w:r>
      <w:r>
        <w:rPr>
          <w:iCs/>
        </w:rPr>
        <w:t xml:space="preserve">Peripheral blood mononuclear cells were cultured with </w:t>
      </w:r>
      <w:r>
        <w:rPr>
          <w:bCs/>
          <w:iCs/>
        </w:rPr>
        <w:t>atabecestat and its metabolites (</w:t>
      </w:r>
      <w:r w:rsidRPr="006175C3">
        <w:t>diaminothiazine</w:t>
      </w:r>
      <w:r>
        <w:rPr>
          <w:iCs/>
        </w:rPr>
        <w:t xml:space="preserve"> [</w:t>
      </w:r>
      <w:r>
        <w:rPr>
          <w:bCs/>
          <w:iCs/>
        </w:rPr>
        <w:t xml:space="preserve">DIAT], </w:t>
      </w:r>
      <w:r w:rsidRPr="00930D47">
        <w:rPr>
          <w:bCs/>
          <w:i/>
          <w:iCs/>
        </w:rPr>
        <w:t>N</w:t>
      </w:r>
      <w:r>
        <w:rPr>
          <w:bCs/>
          <w:iCs/>
        </w:rPr>
        <w:t>-acetyl DIAT &amp; epoxide) and cloning was attempted in a number of patients.</w:t>
      </w:r>
      <w:r>
        <w:rPr>
          <w:szCs w:val="24"/>
        </w:rPr>
        <w:t xml:space="preserve"> Atabecestat</w:t>
      </w:r>
      <w:r>
        <w:rPr>
          <w:iCs/>
        </w:rPr>
        <w:t>(metabolite)-responsive clones were analysed in terms of T-cell phenotype, function, pathways of T-cell activation and cross-reactivity with structurally-related compounds.</w:t>
      </w:r>
    </w:p>
    <w:p w14:paraId="5FD04E8E" w14:textId="6F93C13E" w:rsidR="00E7156C" w:rsidRDefault="00E7156C" w:rsidP="00E7156C">
      <w:pPr>
        <w:spacing w:line="480" w:lineRule="auto"/>
        <w:jc w:val="both"/>
      </w:pPr>
      <w:r>
        <w:rPr>
          <w:b/>
          <w:szCs w:val="24"/>
        </w:rPr>
        <w:t xml:space="preserve">Results: </w:t>
      </w:r>
      <w:r>
        <w:t xml:space="preserve">CD4+ T-cell clones activated with </w:t>
      </w:r>
      <w:r>
        <w:rPr>
          <w:bCs/>
          <w:iCs/>
        </w:rPr>
        <w:t>the DIAT metabolite were detected in 5 out of 8 patients</w:t>
      </w:r>
      <w:r w:rsidR="009E206C">
        <w:rPr>
          <w:bCs/>
          <w:iCs/>
        </w:rPr>
        <w:t xml:space="preserve"> (up to 4.5% cloning efficiency)</w:t>
      </w:r>
      <w:r>
        <w:rPr>
          <w:bCs/>
          <w:iCs/>
        </w:rPr>
        <w:t xml:space="preserve">. Lower numbers of CD4+ and CD8+ clones displayed reactivity against </w:t>
      </w:r>
      <w:r>
        <w:rPr>
          <w:szCs w:val="24"/>
        </w:rPr>
        <w:t>atabecestat.</w:t>
      </w:r>
      <w:r>
        <w:rPr>
          <w:bCs/>
          <w:iCs/>
        </w:rPr>
        <w:t xml:space="preserve"> Clones proliferated and secreted IFN-</w:t>
      </w:r>
      <w:r>
        <w:rPr>
          <w:bCs/>
          <w:iCs/>
        </w:rPr>
        <w:sym w:font="Symbol" w:char="F067"/>
      </w:r>
      <w:r>
        <w:rPr>
          <w:bCs/>
          <w:iCs/>
        </w:rPr>
        <w:t>, IL-13 and cytolytic molecules following a</w:t>
      </w:r>
      <w:r>
        <w:rPr>
          <w:szCs w:val="24"/>
        </w:rPr>
        <w:t>tabecestat</w:t>
      </w:r>
      <w:r>
        <w:rPr>
          <w:bCs/>
          <w:iCs/>
        </w:rPr>
        <w:t xml:space="preserve"> or DIAT stimulation. Certain atabecestat and DIAT-responsive clones cross-reacted with </w:t>
      </w:r>
      <w:r w:rsidRPr="00930D47">
        <w:rPr>
          <w:bCs/>
          <w:i/>
          <w:iCs/>
        </w:rPr>
        <w:t>N</w:t>
      </w:r>
      <w:r>
        <w:rPr>
          <w:bCs/>
          <w:iCs/>
        </w:rPr>
        <w:t>-acetyl DIAT; however, no cross-reactivity was observed between atabecestat and DIAT. CD4+ clones were activated through a direct, reversible compound-HLA class II interaction with no requirement for protein processing</w:t>
      </w:r>
      <w:r>
        <w:t xml:space="preserve">. </w:t>
      </w:r>
    </w:p>
    <w:p w14:paraId="0F8F3659" w14:textId="6DF6CB5C" w:rsidR="00E7156C" w:rsidRDefault="00E7156C" w:rsidP="00E7156C">
      <w:pPr>
        <w:spacing w:line="480" w:lineRule="auto"/>
        <w:jc w:val="both"/>
        <w:rPr>
          <w:rFonts w:cstheme="minorHAnsi"/>
          <w:iCs/>
        </w:rPr>
      </w:pPr>
      <w:r w:rsidRPr="00E7156C">
        <w:rPr>
          <w:rFonts w:cstheme="minorHAnsi"/>
          <w:b/>
          <w:bCs/>
          <w:iCs/>
        </w:rPr>
        <w:t>Conclusion.</w:t>
      </w:r>
      <w:r w:rsidRPr="00CA4746">
        <w:rPr>
          <w:rFonts w:cstheme="minorHAnsi"/>
          <w:i/>
          <w:iCs/>
        </w:rPr>
        <w:t> </w:t>
      </w:r>
      <w:r w:rsidRPr="00CA4746">
        <w:rPr>
          <w:rFonts w:cstheme="minorHAnsi"/>
          <w:iCs/>
        </w:rPr>
        <w:t xml:space="preserve"> The detection of </w:t>
      </w:r>
      <w:r w:rsidRPr="00CA4746">
        <w:rPr>
          <w:rFonts w:cstheme="minorHAnsi"/>
          <w:bCs/>
          <w:iCs/>
        </w:rPr>
        <w:t>atabecestat metabolite</w:t>
      </w:r>
      <w:r w:rsidRPr="00CA4746">
        <w:rPr>
          <w:rFonts w:cstheme="minorHAnsi"/>
          <w:iCs/>
        </w:rPr>
        <w:t xml:space="preserve">-responsive T-cell clones </w:t>
      </w:r>
      <w:r w:rsidR="00C837ED">
        <w:rPr>
          <w:rFonts w:cstheme="minorHAnsi"/>
          <w:iCs/>
        </w:rPr>
        <w:t xml:space="preserve">activated via a pharmacological interactions pathway </w:t>
      </w:r>
      <w:r w:rsidRPr="00CA4746">
        <w:rPr>
          <w:rFonts w:cstheme="minorHAnsi"/>
          <w:iCs/>
        </w:rPr>
        <w:t>in patients with liver injury is indicative of an immune-based mechanism for the observed hepatic enzyme elevations.</w:t>
      </w:r>
    </w:p>
    <w:p w14:paraId="3CC50D3C" w14:textId="11A7B929" w:rsidR="00CE08FB" w:rsidRPr="00CE08FB" w:rsidRDefault="00E7156C" w:rsidP="00E7156C">
      <w:pPr>
        <w:spacing w:line="480" w:lineRule="auto"/>
        <w:jc w:val="both"/>
        <w:rPr>
          <w:rFonts w:cstheme="minorHAnsi"/>
          <w:b/>
        </w:rPr>
      </w:pPr>
      <w:r w:rsidRPr="00CE08FB">
        <w:rPr>
          <w:rFonts w:cstheme="minorHAnsi"/>
          <w:b/>
          <w:bCs/>
        </w:rPr>
        <w:t xml:space="preserve">Key words: </w:t>
      </w:r>
      <w:r w:rsidRPr="00CE08FB">
        <w:rPr>
          <w:rFonts w:cstheme="minorHAnsi"/>
          <w:bCs/>
        </w:rPr>
        <w:t>Drug-induced liver injury, immune system, T-lymphocytes, human.</w:t>
      </w:r>
    </w:p>
    <w:p w14:paraId="6373922C" w14:textId="7D95AF88" w:rsidR="003E595E" w:rsidRPr="00CA4746" w:rsidRDefault="003E595E" w:rsidP="00356B45">
      <w:pPr>
        <w:pStyle w:val="Heading2"/>
        <w:spacing w:before="0" w:line="480" w:lineRule="auto"/>
        <w:rPr>
          <w:rFonts w:asciiTheme="minorHAnsi" w:hAnsiTheme="minorHAnsi" w:cstheme="minorHAnsi"/>
        </w:rPr>
      </w:pPr>
      <w:r w:rsidRPr="00CA4746">
        <w:rPr>
          <w:rFonts w:asciiTheme="minorHAnsi" w:hAnsiTheme="minorHAnsi" w:cstheme="minorHAnsi"/>
        </w:rPr>
        <w:lastRenderedPageBreak/>
        <w:t>Introduction</w:t>
      </w:r>
    </w:p>
    <w:p w14:paraId="3FA1DF25" w14:textId="6B639869" w:rsidR="00B73676" w:rsidRDefault="000419F6" w:rsidP="001F7A2C">
      <w:pPr>
        <w:spacing w:after="120" w:line="480" w:lineRule="auto"/>
        <w:jc w:val="both"/>
        <w:rPr>
          <w:rFonts w:cstheme="minorHAnsi"/>
          <w:lang w:val="en-US"/>
        </w:rPr>
      </w:pPr>
      <w:r w:rsidRPr="00CA4746">
        <w:rPr>
          <w:rFonts w:cstheme="minorHAnsi"/>
        </w:rPr>
        <w:t>Alzheimer’s Disease (AD) is a chronic neurodegenerative disease which is characterised by an impairment in cognitive function beyond the sco</w:t>
      </w:r>
      <w:r w:rsidR="00A3350A" w:rsidRPr="00CA4746">
        <w:rPr>
          <w:rFonts w:cstheme="minorHAnsi"/>
        </w:rPr>
        <w:t>pe of the normal ageing process</w:t>
      </w:r>
      <w:r w:rsidR="006332FA" w:rsidRPr="00CA4746">
        <w:rPr>
          <w:rFonts w:cstheme="minorHAnsi"/>
        </w:rPr>
        <w:t xml:space="preserve">. </w:t>
      </w:r>
      <w:r w:rsidR="00AC7117">
        <w:rPr>
          <w:rFonts w:cstheme="minorHAnsi"/>
        </w:rPr>
        <w:t>A</w:t>
      </w:r>
      <w:r w:rsidR="00354F2D" w:rsidRPr="00CA4746">
        <w:rPr>
          <w:rFonts w:cstheme="minorHAnsi"/>
        </w:rPr>
        <w:t>n imbalance exists between production and clearance of amyloid-β</w:t>
      </w:r>
      <w:r w:rsidR="00AC7117">
        <w:rPr>
          <w:rFonts w:cstheme="minorHAnsi"/>
        </w:rPr>
        <w:t xml:space="preserve"> in patients with AD and a common disease characteristic is</w:t>
      </w:r>
      <w:r w:rsidR="0028137C" w:rsidRPr="00CA4746">
        <w:rPr>
          <w:rFonts w:cstheme="minorHAnsi"/>
        </w:rPr>
        <w:t xml:space="preserve"> </w:t>
      </w:r>
      <w:r w:rsidR="00AC7117" w:rsidRPr="00CA4746">
        <w:rPr>
          <w:rFonts w:cstheme="minorHAnsi"/>
        </w:rPr>
        <w:t xml:space="preserve">the presence of neurofibrillary tangles comprised of hyperphosphorylated tau proteins and amyloid plaques </w:t>
      </w:r>
      <w:r w:rsidR="0028137C" w:rsidRPr="00CA4746">
        <w:rPr>
          <w:rFonts w:cstheme="minorHAnsi"/>
          <w:noProof/>
        </w:rPr>
        <w:t>(1)</w:t>
      </w:r>
      <w:r w:rsidR="00354F2D" w:rsidRPr="00CA4746">
        <w:rPr>
          <w:rFonts w:cstheme="minorHAnsi"/>
        </w:rPr>
        <w:t>.</w:t>
      </w:r>
      <w:r w:rsidR="00503EC4" w:rsidRPr="00CA4746">
        <w:rPr>
          <w:rFonts w:cstheme="minorHAnsi"/>
        </w:rPr>
        <w:t xml:space="preserve"> </w:t>
      </w:r>
      <w:r w:rsidR="00B259E0" w:rsidRPr="00CA4746">
        <w:rPr>
          <w:rFonts w:cstheme="minorHAnsi"/>
        </w:rPr>
        <w:t xml:space="preserve">Amyloid-β is produced from </w:t>
      </w:r>
      <w:r w:rsidR="00B01018" w:rsidRPr="00CA4746">
        <w:rPr>
          <w:rFonts w:cstheme="minorHAnsi"/>
        </w:rPr>
        <w:t>amyloid precursor protein</w:t>
      </w:r>
      <w:r w:rsidR="00B259E0" w:rsidRPr="00CA4746">
        <w:rPr>
          <w:rFonts w:cstheme="minorHAnsi"/>
        </w:rPr>
        <w:t xml:space="preserve"> via a cleavage process by BACE-1 in the first and rate limiting step. Therefore</w:t>
      </w:r>
      <w:r w:rsidR="00F03B11" w:rsidRPr="00CA4746">
        <w:rPr>
          <w:rFonts w:cstheme="minorHAnsi"/>
        </w:rPr>
        <w:t>,</w:t>
      </w:r>
      <w:r w:rsidR="00B259E0" w:rsidRPr="00CA4746">
        <w:rPr>
          <w:rFonts w:cstheme="minorHAnsi"/>
        </w:rPr>
        <w:t xml:space="preserve"> it is hypothesised that inhibition of the BACE-1 enzyme can reduce the formation of the toxic amyloid plaques, thereby having a positive impact on the progression of AD. </w:t>
      </w:r>
      <w:r w:rsidR="00AE70FE">
        <w:rPr>
          <w:rFonts w:cstheme="minorHAnsi"/>
          <w:lang w:val="en-US"/>
        </w:rPr>
        <w:t>Development of a</w:t>
      </w:r>
      <w:r w:rsidR="00F8379D" w:rsidRPr="00CA4746">
        <w:rPr>
          <w:rFonts w:cstheme="minorHAnsi"/>
          <w:lang w:val="en-US"/>
        </w:rPr>
        <w:t>tabecestat (JNJ-54861911)</w:t>
      </w:r>
      <w:r w:rsidR="00AE70FE">
        <w:rPr>
          <w:rFonts w:cstheme="minorHAnsi"/>
          <w:lang w:val="en-US"/>
        </w:rPr>
        <w:t xml:space="preserve">, </w:t>
      </w:r>
      <w:r w:rsidR="00F8379D" w:rsidRPr="00CA4746">
        <w:rPr>
          <w:rFonts w:cstheme="minorHAnsi"/>
          <w:lang w:val="en-US"/>
        </w:rPr>
        <w:t>an orally administered BACE-1 inhibitor</w:t>
      </w:r>
      <w:r w:rsidR="00AE70FE">
        <w:rPr>
          <w:rFonts w:cstheme="minorHAnsi"/>
          <w:lang w:val="en-US"/>
        </w:rPr>
        <w:t xml:space="preserve">, for the treatment of AD was </w:t>
      </w:r>
      <w:r w:rsidR="00F8379D" w:rsidRPr="00CA4746">
        <w:rPr>
          <w:rFonts w:cstheme="minorHAnsi"/>
          <w:lang w:val="en-US"/>
        </w:rPr>
        <w:t xml:space="preserve">recently </w:t>
      </w:r>
      <w:r w:rsidR="00AE70FE">
        <w:rPr>
          <w:rFonts w:cstheme="minorHAnsi"/>
          <w:lang w:val="en-US"/>
        </w:rPr>
        <w:t xml:space="preserve">stopped due to </w:t>
      </w:r>
      <w:r w:rsidR="00341D04">
        <w:rPr>
          <w:rFonts w:cstheme="minorHAnsi"/>
          <w:lang w:val="en-US"/>
        </w:rPr>
        <w:t>e</w:t>
      </w:r>
      <w:r w:rsidR="00341D04" w:rsidRPr="00431453">
        <w:rPr>
          <w:szCs w:val="24"/>
        </w:rPr>
        <w:t xml:space="preserve">levations in hepatic enzymes in </w:t>
      </w:r>
      <w:r w:rsidR="002E329A">
        <w:rPr>
          <w:szCs w:val="24"/>
        </w:rPr>
        <w:t xml:space="preserve">clinical studies </w:t>
      </w:r>
      <w:r w:rsidR="002A2070">
        <w:rPr>
          <w:rFonts w:cstheme="minorHAnsi"/>
          <w:noProof/>
          <w:lang w:val="en-US"/>
        </w:rPr>
        <w:t>(2)</w:t>
      </w:r>
      <w:r w:rsidR="00AC25A7" w:rsidRPr="00CA4746">
        <w:rPr>
          <w:rFonts w:cstheme="minorHAnsi"/>
          <w:lang w:val="en-US"/>
        </w:rPr>
        <w:t xml:space="preserve">. </w:t>
      </w:r>
    </w:p>
    <w:p w14:paraId="3FFA6FEC" w14:textId="03B09BCE" w:rsidR="00F8379D" w:rsidRPr="00CA4746" w:rsidRDefault="00AD26CA" w:rsidP="001F7A2C">
      <w:pPr>
        <w:spacing w:after="120" w:line="480" w:lineRule="auto"/>
        <w:jc w:val="both"/>
        <w:rPr>
          <w:rFonts w:cstheme="minorHAnsi"/>
          <w:lang w:val="en-US"/>
        </w:rPr>
      </w:pPr>
      <w:r>
        <w:rPr>
          <w:szCs w:val="24"/>
        </w:rPr>
        <w:t xml:space="preserve">Elevated hepatic enzymes were observed in patients participating in </w:t>
      </w:r>
      <w:r w:rsidR="00EF766A">
        <w:rPr>
          <w:szCs w:val="24"/>
        </w:rPr>
        <w:t xml:space="preserve">two </w:t>
      </w:r>
      <w:r>
        <w:rPr>
          <w:szCs w:val="24"/>
        </w:rPr>
        <w:t xml:space="preserve">atabecestat studies with </w:t>
      </w:r>
      <w:r w:rsidR="00E1781A">
        <w:rPr>
          <w:szCs w:val="24"/>
        </w:rPr>
        <w:t>24</w:t>
      </w:r>
      <w:r>
        <w:rPr>
          <w:szCs w:val="24"/>
        </w:rPr>
        <w:t>% of patients exhibiting &gt;1</w:t>
      </w:r>
      <w:r w:rsidR="00E1781A">
        <w:rPr>
          <w:szCs w:val="24"/>
        </w:rPr>
        <w:t xml:space="preserve">.5 </w:t>
      </w:r>
      <w:r w:rsidR="00341D04" w:rsidRPr="00431453">
        <w:rPr>
          <w:szCs w:val="24"/>
        </w:rPr>
        <w:t>uppe</w:t>
      </w:r>
      <w:r w:rsidR="00341D04" w:rsidRPr="006F2B7F">
        <w:rPr>
          <w:szCs w:val="24"/>
        </w:rPr>
        <w:t xml:space="preserve">r limit of normal (ULN) </w:t>
      </w:r>
      <w:r w:rsidR="005127E9">
        <w:rPr>
          <w:szCs w:val="24"/>
        </w:rPr>
        <w:t>levels of</w:t>
      </w:r>
      <w:r w:rsidR="00341D04" w:rsidRPr="006F2B7F">
        <w:rPr>
          <w:szCs w:val="24"/>
        </w:rPr>
        <w:t xml:space="preserve"> alanine transaminase (ALT)</w:t>
      </w:r>
      <w:r w:rsidR="00E1781A">
        <w:rPr>
          <w:szCs w:val="24"/>
        </w:rPr>
        <w:t>, including 11% with ALT &gt; 3x ULN</w:t>
      </w:r>
      <w:r>
        <w:rPr>
          <w:szCs w:val="24"/>
        </w:rPr>
        <w:t xml:space="preserve">. </w:t>
      </w:r>
      <w:r w:rsidR="00E1781A">
        <w:rPr>
          <w:szCs w:val="24"/>
        </w:rPr>
        <w:t xml:space="preserve">These were commonly associated with increases in aspartate aminotransferase (AST), but only 1 patient had a concomitant </w:t>
      </w:r>
      <w:r w:rsidR="00E22C64">
        <w:rPr>
          <w:szCs w:val="24"/>
        </w:rPr>
        <w:t>increase of bilirubin &gt; 2x ULN in the presence of a normal alkaline phosphatase,  indicative of severe hepatocellular injury.</w:t>
      </w:r>
      <w:r w:rsidR="002A2070">
        <w:rPr>
          <w:rFonts w:cstheme="minorHAnsi"/>
          <w:lang w:val="en-US"/>
        </w:rPr>
        <w:t xml:space="preserve"> Importantly, increases in the </w:t>
      </w:r>
      <w:r w:rsidR="00B73676" w:rsidRPr="002A2070">
        <w:rPr>
          <w:rFonts w:cstheme="minorHAnsi"/>
          <w:lang w:val="en-US"/>
        </w:rPr>
        <w:t>level</w:t>
      </w:r>
      <w:r w:rsidR="002A2070">
        <w:rPr>
          <w:rFonts w:cstheme="minorHAnsi"/>
          <w:lang w:val="en-US"/>
        </w:rPr>
        <w:t xml:space="preserve"> of ALT</w:t>
      </w:r>
      <w:r w:rsidR="00B73676" w:rsidRPr="002A2070">
        <w:rPr>
          <w:rFonts w:cstheme="minorHAnsi"/>
          <w:lang w:val="en-US"/>
        </w:rPr>
        <w:t xml:space="preserve"> did not correlate </w:t>
      </w:r>
      <w:r w:rsidR="00B73676" w:rsidRPr="00CA4746">
        <w:rPr>
          <w:rFonts w:cstheme="minorHAnsi"/>
          <w:lang w:val="en-US"/>
        </w:rPr>
        <w:t>with the concentration of atabecestat</w:t>
      </w:r>
      <w:r w:rsidR="000C6F60">
        <w:rPr>
          <w:rFonts w:cstheme="minorHAnsi"/>
          <w:lang w:val="en-US"/>
        </w:rPr>
        <w:t xml:space="preserve"> (metabolites)</w:t>
      </w:r>
      <w:r w:rsidR="00B73676" w:rsidRPr="00CA4746">
        <w:rPr>
          <w:rFonts w:cstheme="minorHAnsi"/>
          <w:lang w:val="en-US"/>
        </w:rPr>
        <w:t xml:space="preserve"> in patient</w:t>
      </w:r>
      <w:r w:rsidR="00AC7117">
        <w:rPr>
          <w:rFonts w:cstheme="minorHAnsi"/>
          <w:lang w:val="en-US"/>
        </w:rPr>
        <w:t xml:space="preserve"> plasma</w:t>
      </w:r>
      <w:r w:rsidR="00B73676" w:rsidRPr="00CA4746">
        <w:rPr>
          <w:rFonts w:cstheme="minorHAnsi"/>
          <w:lang w:val="en-US"/>
        </w:rPr>
        <w:t xml:space="preserve">. </w:t>
      </w:r>
      <w:r w:rsidR="00AC7117">
        <w:rPr>
          <w:rFonts w:cstheme="minorHAnsi"/>
          <w:lang w:val="en-US"/>
        </w:rPr>
        <w:t>A</w:t>
      </w:r>
      <w:r w:rsidR="00AC7117" w:rsidRPr="00CA4746">
        <w:rPr>
          <w:rFonts w:cstheme="minorHAnsi"/>
          <w:lang w:val="en-US"/>
        </w:rPr>
        <w:t xml:space="preserve"> swift decline in ALT levels </w:t>
      </w:r>
      <w:r w:rsidR="00AC7117">
        <w:rPr>
          <w:rFonts w:cstheme="minorHAnsi"/>
          <w:lang w:val="en-US"/>
        </w:rPr>
        <w:t>was observed in m</w:t>
      </w:r>
      <w:r w:rsidR="00A234B6" w:rsidRPr="00CA4746">
        <w:rPr>
          <w:rFonts w:cstheme="minorHAnsi"/>
          <w:lang w:val="en-US"/>
        </w:rPr>
        <w:t xml:space="preserve">ost </w:t>
      </w:r>
      <w:r w:rsidR="00B01018" w:rsidRPr="00CA4746">
        <w:rPr>
          <w:rFonts w:cstheme="minorHAnsi"/>
          <w:lang w:val="en-US"/>
        </w:rPr>
        <w:t>patients</w:t>
      </w:r>
      <w:r w:rsidR="00AC7117" w:rsidRPr="00AC7117">
        <w:rPr>
          <w:rFonts w:cstheme="minorHAnsi"/>
          <w:lang w:val="en-US"/>
        </w:rPr>
        <w:t xml:space="preserve"> </w:t>
      </w:r>
      <w:r w:rsidR="00AC7117">
        <w:rPr>
          <w:rFonts w:cstheme="minorHAnsi"/>
          <w:lang w:val="en-US"/>
        </w:rPr>
        <w:t xml:space="preserve">following withdrawal </w:t>
      </w:r>
      <w:r w:rsidR="00AC7117" w:rsidRPr="00CA4746">
        <w:rPr>
          <w:rFonts w:cstheme="minorHAnsi"/>
          <w:lang w:val="en-US"/>
        </w:rPr>
        <w:t>of atabecestat</w:t>
      </w:r>
      <w:r w:rsidR="00AC7117">
        <w:rPr>
          <w:rFonts w:cstheme="minorHAnsi"/>
          <w:lang w:val="en-US"/>
        </w:rPr>
        <w:t xml:space="preserve">; however, </w:t>
      </w:r>
      <w:r w:rsidR="00A234B6" w:rsidRPr="00CA4746">
        <w:rPr>
          <w:rFonts w:cstheme="minorHAnsi"/>
          <w:lang w:val="en-US"/>
        </w:rPr>
        <w:t xml:space="preserve">ALT levels continued to increase </w:t>
      </w:r>
      <w:r w:rsidR="00AC7117">
        <w:rPr>
          <w:rFonts w:cstheme="minorHAnsi"/>
          <w:lang w:val="en-US"/>
        </w:rPr>
        <w:t xml:space="preserve">in the plasma of </w:t>
      </w:r>
      <w:r w:rsidR="000C6F60">
        <w:rPr>
          <w:rFonts w:cstheme="minorHAnsi"/>
          <w:lang w:val="en-US"/>
        </w:rPr>
        <w:t>a limited number of</w:t>
      </w:r>
      <w:r w:rsidR="00AC7117">
        <w:rPr>
          <w:rFonts w:cstheme="minorHAnsi"/>
          <w:lang w:val="en-US"/>
        </w:rPr>
        <w:t xml:space="preserve"> patients. I</w:t>
      </w:r>
      <w:r w:rsidR="00A234B6" w:rsidRPr="00CA4746">
        <w:rPr>
          <w:rFonts w:cstheme="minorHAnsi"/>
          <w:lang w:val="en-US"/>
        </w:rPr>
        <w:t xml:space="preserve">n </w:t>
      </w:r>
      <w:r w:rsidR="00A234B6" w:rsidRPr="00053FA2">
        <w:rPr>
          <w:rFonts w:cstheme="minorHAnsi"/>
          <w:lang w:val="en-US"/>
        </w:rPr>
        <w:t>particular</w:t>
      </w:r>
      <w:r w:rsidR="002E329A" w:rsidRPr="00053FA2">
        <w:rPr>
          <w:rFonts w:cstheme="minorHAnsi"/>
          <w:lang w:val="en-US"/>
        </w:rPr>
        <w:t>,</w:t>
      </w:r>
      <w:r w:rsidR="00A234B6" w:rsidRPr="00053FA2">
        <w:rPr>
          <w:rFonts w:cstheme="minorHAnsi"/>
          <w:lang w:val="en-US"/>
        </w:rPr>
        <w:t xml:space="preserve"> one </w:t>
      </w:r>
      <w:r w:rsidR="00B01018" w:rsidRPr="00053FA2">
        <w:rPr>
          <w:rFonts w:cstheme="minorHAnsi"/>
          <w:lang w:val="en-US"/>
        </w:rPr>
        <w:t xml:space="preserve">patient </w:t>
      </w:r>
      <w:r w:rsidR="00A234B6" w:rsidRPr="00053FA2">
        <w:rPr>
          <w:rFonts w:cstheme="minorHAnsi"/>
          <w:lang w:val="en-US"/>
        </w:rPr>
        <w:t>reported an ALT level of 28.8x</w:t>
      </w:r>
      <w:r w:rsidR="001F7A2C" w:rsidRPr="00053FA2">
        <w:rPr>
          <w:rFonts w:cstheme="minorHAnsi"/>
          <w:lang w:val="en-US"/>
        </w:rPr>
        <w:t xml:space="preserve"> </w:t>
      </w:r>
      <w:r w:rsidR="00A234B6" w:rsidRPr="00053FA2">
        <w:rPr>
          <w:rFonts w:cstheme="minorHAnsi"/>
          <w:lang w:val="en-US"/>
        </w:rPr>
        <w:t xml:space="preserve">ULN one month after cessation of therapy. </w:t>
      </w:r>
      <w:r w:rsidR="002A2070" w:rsidRPr="00053FA2">
        <w:rPr>
          <w:rFonts w:cstheme="minorHAnsi"/>
          <w:lang w:val="en-US"/>
        </w:rPr>
        <w:t xml:space="preserve">The delayed onset of liver injury </w:t>
      </w:r>
      <w:r w:rsidR="00AC7117" w:rsidRPr="00053FA2">
        <w:rPr>
          <w:rFonts w:cstheme="minorHAnsi"/>
          <w:lang w:val="en-US"/>
        </w:rPr>
        <w:t xml:space="preserve">and immuno-histological detection of T-cell infiltrates in a liver biopsy </w:t>
      </w:r>
      <w:r w:rsidR="00D73622" w:rsidRPr="00053FA2">
        <w:rPr>
          <w:rFonts w:cstheme="minorHAnsi"/>
          <w:lang w:val="en-US"/>
        </w:rPr>
        <w:t>specimen</w:t>
      </w:r>
      <w:r w:rsidR="00A25A6E" w:rsidRPr="00053FA2">
        <w:rPr>
          <w:rFonts w:cstheme="minorHAnsi"/>
          <w:lang w:val="en-US"/>
        </w:rPr>
        <w:t xml:space="preserve"> </w:t>
      </w:r>
      <w:r w:rsidR="00053FA2">
        <w:rPr>
          <w:rFonts w:cstheme="minorHAnsi"/>
          <w:noProof/>
          <w:lang w:val="en-US"/>
        </w:rPr>
        <w:t>(3)</w:t>
      </w:r>
      <w:r w:rsidR="00D73622" w:rsidRPr="00053FA2">
        <w:rPr>
          <w:rFonts w:cstheme="minorHAnsi"/>
          <w:lang w:val="en-US"/>
        </w:rPr>
        <w:t xml:space="preserve"> </w:t>
      </w:r>
      <w:r w:rsidR="00F810CD" w:rsidRPr="00053FA2">
        <w:rPr>
          <w:rFonts w:cstheme="minorHAnsi"/>
          <w:lang w:val="en-US"/>
        </w:rPr>
        <w:t>suggest</w:t>
      </w:r>
      <w:r w:rsidR="002A2070" w:rsidRPr="00053FA2">
        <w:rPr>
          <w:rFonts w:cstheme="minorHAnsi"/>
          <w:lang w:val="en-US"/>
        </w:rPr>
        <w:t>s</w:t>
      </w:r>
      <w:r w:rsidR="00F810CD" w:rsidRPr="00053FA2">
        <w:rPr>
          <w:rFonts w:cstheme="minorHAnsi"/>
          <w:lang w:val="en-US"/>
        </w:rPr>
        <w:t xml:space="preserve"> </w:t>
      </w:r>
      <w:r w:rsidR="002A2070" w:rsidRPr="00053FA2">
        <w:rPr>
          <w:rFonts w:cstheme="minorHAnsi"/>
          <w:lang w:val="en-US"/>
        </w:rPr>
        <w:t>that</w:t>
      </w:r>
      <w:r w:rsidR="002A2070">
        <w:rPr>
          <w:rFonts w:cstheme="minorHAnsi"/>
          <w:lang w:val="en-US"/>
        </w:rPr>
        <w:t xml:space="preserve"> the adaptive immune system, </w:t>
      </w:r>
      <w:r w:rsidR="00AC7117">
        <w:rPr>
          <w:rFonts w:cstheme="minorHAnsi"/>
          <w:lang w:val="en-US"/>
        </w:rPr>
        <w:t>might</w:t>
      </w:r>
      <w:r w:rsidR="002A2070">
        <w:rPr>
          <w:rFonts w:cstheme="minorHAnsi"/>
          <w:lang w:val="en-US"/>
        </w:rPr>
        <w:t xml:space="preserve"> be involved in the pathogenesis of the </w:t>
      </w:r>
      <w:r w:rsidR="00F810CD" w:rsidRPr="00CA4746">
        <w:rPr>
          <w:rFonts w:cstheme="minorHAnsi"/>
          <w:lang w:val="en-US"/>
        </w:rPr>
        <w:t>atabecestat</w:t>
      </w:r>
      <w:r w:rsidR="002A2070">
        <w:rPr>
          <w:rFonts w:cstheme="minorHAnsi"/>
          <w:lang w:val="en-US"/>
        </w:rPr>
        <w:t>-induced adverse event</w:t>
      </w:r>
      <w:r w:rsidR="00F810CD" w:rsidRPr="00CA4746">
        <w:rPr>
          <w:rFonts w:cstheme="minorHAnsi"/>
          <w:lang w:val="en-US"/>
        </w:rPr>
        <w:t xml:space="preserve">. </w:t>
      </w:r>
    </w:p>
    <w:p w14:paraId="675012A0" w14:textId="34CF9712" w:rsidR="00D73622" w:rsidRDefault="00D522DA" w:rsidP="001F7A2C">
      <w:pPr>
        <w:spacing w:after="120" w:line="480" w:lineRule="auto"/>
        <w:jc w:val="both"/>
        <w:rPr>
          <w:rFonts w:cstheme="minorHAnsi"/>
          <w:lang w:val="en-US"/>
        </w:rPr>
      </w:pPr>
      <w:r>
        <w:rPr>
          <w:rFonts w:cstheme="minorHAnsi"/>
          <w:lang w:val="en-US"/>
        </w:rPr>
        <w:t>Until recently, the involvement of the adaptive immune system in drug-induced liver injury (DILI) was controversial. Maria and Victorino detected drug-responsive T-cell</w:t>
      </w:r>
      <w:r w:rsidR="00DF3FA2">
        <w:rPr>
          <w:rFonts w:cstheme="minorHAnsi"/>
          <w:lang w:val="en-US"/>
        </w:rPr>
        <w:t>s</w:t>
      </w:r>
      <w:r>
        <w:rPr>
          <w:rFonts w:cstheme="minorHAnsi"/>
          <w:lang w:val="en-US"/>
        </w:rPr>
        <w:t xml:space="preserve"> with</w:t>
      </w:r>
      <w:r w:rsidR="00DF3FA2">
        <w:rPr>
          <w:rFonts w:cstheme="minorHAnsi"/>
          <w:lang w:val="en-US"/>
        </w:rPr>
        <w:t>in</w:t>
      </w:r>
      <w:r>
        <w:rPr>
          <w:rFonts w:cstheme="minorHAnsi"/>
          <w:lang w:val="en-US"/>
        </w:rPr>
        <w:t xml:space="preserve"> peripheral blood </w:t>
      </w:r>
      <w:r>
        <w:rPr>
          <w:rFonts w:cstheme="minorHAnsi"/>
          <w:lang w:val="en-US"/>
        </w:rPr>
        <w:lastRenderedPageBreak/>
        <w:t xml:space="preserve">mononuclear cells (PBMC) from certain patients with DILI </w:t>
      </w:r>
      <w:r w:rsidR="00053FA2">
        <w:rPr>
          <w:rFonts w:cstheme="minorHAnsi"/>
          <w:noProof/>
          <w:lang w:val="en-US"/>
        </w:rPr>
        <w:t>(4)</w:t>
      </w:r>
      <w:r>
        <w:rPr>
          <w:rFonts w:cstheme="minorHAnsi"/>
          <w:lang w:val="en-US"/>
        </w:rPr>
        <w:t xml:space="preserve">. However, the drug-responsive T-cells were never </w:t>
      </w:r>
      <w:r w:rsidR="006047EC">
        <w:rPr>
          <w:rFonts w:cstheme="minorHAnsi"/>
          <w:lang w:val="en-US"/>
        </w:rPr>
        <w:t>characterized</w:t>
      </w:r>
      <w:r>
        <w:rPr>
          <w:rFonts w:cstheme="minorHAnsi"/>
          <w:lang w:val="en-US"/>
        </w:rPr>
        <w:t xml:space="preserve"> in terms of phenotype or function. More recently</w:t>
      </w:r>
      <w:r w:rsidR="00D73622">
        <w:rPr>
          <w:rFonts w:cstheme="minorHAnsi"/>
          <w:lang w:val="en-US"/>
        </w:rPr>
        <w:t>,</w:t>
      </w:r>
      <w:r>
        <w:rPr>
          <w:rFonts w:cstheme="minorHAnsi"/>
          <w:lang w:val="en-US"/>
        </w:rPr>
        <w:t xml:space="preserve"> we </w:t>
      </w:r>
      <w:r w:rsidR="00D73622">
        <w:rPr>
          <w:rFonts w:cstheme="minorHAnsi"/>
          <w:lang w:val="en-US"/>
        </w:rPr>
        <w:t>have shown the activation of drug-responsive T-cells from the blood of patients with</w:t>
      </w:r>
      <w:r>
        <w:rPr>
          <w:rFonts w:cstheme="minorHAnsi"/>
          <w:lang w:val="en-US"/>
        </w:rPr>
        <w:t xml:space="preserve"> flucloxacillin-</w:t>
      </w:r>
      <w:r w:rsidR="00053FA2">
        <w:rPr>
          <w:rFonts w:cstheme="minorHAnsi"/>
          <w:noProof/>
          <w:lang w:val="en-US"/>
        </w:rPr>
        <w:t>(5)</w:t>
      </w:r>
      <w:r>
        <w:rPr>
          <w:rFonts w:cstheme="minorHAnsi"/>
          <w:lang w:val="en-US"/>
        </w:rPr>
        <w:t xml:space="preserve">, amoxicillin-clavulanate- </w:t>
      </w:r>
      <w:r w:rsidR="00053FA2">
        <w:rPr>
          <w:rFonts w:cstheme="minorHAnsi"/>
          <w:noProof/>
          <w:lang w:val="en-US"/>
        </w:rPr>
        <w:t>(6)</w:t>
      </w:r>
      <w:r>
        <w:rPr>
          <w:rFonts w:cstheme="minorHAnsi"/>
          <w:lang w:val="en-US"/>
        </w:rPr>
        <w:t xml:space="preserve"> and tuberculosis medication-induced liver injury </w:t>
      </w:r>
      <w:r w:rsidR="00053FA2">
        <w:rPr>
          <w:rFonts w:cstheme="minorHAnsi"/>
          <w:noProof/>
          <w:lang w:val="en-US"/>
        </w:rPr>
        <w:t>(7)</w:t>
      </w:r>
      <w:r>
        <w:rPr>
          <w:rFonts w:cstheme="minorHAnsi"/>
          <w:lang w:val="en-US"/>
        </w:rPr>
        <w:t>. Moreover</w:t>
      </w:r>
      <w:r w:rsidR="00F810CD" w:rsidRPr="00CA4746">
        <w:rPr>
          <w:rFonts w:cstheme="minorHAnsi"/>
          <w:lang w:val="en-US"/>
        </w:rPr>
        <w:t xml:space="preserve">, </w:t>
      </w:r>
      <w:r>
        <w:rPr>
          <w:rFonts w:cstheme="minorHAnsi"/>
          <w:lang w:val="en-US"/>
        </w:rPr>
        <w:t xml:space="preserve">several HLA allele associations have been identified in patients with </w:t>
      </w:r>
      <w:r w:rsidR="00B60A84">
        <w:rPr>
          <w:rFonts w:cstheme="minorHAnsi"/>
          <w:lang w:val="en-US"/>
        </w:rPr>
        <w:t>DILI for</w:t>
      </w:r>
      <w:r w:rsidR="00F810CD" w:rsidRPr="00CA4746">
        <w:rPr>
          <w:rFonts w:cstheme="minorHAnsi"/>
          <w:lang w:val="en-US"/>
        </w:rPr>
        <w:t xml:space="preserve"> a host of </w:t>
      </w:r>
      <w:r w:rsidR="00B60A84">
        <w:rPr>
          <w:rFonts w:cstheme="minorHAnsi"/>
          <w:lang w:val="en-US"/>
        </w:rPr>
        <w:t>drugs</w:t>
      </w:r>
      <w:r w:rsidR="00F810CD" w:rsidRPr="00CA4746">
        <w:rPr>
          <w:rFonts w:cstheme="minorHAnsi"/>
          <w:lang w:val="en-US"/>
        </w:rPr>
        <w:t xml:space="preserve"> including </w:t>
      </w:r>
      <w:r w:rsidR="00F810CD" w:rsidRPr="00CA4746">
        <w:rPr>
          <w:rFonts w:cstheme="minorHAnsi"/>
        </w:rPr>
        <w:t>flucloxacillin</w:t>
      </w:r>
      <w:r w:rsidR="00F20D4E" w:rsidRPr="00CA4746">
        <w:rPr>
          <w:rFonts w:cstheme="minorHAnsi"/>
        </w:rPr>
        <w:t xml:space="preserve"> (HLA-B*57:01) </w:t>
      </w:r>
      <w:r w:rsidR="00053FA2">
        <w:rPr>
          <w:rFonts w:cstheme="minorHAnsi"/>
          <w:noProof/>
        </w:rPr>
        <w:t>(8)</w:t>
      </w:r>
      <w:r w:rsidR="00F810CD" w:rsidRPr="00CA4746">
        <w:rPr>
          <w:rFonts w:cstheme="minorHAnsi"/>
          <w:lang w:val="en-US"/>
        </w:rPr>
        <w:t>, ximelagatra</w:t>
      </w:r>
      <w:r w:rsidR="000C6F60">
        <w:rPr>
          <w:rFonts w:cstheme="minorHAnsi"/>
          <w:lang w:val="en-US"/>
        </w:rPr>
        <w:t>n</w:t>
      </w:r>
      <w:r w:rsidR="00F20D4E" w:rsidRPr="00CA4746">
        <w:rPr>
          <w:rFonts w:cstheme="minorHAnsi"/>
          <w:lang w:val="en-US"/>
        </w:rPr>
        <w:t xml:space="preserve"> (HLA-DRB1*07:01) </w:t>
      </w:r>
      <w:r w:rsidR="00053FA2">
        <w:rPr>
          <w:rFonts w:cstheme="minorHAnsi"/>
          <w:noProof/>
          <w:lang w:val="en-US"/>
        </w:rPr>
        <w:t>(9)</w:t>
      </w:r>
      <w:r w:rsidR="00F20D4E" w:rsidRPr="00CA4746">
        <w:rPr>
          <w:rFonts w:cstheme="minorHAnsi"/>
          <w:lang w:val="en-US"/>
        </w:rPr>
        <w:t xml:space="preserve"> and</w:t>
      </w:r>
      <w:r w:rsidR="00F810CD" w:rsidRPr="00CA4746">
        <w:rPr>
          <w:rFonts w:cstheme="minorHAnsi"/>
          <w:lang w:val="en-US"/>
        </w:rPr>
        <w:t xml:space="preserve"> lumiracoxib</w:t>
      </w:r>
      <w:r w:rsidR="00F20D4E" w:rsidRPr="00CA4746">
        <w:rPr>
          <w:rFonts w:cstheme="minorHAnsi"/>
          <w:lang w:val="en-US"/>
        </w:rPr>
        <w:t xml:space="preserve"> (HLA-DRB1:15:01) </w:t>
      </w:r>
      <w:r w:rsidR="00053FA2">
        <w:rPr>
          <w:rFonts w:cstheme="minorHAnsi"/>
          <w:noProof/>
          <w:lang w:val="en-US"/>
        </w:rPr>
        <w:t>(10)</w:t>
      </w:r>
      <w:r w:rsidR="00D73622">
        <w:rPr>
          <w:rFonts w:cstheme="minorHAnsi"/>
          <w:lang w:val="en-US"/>
        </w:rPr>
        <w:t xml:space="preserve"> and in patients with drug rash with eosinophilia and systemic symptoms (DRESS; e.g., vancomycin </w:t>
      </w:r>
      <w:r w:rsidR="00053FA2">
        <w:rPr>
          <w:rFonts w:cstheme="minorHAnsi"/>
          <w:noProof/>
          <w:lang w:val="en-US"/>
        </w:rPr>
        <w:t>(11)</w:t>
      </w:r>
      <w:r w:rsidR="00DF3FA2">
        <w:rPr>
          <w:rFonts w:cstheme="minorHAnsi"/>
          <w:lang w:val="en-US"/>
        </w:rPr>
        <w:t xml:space="preserve"> </w:t>
      </w:r>
      <w:r w:rsidR="00D73622">
        <w:rPr>
          <w:rFonts w:cstheme="minorHAnsi"/>
          <w:lang w:val="en-US"/>
        </w:rPr>
        <w:t xml:space="preserve">and dapsone </w:t>
      </w:r>
      <w:r w:rsidR="00053FA2">
        <w:rPr>
          <w:rFonts w:cstheme="minorHAnsi"/>
          <w:noProof/>
          <w:lang w:val="en-US"/>
        </w:rPr>
        <w:t>(12)</w:t>
      </w:r>
      <w:r w:rsidR="00D73622">
        <w:rPr>
          <w:rFonts w:cstheme="minorHAnsi"/>
          <w:lang w:val="en-US"/>
        </w:rPr>
        <w:t>) where liver injury develops as a component of a multifaceted disease</w:t>
      </w:r>
      <w:r w:rsidR="00F20D4E" w:rsidRPr="00CA4746">
        <w:rPr>
          <w:rFonts w:cstheme="minorHAnsi"/>
          <w:lang w:val="en-US"/>
        </w:rPr>
        <w:t xml:space="preserve">. </w:t>
      </w:r>
      <w:r w:rsidR="00D73622">
        <w:rPr>
          <w:rFonts w:cstheme="minorHAnsi"/>
          <w:lang w:val="en-US"/>
        </w:rPr>
        <w:t xml:space="preserve">Although not always proven through T-cell studies with patient PBMC, the genetic associations </w:t>
      </w:r>
      <w:r w:rsidR="00DF3FA2">
        <w:rPr>
          <w:rFonts w:cstheme="minorHAnsi"/>
          <w:lang w:val="en-US"/>
        </w:rPr>
        <w:t>suggest</w:t>
      </w:r>
      <w:r w:rsidR="00D73622">
        <w:rPr>
          <w:rFonts w:cstheme="minorHAnsi"/>
          <w:lang w:val="en-US"/>
        </w:rPr>
        <w:t xml:space="preserve"> that drugs</w:t>
      </w:r>
      <w:r w:rsidR="00C837ED">
        <w:rPr>
          <w:rFonts w:cstheme="minorHAnsi"/>
          <w:lang w:val="en-US"/>
        </w:rPr>
        <w:t xml:space="preserve"> </w:t>
      </w:r>
      <w:r w:rsidR="00D73622">
        <w:rPr>
          <w:rFonts w:cstheme="minorHAnsi"/>
          <w:lang w:val="en-US"/>
        </w:rPr>
        <w:t xml:space="preserve">interact preferentially with the protein </w:t>
      </w:r>
      <w:r w:rsidR="00C837ED">
        <w:rPr>
          <w:rFonts w:cstheme="minorHAnsi"/>
          <w:lang w:val="en-US"/>
        </w:rPr>
        <w:t xml:space="preserve">(or binding peptide) </w:t>
      </w:r>
      <w:r w:rsidR="00D73622">
        <w:rPr>
          <w:rFonts w:cstheme="minorHAnsi"/>
          <w:lang w:val="en-US"/>
        </w:rPr>
        <w:t>derived from the HLA of interest to stimulate T-cells that contribute towards the disease pathogenesis.</w:t>
      </w:r>
      <w:r w:rsidR="00C837ED">
        <w:rPr>
          <w:rFonts w:cstheme="minorHAnsi"/>
          <w:lang w:val="en-US"/>
        </w:rPr>
        <w:t xml:space="preserve"> </w:t>
      </w:r>
      <w:r w:rsidR="00626B87">
        <w:rPr>
          <w:rFonts w:cstheme="minorHAnsi"/>
          <w:lang w:val="en-US"/>
        </w:rPr>
        <w:t>HLA molecules displayed on the cell surface present drugs bound directly via a reversible pharmacological interaction (p-I concept) and covalently bound drug peptide adducts generated through protein processing (hapten concept).</w:t>
      </w:r>
      <w:r w:rsidR="00C837ED">
        <w:rPr>
          <w:rFonts w:cstheme="minorHAnsi"/>
          <w:lang w:val="en-US"/>
        </w:rPr>
        <w:t xml:space="preserve"> </w:t>
      </w:r>
      <w:r w:rsidR="00D73622">
        <w:rPr>
          <w:rFonts w:cstheme="minorHAnsi"/>
          <w:lang w:val="en-US"/>
        </w:rPr>
        <w:t xml:space="preserve"> </w:t>
      </w:r>
    </w:p>
    <w:p w14:paraId="05A496A4" w14:textId="018DE8B7" w:rsidR="00F810CD" w:rsidRPr="00CA4746" w:rsidRDefault="00D73622" w:rsidP="001F7A2C">
      <w:pPr>
        <w:spacing w:after="120" w:line="480" w:lineRule="auto"/>
        <w:jc w:val="both"/>
        <w:rPr>
          <w:rFonts w:cstheme="minorHAnsi"/>
          <w:lang w:val="en-US"/>
        </w:rPr>
      </w:pPr>
      <w:r>
        <w:rPr>
          <w:rFonts w:cstheme="minorHAnsi"/>
          <w:lang w:val="en-US"/>
        </w:rPr>
        <w:t>T</w:t>
      </w:r>
      <w:r w:rsidR="00CE6733" w:rsidRPr="00CA4746">
        <w:rPr>
          <w:rFonts w:cstheme="minorHAnsi"/>
          <w:lang w:val="en-US"/>
        </w:rPr>
        <w:t xml:space="preserve">he aim of this study was to elucidate </w:t>
      </w:r>
      <w:r w:rsidR="00BA0734">
        <w:rPr>
          <w:rFonts w:cstheme="minorHAnsi"/>
          <w:lang w:val="en-US"/>
        </w:rPr>
        <w:t xml:space="preserve">whether </w:t>
      </w:r>
      <w:r w:rsidR="00602318" w:rsidRPr="00CA4746">
        <w:rPr>
          <w:rFonts w:cstheme="minorHAnsi"/>
          <w:lang w:val="en-US"/>
        </w:rPr>
        <w:t>atabecestat</w:t>
      </w:r>
      <w:r w:rsidR="00602318">
        <w:rPr>
          <w:rFonts w:cstheme="minorHAnsi"/>
          <w:lang w:val="en-US"/>
        </w:rPr>
        <w:t xml:space="preserve">-responsive T-cells were detectable in </w:t>
      </w:r>
      <w:r w:rsidR="00BA0734">
        <w:rPr>
          <w:rFonts w:cstheme="minorHAnsi"/>
          <w:lang w:val="en-US"/>
        </w:rPr>
        <w:t>a</w:t>
      </w:r>
      <w:r w:rsidR="00BA0734" w:rsidRPr="00CA4746">
        <w:rPr>
          <w:rFonts w:cstheme="minorHAnsi"/>
          <w:lang w:val="en-US"/>
        </w:rPr>
        <w:t xml:space="preserve">tabecestat </w:t>
      </w:r>
      <w:r w:rsidR="00602318">
        <w:rPr>
          <w:rFonts w:cstheme="minorHAnsi"/>
          <w:lang w:val="en-US"/>
        </w:rPr>
        <w:t xml:space="preserve">trial patients that developed </w:t>
      </w:r>
      <w:r w:rsidR="00CE6733" w:rsidRPr="00CA4746">
        <w:rPr>
          <w:rFonts w:cstheme="minorHAnsi"/>
          <w:lang w:val="en-US"/>
        </w:rPr>
        <w:t>elevation</w:t>
      </w:r>
      <w:r w:rsidR="00602318">
        <w:rPr>
          <w:rFonts w:cstheme="minorHAnsi"/>
          <w:lang w:val="en-US"/>
        </w:rPr>
        <w:t>s</w:t>
      </w:r>
      <w:r w:rsidR="00CE6733" w:rsidRPr="00CA4746">
        <w:rPr>
          <w:rFonts w:cstheme="minorHAnsi"/>
          <w:lang w:val="en-US"/>
        </w:rPr>
        <w:t xml:space="preserve"> in liver enzymes </w:t>
      </w:r>
      <w:r w:rsidR="00F03B11" w:rsidRPr="00CA4746">
        <w:rPr>
          <w:rFonts w:cstheme="minorHAnsi"/>
          <w:lang w:val="en-US"/>
        </w:rPr>
        <w:t xml:space="preserve">and </w:t>
      </w:r>
      <w:r w:rsidR="00602318">
        <w:rPr>
          <w:rFonts w:cstheme="minorHAnsi"/>
          <w:lang w:val="en-US"/>
        </w:rPr>
        <w:t xml:space="preserve">then generate T-cell clones </w:t>
      </w:r>
      <w:r w:rsidR="00F03B11" w:rsidRPr="00CA4746">
        <w:rPr>
          <w:rFonts w:cstheme="minorHAnsi"/>
          <w:lang w:val="en-US"/>
        </w:rPr>
        <w:t xml:space="preserve">to </w:t>
      </w:r>
      <w:r w:rsidR="006047EC" w:rsidRPr="00CA4746">
        <w:rPr>
          <w:rFonts w:cstheme="minorHAnsi"/>
          <w:lang w:val="en-US"/>
        </w:rPr>
        <w:t>characteri</w:t>
      </w:r>
      <w:r w:rsidR="006047EC">
        <w:rPr>
          <w:rFonts w:cstheme="minorHAnsi"/>
          <w:lang w:val="en-US"/>
        </w:rPr>
        <w:t>z</w:t>
      </w:r>
      <w:r w:rsidR="006047EC" w:rsidRPr="00CA4746">
        <w:rPr>
          <w:rFonts w:cstheme="minorHAnsi"/>
          <w:lang w:val="en-US"/>
        </w:rPr>
        <w:t>e</w:t>
      </w:r>
      <w:r w:rsidR="00F03B11" w:rsidRPr="00CA4746">
        <w:rPr>
          <w:rFonts w:cstheme="minorHAnsi"/>
          <w:lang w:val="en-US"/>
        </w:rPr>
        <w:t xml:space="preserve"> phenotype and function</w:t>
      </w:r>
      <w:r w:rsidR="00602318">
        <w:rPr>
          <w:rFonts w:cstheme="minorHAnsi"/>
          <w:lang w:val="en-US"/>
        </w:rPr>
        <w:t xml:space="preserve"> of the drug-responsive cells </w:t>
      </w:r>
      <w:r w:rsidR="000D77D7">
        <w:rPr>
          <w:rFonts w:cstheme="minorHAnsi"/>
          <w:lang w:val="en-US"/>
        </w:rPr>
        <w:t>along with</w:t>
      </w:r>
      <w:r w:rsidR="00602318">
        <w:rPr>
          <w:rFonts w:cstheme="minorHAnsi"/>
          <w:lang w:val="en-US"/>
        </w:rPr>
        <w:t xml:space="preserve"> pathways of T-cell activation and cross</w:t>
      </w:r>
      <w:r w:rsidR="0007504A">
        <w:rPr>
          <w:rFonts w:cstheme="minorHAnsi"/>
          <w:lang w:val="en-US"/>
        </w:rPr>
        <w:t>-</w:t>
      </w:r>
      <w:r w:rsidR="00602318">
        <w:rPr>
          <w:rFonts w:cstheme="minorHAnsi"/>
          <w:lang w:val="en-US"/>
        </w:rPr>
        <w:t>reactivity with related structures</w:t>
      </w:r>
      <w:r w:rsidR="00CE6733" w:rsidRPr="00CA4746">
        <w:rPr>
          <w:rFonts w:cstheme="minorHAnsi"/>
          <w:lang w:val="en-US"/>
        </w:rPr>
        <w:t>.</w:t>
      </w:r>
      <w:r w:rsidR="00BA0734">
        <w:rPr>
          <w:rFonts w:cstheme="minorHAnsi"/>
          <w:lang w:val="en-US"/>
        </w:rPr>
        <w:t xml:space="preserve"> Patient PBMC were cultured with synthetic forms of </w:t>
      </w:r>
      <w:r w:rsidR="00BA0734" w:rsidRPr="00CA4746">
        <w:rPr>
          <w:rFonts w:cstheme="minorHAnsi"/>
          <w:lang w:val="en-US"/>
        </w:rPr>
        <w:t>atabecestat</w:t>
      </w:r>
      <w:r w:rsidR="00BA0734">
        <w:rPr>
          <w:rFonts w:cstheme="minorHAnsi"/>
          <w:lang w:val="en-US"/>
        </w:rPr>
        <w:t>,</w:t>
      </w:r>
      <w:r w:rsidR="00BA0734" w:rsidRPr="00CA4746">
        <w:rPr>
          <w:rFonts w:cstheme="minorHAnsi"/>
        </w:rPr>
        <w:t xml:space="preserve"> diaminothiazine</w:t>
      </w:r>
      <w:r w:rsidR="00BA0734" w:rsidRPr="00CA4746">
        <w:rPr>
          <w:rFonts w:cstheme="minorHAnsi"/>
          <w:iCs/>
        </w:rPr>
        <w:t xml:space="preserve"> [DIAT], and </w:t>
      </w:r>
      <w:r w:rsidR="00B63A67" w:rsidRPr="00CA4746">
        <w:rPr>
          <w:rFonts w:cstheme="minorHAnsi"/>
          <w:lang w:val="en-US"/>
        </w:rPr>
        <w:t>atabecestat</w:t>
      </w:r>
      <w:r w:rsidR="00B63A67" w:rsidRPr="00CA4746">
        <w:rPr>
          <w:rFonts w:cstheme="minorHAnsi"/>
          <w:iCs/>
        </w:rPr>
        <w:t xml:space="preserve"> </w:t>
      </w:r>
      <w:r w:rsidR="00BA0734" w:rsidRPr="00CA4746">
        <w:rPr>
          <w:rFonts w:cstheme="minorHAnsi"/>
          <w:iCs/>
        </w:rPr>
        <w:t>epoxide</w:t>
      </w:r>
      <w:r w:rsidR="00B63A67">
        <w:rPr>
          <w:rFonts w:cstheme="minorHAnsi"/>
          <w:lang w:val="en-US"/>
        </w:rPr>
        <w:t>, each of which are susceptible to cytochrome P450-mediated metabolism liberating products with the potential to bind covalently to protein (Figure 1</w:t>
      </w:r>
      <w:r w:rsidR="00A06E7C">
        <w:rPr>
          <w:rFonts w:cstheme="minorHAnsi"/>
          <w:lang w:val="en-US"/>
        </w:rPr>
        <w:t>A</w:t>
      </w:r>
      <w:r w:rsidR="00B63A67">
        <w:rPr>
          <w:rFonts w:cstheme="minorHAnsi"/>
          <w:lang w:val="en-US"/>
        </w:rPr>
        <w:t xml:space="preserve">). DIAT is formed from </w:t>
      </w:r>
      <w:r w:rsidR="00B63A67" w:rsidRPr="00CA4746">
        <w:rPr>
          <w:rFonts w:cstheme="minorHAnsi"/>
          <w:lang w:val="en-US"/>
        </w:rPr>
        <w:t>atabecestat</w:t>
      </w:r>
      <w:r w:rsidR="00B63A67" w:rsidRPr="00CA4746">
        <w:rPr>
          <w:rFonts w:cstheme="minorHAnsi"/>
          <w:i/>
          <w:iCs/>
        </w:rPr>
        <w:t xml:space="preserve"> </w:t>
      </w:r>
      <w:r w:rsidR="00B63A67" w:rsidRPr="00B63A67">
        <w:rPr>
          <w:rFonts w:cstheme="minorHAnsi"/>
          <w:iCs/>
        </w:rPr>
        <w:t>via</w:t>
      </w:r>
      <w:r w:rsidR="00B63A67">
        <w:rPr>
          <w:rFonts w:cstheme="minorHAnsi"/>
          <w:iCs/>
        </w:rPr>
        <w:t xml:space="preserve"> the carboxy</w:t>
      </w:r>
      <w:r w:rsidR="000C6F60">
        <w:rPr>
          <w:rFonts w:cstheme="minorHAnsi"/>
          <w:iCs/>
        </w:rPr>
        <w:t>l</w:t>
      </w:r>
      <w:r w:rsidR="00B63A67">
        <w:rPr>
          <w:rFonts w:cstheme="minorHAnsi"/>
          <w:iCs/>
        </w:rPr>
        <w:t>esterase-mediated hydrolysis of the amide bond</w:t>
      </w:r>
      <w:r w:rsidR="00C7211F">
        <w:rPr>
          <w:rFonts w:cstheme="minorHAnsi"/>
          <w:iCs/>
        </w:rPr>
        <w:t xml:space="preserve"> resulting in loss of the cyano-pyridine ring structure</w:t>
      </w:r>
      <w:r w:rsidR="00B63A67">
        <w:rPr>
          <w:rFonts w:cstheme="minorHAnsi"/>
          <w:iCs/>
        </w:rPr>
        <w:t>. In contrast</w:t>
      </w:r>
      <w:r w:rsidR="0023715D">
        <w:rPr>
          <w:rFonts w:cstheme="minorHAnsi"/>
          <w:iCs/>
        </w:rPr>
        <w:t>,</w:t>
      </w:r>
      <w:r w:rsidR="00B63A67">
        <w:rPr>
          <w:rFonts w:cstheme="minorHAnsi"/>
          <w:iCs/>
        </w:rPr>
        <w:t xml:space="preserve"> </w:t>
      </w:r>
      <w:r w:rsidR="00C7211F">
        <w:rPr>
          <w:rFonts w:cstheme="minorHAnsi"/>
          <w:iCs/>
        </w:rPr>
        <w:t xml:space="preserve">the epoxide of </w:t>
      </w:r>
      <w:r w:rsidR="00B63A67">
        <w:rPr>
          <w:rFonts w:cstheme="minorHAnsi"/>
          <w:iCs/>
        </w:rPr>
        <w:t>a</w:t>
      </w:r>
      <w:r w:rsidR="00B63A67" w:rsidRPr="00CA4746">
        <w:rPr>
          <w:rFonts w:cstheme="minorHAnsi"/>
          <w:lang w:val="en-US"/>
        </w:rPr>
        <w:t>tabecestat</w:t>
      </w:r>
      <w:r w:rsidR="00B63A67">
        <w:rPr>
          <w:rFonts w:cstheme="minorHAnsi"/>
          <w:lang w:val="en-US"/>
        </w:rPr>
        <w:t xml:space="preserve"> is formed </w:t>
      </w:r>
      <w:r w:rsidR="00C7211F">
        <w:rPr>
          <w:rFonts w:cstheme="minorHAnsi"/>
          <w:lang w:val="en-US"/>
        </w:rPr>
        <w:t xml:space="preserve">on the amino-methyl-thiazinyl ring </w:t>
      </w:r>
      <w:r w:rsidR="00B63A67">
        <w:rPr>
          <w:rFonts w:cstheme="minorHAnsi"/>
          <w:lang w:val="en-US"/>
        </w:rPr>
        <w:t>through cytochrome P450</w:t>
      </w:r>
      <w:r w:rsidR="00DF3FA2">
        <w:rPr>
          <w:rFonts w:cstheme="minorHAnsi"/>
          <w:lang w:val="en-US"/>
        </w:rPr>
        <w:t>-</w:t>
      </w:r>
      <w:r w:rsidR="000C6F60">
        <w:rPr>
          <w:rFonts w:cstheme="minorHAnsi"/>
          <w:lang w:val="en-US"/>
        </w:rPr>
        <w:t xml:space="preserve">3A </w:t>
      </w:r>
      <w:r w:rsidR="00B63A67">
        <w:rPr>
          <w:rFonts w:cstheme="minorHAnsi"/>
          <w:lang w:val="en-US"/>
        </w:rPr>
        <w:t>mediated metabolism</w:t>
      </w:r>
      <w:r w:rsidR="0023715D">
        <w:rPr>
          <w:rFonts w:cstheme="minorHAnsi"/>
          <w:lang w:val="en-US"/>
        </w:rPr>
        <w:t xml:space="preserve">. </w:t>
      </w:r>
    </w:p>
    <w:p w14:paraId="728F684B" w14:textId="77777777" w:rsidR="00DF3FA2" w:rsidRDefault="00DF3FA2">
      <w:pPr>
        <w:rPr>
          <w:rFonts w:eastAsiaTheme="majorEastAsia" w:cstheme="minorHAnsi"/>
          <w:b/>
          <w:sz w:val="28"/>
          <w:szCs w:val="26"/>
        </w:rPr>
      </w:pPr>
      <w:r>
        <w:rPr>
          <w:rFonts w:cstheme="minorHAnsi"/>
        </w:rPr>
        <w:br w:type="page"/>
      </w:r>
    </w:p>
    <w:p w14:paraId="7E72081D" w14:textId="28B0D32E" w:rsidR="003E595E" w:rsidRPr="00CA4746" w:rsidRDefault="00E7156C" w:rsidP="0023715D">
      <w:pPr>
        <w:pStyle w:val="Heading2"/>
        <w:spacing w:line="480" w:lineRule="auto"/>
        <w:jc w:val="both"/>
        <w:rPr>
          <w:rFonts w:asciiTheme="minorHAnsi" w:hAnsiTheme="minorHAnsi" w:cstheme="minorHAnsi"/>
        </w:rPr>
      </w:pPr>
      <w:r>
        <w:rPr>
          <w:rFonts w:asciiTheme="minorHAnsi" w:hAnsiTheme="minorHAnsi" w:cstheme="minorHAnsi"/>
        </w:rPr>
        <w:lastRenderedPageBreak/>
        <w:t>Methods</w:t>
      </w:r>
    </w:p>
    <w:p w14:paraId="39805E84" w14:textId="129053D6" w:rsidR="008203C6" w:rsidRPr="008203C6" w:rsidRDefault="002040A5" w:rsidP="008203C6">
      <w:pPr>
        <w:spacing w:after="0" w:line="480" w:lineRule="auto"/>
        <w:jc w:val="both"/>
        <w:rPr>
          <w:rFonts w:cstheme="minorHAnsi"/>
          <w:b/>
        </w:rPr>
      </w:pPr>
      <w:r>
        <w:rPr>
          <w:rFonts w:cstheme="minorHAnsi"/>
          <w:b/>
        </w:rPr>
        <w:t>PBMC from h</w:t>
      </w:r>
      <w:r w:rsidR="008203C6" w:rsidRPr="008203C6">
        <w:rPr>
          <w:rFonts w:cstheme="minorHAnsi"/>
          <w:b/>
        </w:rPr>
        <w:t>uman subjects</w:t>
      </w:r>
    </w:p>
    <w:p w14:paraId="0CB6B42A" w14:textId="5FC75219" w:rsidR="008203C6" w:rsidRDefault="004C14AC" w:rsidP="004C14AC">
      <w:pPr>
        <w:pStyle w:val="BodyText12"/>
        <w:spacing w:line="480" w:lineRule="auto"/>
        <w:rPr>
          <w:rFonts w:asciiTheme="minorHAnsi" w:hAnsiTheme="minorHAnsi" w:cstheme="minorHAnsi"/>
          <w:sz w:val="22"/>
          <w:szCs w:val="22"/>
        </w:rPr>
      </w:pPr>
      <w:r w:rsidRPr="004C14AC">
        <w:rPr>
          <w:rFonts w:asciiTheme="minorHAnsi" w:hAnsiTheme="minorHAnsi" w:cstheme="minorHAnsi"/>
          <w:sz w:val="22"/>
          <w:szCs w:val="22"/>
        </w:rPr>
        <w:t>PBMC were obtained from 1</w:t>
      </w:r>
      <w:r w:rsidR="00570B82">
        <w:rPr>
          <w:rFonts w:asciiTheme="minorHAnsi" w:hAnsiTheme="minorHAnsi" w:cstheme="minorHAnsi"/>
          <w:sz w:val="22"/>
          <w:szCs w:val="22"/>
        </w:rPr>
        <w:t>4</w:t>
      </w:r>
      <w:r w:rsidRPr="004C14AC">
        <w:rPr>
          <w:rFonts w:asciiTheme="minorHAnsi" w:hAnsiTheme="minorHAnsi" w:cstheme="minorHAnsi"/>
          <w:sz w:val="22"/>
          <w:szCs w:val="22"/>
        </w:rPr>
        <w:t xml:space="preserve"> </w:t>
      </w:r>
      <w:r w:rsidR="00DF3FA2">
        <w:rPr>
          <w:rFonts w:asciiTheme="minorHAnsi" w:hAnsiTheme="minorHAnsi" w:cstheme="minorHAnsi"/>
          <w:sz w:val="22"/>
          <w:szCs w:val="22"/>
        </w:rPr>
        <w:t>study patients</w:t>
      </w:r>
      <w:r w:rsidRPr="004C14AC">
        <w:rPr>
          <w:rFonts w:asciiTheme="minorHAnsi" w:hAnsiTheme="minorHAnsi" w:cstheme="minorHAnsi"/>
          <w:sz w:val="22"/>
          <w:szCs w:val="22"/>
        </w:rPr>
        <w:t xml:space="preserve"> previously exposed to atabecestat (clinical studies 54861911ALZ2002, 54861911ALZ2003, and 54861911ALZ2004), of which </w:t>
      </w:r>
      <w:r w:rsidR="004E0729">
        <w:rPr>
          <w:rFonts w:asciiTheme="minorHAnsi" w:hAnsiTheme="minorHAnsi" w:cstheme="minorHAnsi"/>
          <w:sz w:val="22"/>
          <w:szCs w:val="22"/>
        </w:rPr>
        <w:t xml:space="preserve">12 out of 14 </w:t>
      </w:r>
      <w:r w:rsidRPr="004C14AC">
        <w:rPr>
          <w:rFonts w:asciiTheme="minorHAnsi" w:hAnsiTheme="minorHAnsi" w:cstheme="minorHAnsi"/>
          <w:sz w:val="22"/>
          <w:szCs w:val="22"/>
        </w:rPr>
        <w:t xml:space="preserve">had experienced liver ALT </w:t>
      </w:r>
      <w:r w:rsidR="00CF5DC5">
        <w:rPr>
          <w:rFonts w:asciiTheme="minorHAnsi" w:hAnsiTheme="minorHAnsi" w:cstheme="minorHAnsi"/>
          <w:sz w:val="22"/>
          <w:szCs w:val="22"/>
        </w:rPr>
        <w:t xml:space="preserve">and AST </w:t>
      </w:r>
      <w:r w:rsidRPr="004C14AC">
        <w:rPr>
          <w:rFonts w:asciiTheme="minorHAnsi" w:hAnsiTheme="minorHAnsi" w:cstheme="minorHAnsi"/>
          <w:sz w:val="22"/>
          <w:szCs w:val="22"/>
        </w:rPr>
        <w:t>elevations during therapy</w:t>
      </w:r>
      <w:r w:rsidR="00570B82">
        <w:rPr>
          <w:rFonts w:asciiTheme="minorHAnsi" w:hAnsiTheme="minorHAnsi" w:cstheme="minorHAnsi"/>
          <w:sz w:val="22"/>
          <w:szCs w:val="22"/>
        </w:rPr>
        <w:t>.</w:t>
      </w:r>
      <w:r w:rsidRPr="004C14AC">
        <w:rPr>
          <w:rFonts w:asciiTheme="minorHAnsi" w:hAnsiTheme="minorHAnsi" w:cstheme="minorHAnsi"/>
          <w:sz w:val="22"/>
          <w:szCs w:val="22"/>
        </w:rPr>
        <w:t xml:space="preserve"> </w:t>
      </w:r>
      <w:r w:rsidR="00CF5DC5">
        <w:rPr>
          <w:rFonts w:asciiTheme="minorHAnsi" w:hAnsiTheme="minorHAnsi" w:cstheme="minorHAnsi"/>
          <w:sz w:val="22"/>
          <w:szCs w:val="22"/>
        </w:rPr>
        <w:t>The ALT increase in the selected patients ranged between 3.8 and 29.1x ULN.</w:t>
      </w:r>
      <w:r w:rsidR="000D77D7">
        <w:rPr>
          <w:rFonts w:asciiTheme="minorHAnsi" w:hAnsiTheme="minorHAnsi" w:cstheme="minorHAnsi"/>
          <w:sz w:val="22"/>
          <w:szCs w:val="22"/>
        </w:rPr>
        <w:t xml:space="preserve"> </w:t>
      </w:r>
      <w:r w:rsidR="00880D9E" w:rsidRPr="00876144">
        <w:rPr>
          <w:rFonts w:asciiTheme="minorHAnsi" w:hAnsiTheme="minorHAnsi" w:cstheme="minorHAnsi"/>
          <w:sz w:val="22"/>
          <w:szCs w:val="22"/>
        </w:rPr>
        <w:t>Table 1 summarizes the demographics of the patients and details of the adverse event.</w:t>
      </w:r>
      <w:r w:rsidR="00880D9E">
        <w:rPr>
          <w:rFonts w:asciiTheme="minorHAnsi" w:hAnsiTheme="minorHAnsi" w:cstheme="minorHAnsi"/>
          <w:sz w:val="22"/>
          <w:szCs w:val="22"/>
        </w:rPr>
        <w:t xml:space="preserve"> </w:t>
      </w:r>
      <w:r w:rsidR="00AF566A">
        <w:rPr>
          <w:rFonts w:asciiTheme="minorHAnsi" w:hAnsiTheme="minorHAnsi" w:cstheme="minorHAnsi"/>
          <w:sz w:val="22"/>
          <w:szCs w:val="22"/>
        </w:rPr>
        <w:t xml:space="preserve">None of the patients showed skin symptoms or eosinophilia. </w:t>
      </w:r>
      <w:r w:rsidR="000D77D7">
        <w:rPr>
          <w:rFonts w:asciiTheme="minorHAnsi" w:hAnsiTheme="minorHAnsi" w:cstheme="minorHAnsi"/>
          <w:sz w:val="22"/>
          <w:szCs w:val="22"/>
        </w:rPr>
        <w:t xml:space="preserve">PBMC from two healthy volunteers </w:t>
      </w:r>
      <w:r w:rsidR="003900EC">
        <w:rPr>
          <w:rFonts w:asciiTheme="minorHAnsi" w:hAnsiTheme="minorHAnsi" w:cstheme="minorHAnsi"/>
          <w:sz w:val="22"/>
          <w:szCs w:val="22"/>
        </w:rPr>
        <w:t>outside of the</w:t>
      </w:r>
      <w:r w:rsidR="000D77D7">
        <w:rPr>
          <w:rFonts w:asciiTheme="minorHAnsi" w:hAnsiTheme="minorHAnsi" w:cstheme="minorHAnsi"/>
          <w:sz w:val="22"/>
          <w:szCs w:val="22"/>
        </w:rPr>
        <w:t xml:space="preserve"> atabecestat stud</w:t>
      </w:r>
      <w:r w:rsidR="003900EC">
        <w:rPr>
          <w:rFonts w:asciiTheme="minorHAnsi" w:hAnsiTheme="minorHAnsi" w:cstheme="minorHAnsi"/>
          <w:sz w:val="22"/>
          <w:szCs w:val="22"/>
        </w:rPr>
        <w:t>ies</w:t>
      </w:r>
      <w:r w:rsidR="000D77D7">
        <w:rPr>
          <w:rFonts w:asciiTheme="minorHAnsi" w:hAnsiTheme="minorHAnsi" w:cstheme="minorHAnsi"/>
          <w:sz w:val="22"/>
          <w:szCs w:val="22"/>
        </w:rPr>
        <w:t xml:space="preserve"> were selected from the Liverpool cohort of 1200 genotyped healthy donors</w:t>
      </w:r>
      <w:r w:rsidR="003900EC">
        <w:rPr>
          <w:rFonts w:asciiTheme="minorHAnsi" w:hAnsiTheme="minorHAnsi" w:cstheme="minorHAnsi"/>
          <w:sz w:val="22"/>
          <w:szCs w:val="22"/>
        </w:rPr>
        <w:t xml:space="preserve"> </w:t>
      </w:r>
      <w:r w:rsidR="00053FA2">
        <w:rPr>
          <w:rFonts w:asciiTheme="minorHAnsi" w:hAnsiTheme="minorHAnsi" w:cstheme="minorHAnsi"/>
          <w:noProof/>
          <w:sz w:val="22"/>
          <w:szCs w:val="22"/>
        </w:rPr>
        <w:t>(13)</w:t>
      </w:r>
      <w:r w:rsidR="000D77D7">
        <w:rPr>
          <w:rFonts w:asciiTheme="minorHAnsi" w:hAnsiTheme="minorHAnsi" w:cstheme="minorHAnsi"/>
          <w:sz w:val="22"/>
          <w:szCs w:val="22"/>
        </w:rPr>
        <w:t>.</w:t>
      </w:r>
      <w:r w:rsidR="00CF5DC5">
        <w:rPr>
          <w:rFonts w:asciiTheme="minorHAnsi" w:hAnsiTheme="minorHAnsi" w:cstheme="minorHAnsi"/>
          <w:sz w:val="22"/>
          <w:szCs w:val="22"/>
        </w:rPr>
        <w:t xml:space="preserve"> </w:t>
      </w:r>
      <w:r w:rsidRPr="004C14AC">
        <w:rPr>
          <w:rFonts w:asciiTheme="minorHAnsi" w:hAnsiTheme="minorHAnsi" w:cstheme="minorHAnsi"/>
          <w:sz w:val="22"/>
          <w:szCs w:val="22"/>
        </w:rPr>
        <w:t>Approval for the investigations was obtained from the Liverpool Research Ethics committee and each site’s respective Ethic Committee</w:t>
      </w:r>
      <w:r w:rsidR="008203C6" w:rsidRPr="004C14AC">
        <w:rPr>
          <w:rFonts w:asciiTheme="minorHAnsi" w:hAnsiTheme="minorHAnsi" w:cstheme="minorHAnsi"/>
          <w:sz w:val="22"/>
          <w:szCs w:val="22"/>
        </w:rPr>
        <w:t xml:space="preserve">, and informed written consent was obtained from each </w:t>
      </w:r>
      <w:r w:rsidR="008203C6" w:rsidRPr="00876144">
        <w:rPr>
          <w:rFonts w:asciiTheme="minorHAnsi" w:hAnsiTheme="minorHAnsi" w:cstheme="minorHAnsi"/>
          <w:sz w:val="22"/>
          <w:szCs w:val="22"/>
        </w:rPr>
        <w:t>donor. Chemagic magnetic separation (Chemagen, Baesweiler, Germany) was used to extract genomic DNA, and high-resolution sequence based HLA typing was performed by the Histogenetics laboratory (Histogenetics, Ossining, NY) at the following loci: HLA-A, -B, -C, -DRB1, -DQB1, and DQA1.</w:t>
      </w:r>
      <w:r w:rsidR="008203C6" w:rsidRPr="00876144">
        <w:rPr>
          <w:rFonts w:asciiTheme="minorHAnsi" w:hAnsiTheme="minorHAnsi" w:cstheme="minorHAnsi"/>
          <w:sz w:val="20"/>
          <w:szCs w:val="22"/>
        </w:rPr>
        <w:t xml:space="preserve"> </w:t>
      </w:r>
      <w:r w:rsidRPr="00876144">
        <w:rPr>
          <w:rFonts w:asciiTheme="minorHAnsi" w:hAnsiTheme="minorHAnsi" w:cstheme="minorHAnsi"/>
          <w:sz w:val="22"/>
          <w:szCs w:val="24"/>
        </w:rPr>
        <w:t>PBMC</w:t>
      </w:r>
      <w:r w:rsidRPr="004C14AC">
        <w:rPr>
          <w:rFonts w:asciiTheme="minorHAnsi" w:hAnsiTheme="minorHAnsi" w:cstheme="minorHAnsi"/>
          <w:sz w:val="22"/>
          <w:szCs w:val="24"/>
        </w:rPr>
        <w:t xml:space="preserve"> isolated from blood using density centrifugation</w:t>
      </w:r>
      <w:r w:rsidR="00DF3FA2">
        <w:rPr>
          <w:rFonts w:asciiTheme="minorHAnsi" w:hAnsiTheme="minorHAnsi" w:cstheme="minorHAnsi"/>
          <w:sz w:val="22"/>
          <w:szCs w:val="24"/>
        </w:rPr>
        <w:t xml:space="preserve"> were</w:t>
      </w:r>
      <w:r w:rsidR="00570B82">
        <w:rPr>
          <w:rFonts w:asciiTheme="minorHAnsi" w:hAnsiTheme="minorHAnsi" w:cstheme="minorHAnsi"/>
          <w:sz w:val="22"/>
          <w:szCs w:val="24"/>
        </w:rPr>
        <w:t xml:space="preserve"> cryopreserved on the</w:t>
      </w:r>
      <w:r w:rsidR="005127E9">
        <w:rPr>
          <w:rFonts w:asciiTheme="minorHAnsi" w:hAnsiTheme="minorHAnsi" w:cstheme="minorHAnsi"/>
          <w:sz w:val="22"/>
          <w:szCs w:val="24"/>
        </w:rPr>
        <w:t xml:space="preserve"> day of isolation and stored in liquid nitrogen </w:t>
      </w:r>
      <w:r w:rsidR="00570B82">
        <w:rPr>
          <w:rFonts w:asciiTheme="minorHAnsi" w:hAnsiTheme="minorHAnsi" w:cstheme="minorHAnsi"/>
          <w:sz w:val="22"/>
          <w:szCs w:val="24"/>
        </w:rPr>
        <w:t>prior to conducting the experiments</w:t>
      </w:r>
      <w:r w:rsidRPr="004C14AC">
        <w:rPr>
          <w:rFonts w:asciiTheme="minorHAnsi" w:hAnsiTheme="minorHAnsi" w:cstheme="minorHAnsi"/>
          <w:sz w:val="22"/>
          <w:szCs w:val="24"/>
        </w:rPr>
        <w:t>.</w:t>
      </w:r>
      <w:r w:rsidRPr="004C14AC">
        <w:rPr>
          <w:rFonts w:cs="Times"/>
          <w:sz w:val="22"/>
          <w:szCs w:val="24"/>
        </w:rPr>
        <w:t xml:space="preserve"> </w:t>
      </w:r>
      <w:r w:rsidR="008203C6" w:rsidRPr="00876144">
        <w:rPr>
          <w:rFonts w:asciiTheme="minorHAnsi" w:hAnsiTheme="minorHAnsi" w:cstheme="minorHAnsi"/>
          <w:sz w:val="22"/>
          <w:szCs w:val="22"/>
        </w:rPr>
        <w:t>Supplementary Table 1 sh</w:t>
      </w:r>
      <w:r w:rsidR="008203C6" w:rsidRPr="008203C6">
        <w:rPr>
          <w:rFonts w:asciiTheme="minorHAnsi" w:hAnsiTheme="minorHAnsi" w:cstheme="minorHAnsi"/>
          <w:sz w:val="22"/>
          <w:szCs w:val="22"/>
        </w:rPr>
        <w:t xml:space="preserve">ows results of HLA typing. </w:t>
      </w:r>
    </w:p>
    <w:p w14:paraId="35C357C7" w14:textId="126ECD4B" w:rsidR="00880D9E" w:rsidRPr="00880D9E" w:rsidRDefault="00880D9E" w:rsidP="004C14AC">
      <w:pPr>
        <w:pStyle w:val="BodyText12"/>
        <w:spacing w:line="480" w:lineRule="auto"/>
        <w:rPr>
          <w:rFonts w:asciiTheme="minorHAnsi" w:hAnsiTheme="minorHAnsi" w:cstheme="minorHAnsi"/>
          <w:sz w:val="20"/>
          <w:szCs w:val="22"/>
          <w:lang w:val="en-GB"/>
        </w:rPr>
      </w:pPr>
      <w:r>
        <w:rPr>
          <w:rFonts w:asciiTheme="minorHAnsi" w:hAnsiTheme="minorHAnsi" w:cstheme="minorHAnsi"/>
          <w:sz w:val="22"/>
          <w:szCs w:val="24"/>
        </w:rPr>
        <w:t xml:space="preserve">PBMC were subjected to </w:t>
      </w:r>
      <w:r w:rsidRPr="00880D9E">
        <w:rPr>
          <w:rFonts w:asciiTheme="minorHAnsi" w:hAnsiTheme="minorHAnsi" w:cstheme="minorHAnsi"/>
          <w:i/>
          <w:sz w:val="22"/>
          <w:szCs w:val="24"/>
        </w:rPr>
        <w:t>in vitro</w:t>
      </w:r>
      <w:r>
        <w:rPr>
          <w:rFonts w:asciiTheme="minorHAnsi" w:hAnsiTheme="minorHAnsi" w:cstheme="minorHAnsi"/>
          <w:sz w:val="22"/>
          <w:szCs w:val="24"/>
        </w:rPr>
        <w:t xml:space="preserve"> diagnostic testing and cloning of individual T cells before characterization of </w:t>
      </w:r>
      <w:r w:rsidRPr="00880D9E">
        <w:rPr>
          <w:rFonts w:asciiTheme="minorHAnsi" w:hAnsiTheme="minorHAnsi" w:cstheme="minorHAnsi"/>
          <w:sz w:val="22"/>
          <w:szCs w:val="24"/>
        </w:rPr>
        <w:t>cellular phenotype,</w:t>
      </w:r>
      <w:r>
        <w:rPr>
          <w:rFonts w:asciiTheme="minorHAnsi" w:hAnsiTheme="minorHAnsi" w:cstheme="minorHAnsi"/>
          <w:sz w:val="22"/>
          <w:szCs w:val="24"/>
        </w:rPr>
        <w:t xml:space="preserve"> </w:t>
      </w:r>
      <w:r w:rsidR="00050BD7">
        <w:rPr>
          <w:rFonts w:asciiTheme="minorHAnsi" w:hAnsiTheme="minorHAnsi" w:cstheme="minorHAnsi"/>
          <w:sz w:val="22"/>
          <w:szCs w:val="24"/>
        </w:rPr>
        <w:t xml:space="preserve">TCR sequencing, </w:t>
      </w:r>
      <w:r>
        <w:rPr>
          <w:rFonts w:asciiTheme="minorHAnsi" w:hAnsiTheme="minorHAnsi" w:cstheme="minorHAnsi"/>
          <w:sz w:val="22"/>
          <w:szCs w:val="24"/>
        </w:rPr>
        <w:t xml:space="preserve">function, antigen specificity and </w:t>
      </w:r>
      <w:r w:rsidRPr="00880D9E">
        <w:rPr>
          <w:rFonts w:asciiTheme="minorHAnsi" w:hAnsiTheme="minorHAnsi" w:cstheme="minorHAnsi"/>
          <w:sz w:val="22"/>
          <w:szCs w:val="24"/>
        </w:rPr>
        <w:t>pathways of activation</w:t>
      </w:r>
      <w:r w:rsidR="00050BD7">
        <w:rPr>
          <w:rFonts w:asciiTheme="minorHAnsi" w:hAnsiTheme="minorHAnsi" w:cstheme="minorHAnsi"/>
          <w:sz w:val="22"/>
          <w:szCs w:val="24"/>
        </w:rPr>
        <w:t>.</w:t>
      </w:r>
      <w:r w:rsidRPr="00880D9E">
        <w:rPr>
          <w:rFonts w:asciiTheme="minorHAnsi" w:hAnsiTheme="minorHAnsi" w:cstheme="minorHAnsi"/>
          <w:sz w:val="22"/>
          <w:szCs w:val="24"/>
        </w:rPr>
        <w:t xml:space="preserve"> Detailed methods are available in as supplementary material.</w:t>
      </w:r>
    </w:p>
    <w:p w14:paraId="54C44560" w14:textId="0BD77143" w:rsidR="00FE374D" w:rsidRDefault="00FE374D" w:rsidP="005127E9">
      <w:pPr>
        <w:pStyle w:val="BodyText12"/>
        <w:spacing w:line="480" w:lineRule="auto"/>
        <w:rPr>
          <w:rFonts w:eastAsiaTheme="majorEastAsia" w:cstheme="minorHAnsi"/>
          <w:b/>
          <w:sz w:val="28"/>
          <w:szCs w:val="26"/>
        </w:rPr>
      </w:pPr>
      <w:r>
        <w:rPr>
          <w:rFonts w:cstheme="minorHAnsi"/>
        </w:rPr>
        <w:br w:type="page"/>
      </w:r>
    </w:p>
    <w:p w14:paraId="7FF667E0" w14:textId="381D3D45" w:rsidR="003E595E" w:rsidRPr="00CA4746" w:rsidRDefault="003E595E" w:rsidP="0023715D">
      <w:pPr>
        <w:pStyle w:val="Heading2"/>
        <w:spacing w:line="480" w:lineRule="auto"/>
        <w:jc w:val="both"/>
        <w:rPr>
          <w:rFonts w:asciiTheme="minorHAnsi" w:hAnsiTheme="minorHAnsi" w:cstheme="minorHAnsi"/>
        </w:rPr>
      </w:pPr>
      <w:r w:rsidRPr="00CA4746">
        <w:rPr>
          <w:rFonts w:asciiTheme="minorHAnsi" w:hAnsiTheme="minorHAnsi" w:cstheme="minorHAnsi"/>
        </w:rPr>
        <w:lastRenderedPageBreak/>
        <w:t>Results</w:t>
      </w:r>
    </w:p>
    <w:p w14:paraId="405C2622" w14:textId="77777777" w:rsidR="0037683A" w:rsidRDefault="00D428D5" w:rsidP="0023715D">
      <w:pPr>
        <w:pStyle w:val="Heading3"/>
        <w:spacing w:line="480" w:lineRule="auto"/>
        <w:jc w:val="both"/>
        <w:rPr>
          <w:rFonts w:asciiTheme="minorHAnsi" w:hAnsiTheme="minorHAnsi" w:cstheme="minorHAnsi"/>
        </w:rPr>
      </w:pPr>
      <w:r>
        <w:rPr>
          <w:rFonts w:asciiTheme="minorHAnsi" w:hAnsiTheme="minorHAnsi" w:cstheme="minorHAnsi"/>
        </w:rPr>
        <w:t>Atabecestat and its metabolites stimulate low levels of proliferation and granzyme B secretion in certain patients</w:t>
      </w:r>
      <w:r w:rsidDel="00D428D5">
        <w:rPr>
          <w:rFonts w:asciiTheme="minorHAnsi" w:hAnsiTheme="minorHAnsi" w:cstheme="minorHAnsi"/>
        </w:rPr>
        <w:t xml:space="preserve"> </w:t>
      </w:r>
      <w:r>
        <w:rPr>
          <w:rFonts w:asciiTheme="minorHAnsi" w:hAnsiTheme="minorHAnsi" w:cstheme="minorHAnsi"/>
        </w:rPr>
        <w:t>with liver injury</w:t>
      </w:r>
    </w:p>
    <w:p w14:paraId="07B310A6" w14:textId="60926C8D" w:rsidR="00D819B0" w:rsidRDefault="0037683A" w:rsidP="00695F09">
      <w:pPr>
        <w:pStyle w:val="BodyText12"/>
        <w:spacing w:line="480" w:lineRule="auto"/>
        <w:rPr>
          <w:rFonts w:asciiTheme="minorHAnsi" w:hAnsiTheme="minorHAnsi" w:cstheme="minorHAnsi"/>
          <w:sz w:val="22"/>
        </w:rPr>
      </w:pPr>
      <w:r>
        <w:rPr>
          <w:rFonts w:asciiTheme="minorHAnsi" w:hAnsiTheme="minorHAnsi" w:cstheme="minorHAnsi"/>
          <w:sz w:val="22"/>
        </w:rPr>
        <w:t>T</w:t>
      </w:r>
      <w:r w:rsidR="007A741A" w:rsidRPr="00695F09">
        <w:rPr>
          <w:rFonts w:asciiTheme="minorHAnsi" w:hAnsiTheme="minorHAnsi" w:cstheme="minorHAnsi"/>
          <w:sz w:val="22"/>
        </w:rPr>
        <w:t xml:space="preserve">he </w:t>
      </w:r>
      <w:r w:rsidR="0068564E" w:rsidRPr="00695F09">
        <w:rPr>
          <w:rFonts w:asciiTheme="minorHAnsi" w:hAnsiTheme="minorHAnsi" w:cstheme="minorHAnsi"/>
          <w:sz w:val="22"/>
        </w:rPr>
        <w:t>lymphocyte proliferation</w:t>
      </w:r>
      <w:r w:rsidR="007A741A" w:rsidRPr="00695F09">
        <w:rPr>
          <w:rFonts w:asciiTheme="minorHAnsi" w:hAnsiTheme="minorHAnsi" w:cstheme="minorHAnsi"/>
          <w:sz w:val="22"/>
        </w:rPr>
        <w:t xml:space="preserve"> assay was conducted in 10 patient PBMCs while ELIspot for IFN-γ and </w:t>
      </w:r>
      <w:r w:rsidR="00DF3FA2">
        <w:rPr>
          <w:rFonts w:asciiTheme="minorHAnsi" w:hAnsiTheme="minorHAnsi" w:cstheme="minorHAnsi"/>
          <w:sz w:val="22"/>
        </w:rPr>
        <w:t>granzyme B</w:t>
      </w:r>
      <w:r w:rsidR="007A741A" w:rsidRPr="00695F09">
        <w:rPr>
          <w:rFonts w:asciiTheme="minorHAnsi" w:hAnsiTheme="minorHAnsi" w:cstheme="minorHAnsi"/>
          <w:sz w:val="22"/>
        </w:rPr>
        <w:t xml:space="preserve"> was conducted on 9/14 patients</w:t>
      </w:r>
      <w:r w:rsidR="00583547">
        <w:rPr>
          <w:rFonts w:asciiTheme="minorHAnsi" w:hAnsiTheme="minorHAnsi" w:cstheme="minorHAnsi"/>
          <w:sz w:val="22"/>
        </w:rPr>
        <w:t xml:space="preserve"> (</w:t>
      </w:r>
      <w:r w:rsidR="00583547" w:rsidRPr="00583547">
        <w:rPr>
          <w:rFonts w:asciiTheme="minorHAnsi" w:hAnsiTheme="minorHAnsi" w:cstheme="minorHAnsi"/>
          <w:sz w:val="22"/>
          <w:szCs w:val="22"/>
        </w:rPr>
        <w:t xml:space="preserve">this included </w:t>
      </w:r>
      <w:r w:rsidR="00583547">
        <w:rPr>
          <w:rFonts w:asciiTheme="minorHAnsi" w:hAnsiTheme="minorHAnsi" w:cstheme="minorHAnsi"/>
          <w:sz w:val="22"/>
          <w:szCs w:val="22"/>
        </w:rPr>
        <w:t xml:space="preserve">one </w:t>
      </w:r>
      <w:r w:rsidR="00583547" w:rsidRPr="00583547">
        <w:rPr>
          <w:rFonts w:asciiTheme="minorHAnsi" w:hAnsiTheme="minorHAnsi" w:cstheme="minorHAnsi"/>
          <w:sz w:val="22"/>
          <w:szCs w:val="22"/>
        </w:rPr>
        <w:t>patient not presenting ALT elevations</w:t>
      </w:r>
      <w:r w:rsidR="00583547">
        <w:rPr>
          <w:rFonts w:asciiTheme="minorHAnsi" w:hAnsiTheme="minorHAnsi" w:cstheme="minorHAnsi"/>
          <w:sz w:val="22"/>
          <w:szCs w:val="22"/>
        </w:rPr>
        <w:t>; Table 1)</w:t>
      </w:r>
      <w:r w:rsidR="0016176F">
        <w:rPr>
          <w:rFonts w:asciiTheme="minorHAnsi" w:hAnsiTheme="minorHAnsi" w:cstheme="minorHAnsi"/>
          <w:sz w:val="22"/>
          <w:szCs w:val="22"/>
        </w:rPr>
        <w:t xml:space="preserve"> to assess the presence of drug-responsive circulating T-cells in patients with liver injury</w:t>
      </w:r>
      <w:r w:rsidR="007A741A" w:rsidRPr="00583547">
        <w:rPr>
          <w:rFonts w:asciiTheme="minorHAnsi" w:hAnsiTheme="minorHAnsi" w:cstheme="minorHAnsi"/>
          <w:sz w:val="22"/>
          <w:szCs w:val="22"/>
        </w:rPr>
        <w:t xml:space="preserve">. </w:t>
      </w:r>
      <w:r w:rsidR="00570B82" w:rsidRPr="00583547">
        <w:rPr>
          <w:rFonts w:asciiTheme="minorHAnsi" w:hAnsiTheme="minorHAnsi" w:cstheme="minorHAnsi"/>
          <w:sz w:val="22"/>
          <w:szCs w:val="22"/>
        </w:rPr>
        <w:t>PBMCs from 4 subjects were not viable upon defrosting of vials</w:t>
      </w:r>
      <w:r w:rsidR="00AD26CA">
        <w:rPr>
          <w:rFonts w:asciiTheme="minorHAnsi" w:hAnsiTheme="minorHAnsi" w:cstheme="minorHAnsi"/>
          <w:sz w:val="22"/>
        </w:rPr>
        <w:t xml:space="preserve">, while cellular yield was low in 1 subject, excluding </w:t>
      </w:r>
      <w:r w:rsidR="006047EC">
        <w:rPr>
          <w:rFonts w:asciiTheme="minorHAnsi" w:hAnsiTheme="minorHAnsi" w:cstheme="minorHAnsi"/>
          <w:sz w:val="22"/>
        </w:rPr>
        <w:t>them</w:t>
      </w:r>
      <w:r w:rsidR="00AD26CA">
        <w:rPr>
          <w:rFonts w:asciiTheme="minorHAnsi" w:hAnsiTheme="minorHAnsi" w:cstheme="minorHAnsi"/>
          <w:sz w:val="22"/>
        </w:rPr>
        <w:t xml:space="preserve"> from ELIspot assays</w:t>
      </w:r>
      <w:r w:rsidR="00570B82" w:rsidRPr="00695F09">
        <w:rPr>
          <w:rFonts w:asciiTheme="minorHAnsi" w:hAnsiTheme="minorHAnsi" w:cstheme="minorHAnsi"/>
          <w:sz w:val="22"/>
        </w:rPr>
        <w:t xml:space="preserve">. </w:t>
      </w:r>
    </w:p>
    <w:p w14:paraId="2F7B62C9" w14:textId="71FE7797" w:rsidR="00695F09" w:rsidRPr="00695F09" w:rsidRDefault="00695F09" w:rsidP="00695F09">
      <w:pPr>
        <w:pStyle w:val="BodyText12"/>
        <w:spacing w:line="480" w:lineRule="auto"/>
        <w:rPr>
          <w:rFonts w:asciiTheme="minorHAnsi" w:hAnsiTheme="minorHAnsi" w:cstheme="minorHAnsi"/>
          <w:sz w:val="22"/>
        </w:rPr>
      </w:pPr>
      <w:r w:rsidRPr="00695F09">
        <w:rPr>
          <w:rFonts w:asciiTheme="minorHAnsi" w:hAnsiTheme="minorHAnsi" w:cstheme="minorHAnsi"/>
          <w:sz w:val="22"/>
        </w:rPr>
        <w:t xml:space="preserve">Low levels of proliferation </w:t>
      </w:r>
      <w:r>
        <w:rPr>
          <w:rFonts w:asciiTheme="minorHAnsi" w:hAnsiTheme="minorHAnsi" w:cstheme="minorHAnsi"/>
          <w:sz w:val="22"/>
        </w:rPr>
        <w:t xml:space="preserve">(stimulation index [proliferation in compound treated wells/ proliferation in medium wells] 2-2.5) </w:t>
      </w:r>
      <w:r w:rsidRPr="00695F09">
        <w:rPr>
          <w:rFonts w:asciiTheme="minorHAnsi" w:hAnsiTheme="minorHAnsi" w:cstheme="minorHAnsi"/>
          <w:sz w:val="22"/>
        </w:rPr>
        <w:t xml:space="preserve">were induced by the DIAT and epoxide metabolites in </w:t>
      </w:r>
      <w:r w:rsidR="00DF3FA2">
        <w:rPr>
          <w:rFonts w:asciiTheme="minorHAnsi" w:hAnsiTheme="minorHAnsi" w:cstheme="minorHAnsi"/>
          <w:sz w:val="22"/>
        </w:rPr>
        <w:t>patient</w:t>
      </w:r>
      <w:r w:rsidRPr="00695F09">
        <w:rPr>
          <w:rFonts w:asciiTheme="minorHAnsi" w:hAnsiTheme="minorHAnsi" w:cstheme="minorHAnsi"/>
          <w:sz w:val="22"/>
        </w:rPr>
        <w:t> </w:t>
      </w:r>
      <w:r w:rsidR="008A504E">
        <w:rPr>
          <w:rFonts w:asciiTheme="minorHAnsi" w:hAnsiTheme="minorHAnsi" w:cstheme="minorHAnsi"/>
          <w:sz w:val="22"/>
        </w:rPr>
        <w:t>4</w:t>
      </w:r>
      <w:r>
        <w:rPr>
          <w:rFonts w:asciiTheme="minorHAnsi" w:hAnsiTheme="minorHAnsi" w:cstheme="minorHAnsi"/>
          <w:sz w:val="22"/>
        </w:rPr>
        <w:t>; h</w:t>
      </w:r>
      <w:r w:rsidRPr="00695F09">
        <w:rPr>
          <w:rFonts w:asciiTheme="minorHAnsi" w:hAnsiTheme="minorHAnsi" w:cstheme="minorHAnsi"/>
          <w:sz w:val="22"/>
        </w:rPr>
        <w:t>owever, based on the low cpm values of the control condition and the size of the error bars, it is likely th</w:t>
      </w:r>
      <w:r>
        <w:rPr>
          <w:rFonts w:asciiTheme="minorHAnsi" w:hAnsiTheme="minorHAnsi" w:cstheme="minorHAnsi"/>
          <w:sz w:val="22"/>
        </w:rPr>
        <w:t>is was a</w:t>
      </w:r>
      <w:r w:rsidRPr="00695F09">
        <w:rPr>
          <w:rFonts w:asciiTheme="minorHAnsi" w:hAnsiTheme="minorHAnsi" w:cstheme="minorHAnsi"/>
          <w:sz w:val="22"/>
        </w:rPr>
        <w:t xml:space="preserve"> </w:t>
      </w:r>
      <w:r>
        <w:rPr>
          <w:rFonts w:asciiTheme="minorHAnsi" w:hAnsiTheme="minorHAnsi" w:cstheme="minorHAnsi"/>
          <w:sz w:val="22"/>
        </w:rPr>
        <w:t xml:space="preserve">false </w:t>
      </w:r>
      <w:r w:rsidRPr="00695F09">
        <w:rPr>
          <w:rFonts w:asciiTheme="minorHAnsi" w:hAnsiTheme="minorHAnsi" w:cstheme="minorHAnsi"/>
          <w:sz w:val="22"/>
        </w:rPr>
        <w:t xml:space="preserve">positive. All other subjects displayed no proliferation in the presence of any of the </w:t>
      </w:r>
      <w:r>
        <w:rPr>
          <w:rFonts w:asciiTheme="minorHAnsi" w:hAnsiTheme="minorHAnsi" w:cstheme="minorHAnsi"/>
          <w:sz w:val="22"/>
        </w:rPr>
        <w:t>s</w:t>
      </w:r>
      <w:r w:rsidRPr="001A559C">
        <w:rPr>
          <w:rFonts w:asciiTheme="minorHAnsi" w:hAnsiTheme="minorHAnsi" w:cstheme="minorHAnsi"/>
          <w:sz w:val="22"/>
          <w:szCs w:val="22"/>
        </w:rPr>
        <w:t xml:space="preserve">tudy compounds. Strong T-cell proliferation was induced </w:t>
      </w:r>
      <w:r w:rsidR="001A559C" w:rsidRPr="001A559C">
        <w:rPr>
          <w:rFonts w:asciiTheme="minorHAnsi" w:hAnsiTheme="minorHAnsi" w:cstheme="minorHAnsi"/>
          <w:sz w:val="22"/>
          <w:szCs w:val="22"/>
        </w:rPr>
        <w:t xml:space="preserve">with PBMC from all donors by the positive controls </w:t>
      </w:r>
      <w:r w:rsidRPr="001A559C">
        <w:rPr>
          <w:rFonts w:asciiTheme="minorHAnsi" w:hAnsiTheme="minorHAnsi" w:cstheme="minorHAnsi"/>
          <w:sz w:val="22"/>
          <w:szCs w:val="22"/>
        </w:rPr>
        <w:t xml:space="preserve">PHA and </w:t>
      </w:r>
      <w:r w:rsidR="001A559C" w:rsidRPr="001A559C">
        <w:rPr>
          <w:rFonts w:asciiTheme="minorHAnsi" w:hAnsiTheme="minorHAnsi" w:cstheme="minorHAnsi"/>
          <w:sz w:val="22"/>
          <w:szCs w:val="22"/>
        </w:rPr>
        <w:t>tetanus toxoid</w:t>
      </w:r>
      <w:r w:rsidR="0016176F">
        <w:rPr>
          <w:rFonts w:asciiTheme="minorHAnsi" w:hAnsiTheme="minorHAnsi" w:cstheme="minorHAnsi"/>
          <w:sz w:val="22"/>
          <w:szCs w:val="22"/>
        </w:rPr>
        <w:t xml:space="preserve"> (data not shown)</w:t>
      </w:r>
      <w:r>
        <w:t>.</w:t>
      </w:r>
    </w:p>
    <w:p w14:paraId="6082F360" w14:textId="1465E458" w:rsidR="007A741A" w:rsidRPr="00CA4746" w:rsidRDefault="00695F09" w:rsidP="0023715D">
      <w:pPr>
        <w:spacing w:line="480" w:lineRule="auto"/>
        <w:jc w:val="both"/>
        <w:rPr>
          <w:rFonts w:cstheme="minorHAnsi"/>
        </w:rPr>
      </w:pPr>
      <w:r>
        <w:t xml:space="preserve">Secretion of granzyme B was observed in response to the DIAT metabolite in patient 6, but no other compounds (Figure </w:t>
      </w:r>
      <w:r w:rsidR="00A06E7C">
        <w:t>1B</w:t>
      </w:r>
      <w:r>
        <w:t xml:space="preserve">). </w:t>
      </w:r>
      <w:r w:rsidR="001A559C">
        <w:t>IFN-</w:t>
      </w:r>
      <w:r w:rsidR="001A559C">
        <w:sym w:font="Symbol" w:char="F067"/>
      </w:r>
      <w:r w:rsidR="001A559C">
        <w:t xml:space="preserve"> secretion was not detected. </w:t>
      </w:r>
      <w:r>
        <w:t>Furthermore, no secretion of IFN-</w:t>
      </w:r>
      <w:r>
        <w:rPr>
          <w:rFonts w:ascii="Calibri" w:hAnsi="Calibri" w:cs="Calibri"/>
        </w:rPr>
        <w:t>γ</w:t>
      </w:r>
      <w:r>
        <w:t xml:space="preserve"> or </w:t>
      </w:r>
      <w:r w:rsidR="001A559C">
        <w:t xml:space="preserve">granzyme </w:t>
      </w:r>
      <w:r>
        <w:t xml:space="preserve">B was observed </w:t>
      </w:r>
      <w:r w:rsidR="001A559C">
        <w:t xml:space="preserve">from PBMC of other patients with any of the study compounds. </w:t>
      </w:r>
      <w:r>
        <w:t xml:space="preserve">Strong secretion of </w:t>
      </w:r>
      <w:r w:rsidR="00DF3FA2">
        <w:t>IFN-</w:t>
      </w:r>
      <w:r w:rsidR="00DF3FA2">
        <w:sym w:font="Symbol" w:char="F067"/>
      </w:r>
      <w:r w:rsidR="00DF3FA2">
        <w:t xml:space="preserve"> and granzyme B</w:t>
      </w:r>
      <w:r>
        <w:t xml:space="preserve"> was observed in response to PHA. Finally, no </w:t>
      </w:r>
      <w:r w:rsidR="00AF31EB">
        <w:t xml:space="preserve">proliferation or </w:t>
      </w:r>
      <w:r>
        <w:t>secretion of IFN-</w:t>
      </w:r>
      <w:r>
        <w:rPr>
          <w:rFonts w:ascii="Calibri" w:hAnsi="Calibri" w:cs="Calibri"/>
        </w:rPr>
        <w:t>γ</w:t>
      </w:r>
      <w:r>
        <w:t xml:space="preserve"> or </w:t>
      </w:r>
      <w:r w:rsidR="001A559C">
        <w:t xml:space="preserve">granzyme </w:t>
      </w:r>
      <w:r>
        <w:t xml:space="preserve">B was observed in healthy volunteers in response to </w:t>
      </w:r>
      <w:r w:rsidR="001A559C" w:rsidRPr="00695F09">
        <w:rPr>
          <w:rFonts w:cstheme="minorHAnsi"/>
        </w:rPr>
        <w:t>atabecestat</w:t>
      </w:r>
      <w:r>
        <w:t xml:space="preserve">, DIAT and </w:t>
      </w:r>
      <w:r w:rsidR="001A559C" w:rsidRPr="00695F09">
        <w:rPr>
          <w:rFonts w:cstheme="minorHAnsi"/>
        </w:rPr>
        <w:t xml:space="preserve">atabecestat </w:t>
      </w:r>
      <w:r w:rsidR="001A559C">
        <w:rPr>
          <w:rFonts w:cstheme="minorHAnsi"/>
        </w:rPr>
        <w:t>e</w:t>
      </w:r>
      <w:r>
        <w:t>poxide</w:t>
      </w:r>
      <w:r w:rsidR="001A559C">
        <w:t>.</w:t>
      </w:r>
    </w:p>
    <w:p w14:paraId="0B97FF9E" w14:textId="13A55AFD" w:rsidR="0037683A" w:rsidRPr="0037683A" w:rsidRDefault="00D428D5" w:rsidP="0023715D">
      <w:pPr>
        <w:spacing w:line="480" w:lineRule="auto"/>
        <w:jc w:val="both"/>
        <w:rPr>
          <w:rFonts w:cstheme="minorHAnsi"/>
          <w:b/>
          <w:sz w:val="24"/>
        </w:rPr>
      </w:pPr>
      <w:r w:rsidRPr="0037683A">
        <w:rPr>
          <w:rFonts w:cstheme="minorHAnsi"/>
          <w:b/>
          <w:sz w:val="24"/>
        </w:rPr>
        <w:t xml:space="preserve">Atabecestat and its metabolites activate T-cell clones from patients with liver injury </w:t>
      </w:r>
    </w:p>
    <w:p w14:paraId="77D24AF1" w14:textId="6DFCB2C9" w:rsidR="00E57401" w:rsidRDefault="0016176F" w:rsidP="0023715D">
      <w:pPr>
        <w:spacing w:line="480" w:lineRule="auto"/>
        <w:jc w:val="both"/>
        <w:rPr>
          <w:rFonts w:cstheme="minorHAnsi"/>
        </w:rPr>
      </w:pPr>
      <w:r>
        <w:rPr>
          <w:rFonts w:cstheme="minorHAnsi"/>
        </w:rPr>
        <w:t xml:space="preserve">T-cell clones were generated from patients with liver injury to assess cellular phenotype, drug cross-reactivity and pathways of drug presentation. </w:t>
      </w:r>
      <w:r w:rsidR="005A2DF4">
        <w:rPr>
          <w:rFonts w:cstheme="minorHAnsi"/>
        </w:rPr>
        <w:t>During initial proliferation testing of clones with medium and study compounds</w:t>
      </w:r>
      <w:r w:rsidR="00D37934">
        <w:rPr>
          <w:rFonts w:cstheme="minorHAnsi"/>
        </w:rPr>
        <w:t>,</w:t>
      </w:r>
      <w:r w:rsidR="005A2DF4">
        <w:rPr>
          <w:rFonts w:cstheme="minorHAnsi"/>
        </w:rPr>
        <w:t xml:space="preserve"> </w:t>
      </w:r>
      <w:r w:rsidR="005A2DF4" w:rsidRPr="005A2DF4">
        <w:rPr>
          <w:rFonts w:cstheme="minorHAnsi"/>
        </w:rPr>
        <w:t>ata</w:t>
      </w:r>
      <w:r w:rsidR="005A2DF4">
        <w:rPr>
          <w:rFonts w:cstheme="minorHAnsi"/>
        </w:rPr>
        <w:t>becestat (10 μM), DIAT (25 μM)</w:t>
      </w:r>
      <w:r w:rsidR="005A2DF4" w:rsidRPr="005A2DF4">
        <w:rPr>
          <w:rFonts w:cstheme="minorHAnsi"/>
        </w:rPr>
        <w:t xml:space="preserve">, acetyl DIAT (25μM) and </w:t>
      </w:r>
      <w:r w:rsidR="005A2DF4" w:rsidRPr="005A2DF4">
        <w:rPr>
          <w:rFonts w:cstheme="minorHAnsi"/>
        </w:rPr>
        <w:lastRenderedPageBreak/>
        <w:t>atabecestat epoxide (10μM)</w:t>
      </w:r>
      <w:r w:rsidR="00D37934">
        <w:rPr>
          <w:rFonts w:cstheme="minorHAnsi"/>
        </w:rPr>
        <w:t>,</w:t>
      </w:r>
      <w:r w:rsidR="005A2DF4">
        <w:rPr>
          <w:rFonts w:cstheme="minorHAnsi"/>
        </w:rPr>
        <w:t xml:space="preserve"> using duplicate cultures, </w:t>
      </w:r>
      <w:r w:rsidR="00487E3C">
        <w:rPr>
          <w:rFonts w:cstheme="minorHAnsi"/>
        </w:rPr>
        <w:t>responsive</w:t>
      </w:r>
      <w:r w:rsidR="003A47F7" w:rsidRPr="00CA4746">
        <w:rPr>
          <w:rFonts w:cstheme="minorHAnsi"/>
        </w:rPr>
        <w:t xml:space="preserve"> T-cell clones </w:t>
      </w:r>
      <w:r w:rsidR="0018323F" w:rsidRPr="00CA4746">
        <w:rPr>
          <w:rFonts w:cstheme="minorHAnsi"/>
        </w:rPr>
        <w:t xml:space="preserve">were </w:t>
      </w:r>
      <w:r w:rsidR="001D1776">
        <w:rPr>
          <w:rFonts w:cstheme="minorHAnsi"/>
        </w:rPr>
        <w:t>generated</w:t>
      </w:r>
      <w:r w:rsidR="003A47F7" w:rsidRPr="00CA4746">
        <w:rPr>
          <w:rFonts w:cstheme="minorHAnsi"/>
        </w:rPr>
        <w:t xml:space="preserve"> to </w:t>
      </w:r>
      <w:r w:rsidR="00487E3C" w:rsidRPr="00695F09">
        <w:rPr>
          <w:rFonts w:cstheme="minorHAnsi"/>
        </w:rPr>
        <w:t xml:space="preserve">atabecestat </w:t>
      </w:r>
      <w:r w:rsidR="003A47F7" w:rsidRPr="00CA4746">
        <w:rPr>
          <w:rFonts w:cstheme="minorHAnsi"/>
        </w:rPr>
        <w:t>from patients</w:t>
      </w:r>
      <w:r w:rsidR="00037683">
        <w:rPr>
          <w:rFonts w:cstheme="minorHAnsi"/>
        </w:rPr>
        <w:t xml:space="preserve"> 4,</w:t>
      </w:r>
      <w:r w:rsidR="003A47F7" w:rsidRPr="00CA4746">
        <w:rPr>
          <w:rFonts w:cstheme="minorHAnsi"/>
        </w:rPr>
        <w:t xml:space="preserve"> 5 and 6, while </w:t>
      </w:r>
      <w:r w:rsidR="00632276" w:rsidRPr="00CA4746">
        <w:rPr>
          <w:rFonts w:cstheme="minorHAnsi"/>
        </w:rPr>
        <w:t xml:space="preserve">DIAT </w:t>
      </w:r>
      <w:r w:rsidR="003A47F7" w:rsidRPr="00CA4746">
        <w:rPr>
          <w:rFonts w:cstheme="minorHAnsi"/>
        </w:rPr>
        <w:t xml:space="preserve">responsive </w:t>
      </w:r>
      <w:r w:rsidR="00632276" w:rsidRPr="00CA4746">
        <w:rPr>
          <w:rFonts w:cstheme="minorHAnsi"/>
        </w:rPr>
        <w:t xml:space="preserve">T-cell clones were generated </w:t>
      </w:r>
      <w:r w:rsidR="003A47F7" w:rsidRPr="00CA4746">
        <w:rPr>
          <w:rFonts w:cstheme="minorHAnsi"/>
        </w:rPr>
        <w:t>from patients 1, 5, 6, 9 and 12</w:t>
      </w:r>
      <w:r w:rsidR="0037683A">
        <w:rPr>
          <w:rFonts w:cstheme="minorHAnsi"/>
        </w:rPr>
        <w:t xml:space="preserve"> </w:t>
      </w:r>
      <w:r w:rsidR="001D1776">
        <w:rPr>
          <w:rFonts w:cstheme="minorHAnsi"/>
        </w:rPr>
        <w:t>(</w:t>
      </w:r>
      <w:r w:rsidR="008477B8">
        <w:rPr>
          <w:rFonts w:cstheme="minorHAnsi"/>
        </w:rPr>
        <w:t xml:space="preserve">Supplementary </w:t>
      </w:r>
      <w:r w:rsidR="001D1776">
        <w:rPr>
          <w:rFonts w:cstheme="minorHAnsi"/>
        </w:rPr>
        <w:t>Table 2)</w:t>
      </w:r>
      <w:r w:rsidR="003A47F7" w:rsidRPr="00CA4746">
        <w:rPr>
          <w:rFonts w:cstheme="minorHAnsi"/>
        </w:rPr>
        <w:t>.</w:t>
      </w:r>
      <w:r w:rsidR="0018323F" w:rsidRPr="00CA4746">
        <w:rPr>
          <w:rFonts w:cstheme="minorHAnsi"/>
        </w:rPr>
        <w:t xml:space="preserve"> </w:t>
      </w:r>
      <w:r w:rsidR="00487E3C">
        <w:rPr>
          <w:rFonts w:cstheme="minorHAnsi"/>
        </w:rPr>
        <w:t>Acetyl-</w:t>
      </w:r>
      <w:r w:rsidR="00487E3C" w:rsidRPr="00CA4746">
        <w:rPr>
          <w:rFonts w:cstheme="minorHAnsi"/>
        </w:rPr>
        <w:t xml:space="preserve">DIAT responsive </w:t>
      </w:r>
      <w:r w:rsidR="00487E3C">
        <w:rPr>
          <w:rFonts w:cstheme="minorHAnsi"/>
        </w:rPr>
        <w:t>clones were o</w:t>
      </w:r>
      <w:r w:rsidR="0018323F" w:rsidRPr="00CA4746">
        <w:rPr>
          <w:rFonts w:cstheme="minorHAnsi"/>
        </w:rPr>
        <w:t xml:space="preserve">nly </w:t>
      </w:r>
      <w:r w:rsidR="00487E3C">
        <w:rPr>
          <w:rFonts w:cstheme="minorHAnsi"/>
        </w:rPr>
        <w:t xml:space="preserve">generated </w:t>
      </w:r>
      <w:r w:rsidR="0018323F" w:rsidRPr="00CA4746">
        <w:rPr>
          <w:rFonts w:cstheme="minorHAnsi"/>
        </w:rPr>
        <w:t>from patient 6</w:t>
      </w:r>
      <w:r w:rsidR="001D1776">
        <w:rPr>
          <w:rFonts w:cstheme="minorHAnsi"/>
        </w:rPr>
        <w:t>, while weakly-</w:t>
      </w:r>
      <w:r w:rsidR="001D1776" w:rsidRPr="001D1776">
        <w:rPr>
          <w:rFonts w:cstheme="minorHAnsi"/>
        </w:rPr>
        <w:t xml:space="preserve"> </w:t>
      </w:r>
      <w:r w:rsidR="001D1776">
        <w:rPr>
          <w:rFonts w:cstheme="minorHAnsi"/>
        </w:rPr>
        <w:t>atabecestat epoxide-responsive c</w:t>
      </w:r>
      <w:r w:rsidR="00487E3C">
        <w:rPr>
          <w:rFonts w:cstheme="minorHAnsi"/>
        </w:rPr>
        <w:t xml:space="preserve">lones were </w:t>
      </w:r>
      <w:r w:rsidR="001D1776">
        <w:rPr>
          <w:rFonts w:cstheme="minorHAnsi"/>
        </w:rPr>
        <w:t>observed in patients 4, 6 and 12</w:t>
      </w:r>
      <w:r w:rsidR="0018323F" w:rsidRPr="00CA4746">
        <w:rPr>
          <w:rFonts w:cstheme="minorHAnsi"/>
        </w:rPr>
        <w:t>.</w:t>
      </w:r>
      <w:r w:rsidR="003A47F7" w:rsidRPr="00CA4746">
        <w:rPr>
          <w:rFonts w:cstheme="minorHAnsi"/>
        </w:rPr>
        <w:t xml:space="preserve"> </w:t>
      </w:r>
    </w:p>
    <w:p w14:paraId="512CD4C7" w14:textId="58803A73" w:rsidR="003A47F7" w:rsidRPr="00CA4746" w:rsidRDefault="00E57401" w:rsidP="0023715D">
      <w:pPr>
        <w:spacing w:line="480" w:lineRule="auto"/>
        <w:jc w:val="both"/>
        <w:rPr>
          <w:rFonts w:cstheme="minorHAnsi"/>
        </w:rPr>
      </w:pPr>
      <w:r>
        <w:t xml:space="preserve">Confirmation of the responsiveness of T-cell clones after the first testing stage was via a dose response study at compound concentrations of 0-100 </w:t>
      </w:r>
      <w:r>
        <w:rPr>
          <w:rFonts w:ascii="Calibri" w:hAnsi="Calibri"/>
        </w:rPr>
        <w:t>µ</w:t>
      </w:r>
      <w:r>
        <w:t>M (</w:t>
      </w:r>
      <w:r w:rsidR="006F1231">
        <w:t>duplicate</w:t>
      </w:r>
      <w:r>
        <w:t xml:space="preserve"> conditions per culture condition). </w:t>
      </w:r>
      <w:r w:rsidR="007F14C0">
        <w:t>Four, ten and three</w:t>
      </w:r>
      <w:r>
        <w:t xml:space="preserve"> </w:t>
      </w:r>
      <w:r w:rsidR="007F14C0">
        <w:t>T-</w:t>
      </w:r>
      <w:r>
        <w:t xml:space="preserve">cell clones </w:t>
      </w:r>
      <w:r w:rsidR="007F14C0">
        <w:t xml:space="preserve">were stimulated to proliferate </w:t>
      </w:r>
      <w:r w:rsidR="007F14C0">
        <w:rPr>
          <w:rFonts w:cstheme="minorHAnsi"/>
        </w:rPr>
        <w:t>in a dose-dependent manner</w:t>
      </w:r>
      <w:r w:rsidR="007F14C0">
        <w:t xml:space="preserve"> with </w:t>
      </w:r>
      <w:r w:rsidR="007F14C0" w:rsidRPr="005A2DF4">
        <w:rPr>
          <w:rFonts w:cstheme="minorHAnsi"/>
        </w:rPr>
        <w:t>ata</w:t>
      </w:r>
      <w:r w:rsidR="007F14C0">
        <w:rPr>
          <w:rFonts w:cstheme="minorHAnsi"/>
        </w:rPr>
        <w:t>becestat, DIAT and acetyl DIAT, respectively</w:t>
      </w:r>
      <w:r w:rsidR="00B464A2" w:rsidRPr="00B464A2">
        <w:rPr>
          <w:rFonts w:cstheme="minorHAnsi"/>
        </w:rPr>
        <w:t xml:space="preserve"> </w:t>
      </w:r>
      <w:r w:rsidR="00B464A2">
        <w:rPr>
          <w:rFonts w:cstheme="minorHAnsi"/>
        </w:rPr>
        <w:t>(Supplementary Figure 1A)</w:t>
      </w:r>
      <w:r w:rsidR="007F14C0">
        <w:rPr>
          <w:rFonts w:cstheme="minorHAnsi"/>
        </w:rPr>
        <w:t xml:space="preserve">. </w:t>
      </w:r>
      <w:r w:rsidR="00B464A2">
        <w:rPr>
          <w:rFonts w:cstheme="minorHAnsi"/>
        </w:rPr>
        <w:t xml:space="preserve">The proliferative response of all clones generated from patient 6 is shown in Figure 1C. </w:t>
      </w:r>
      <w:r w:rsidR="007D0046">
        <w:rPr>
          <w:rFonts w:cstheme="minorHAnsi"/>
        </w:rPr>
        <w:t xml:space="preserve">Treatment of the clones with atabecestat resulted in a reverse dose-response (lower proliferation at higher concentrations). This was not associated with atabecestat-induced T-cell toxicity; furthermore, concentrations of 10 µM and below did not lead to significant levels of proliferation (results not shown). </w:t>
      </w:r>
      <w:r>
        <w:t xml:space="preserve">No responsive T-cell clones were identified to </w:t>
      </w:r>
      <w:r w:rsidR="007F14C0" w:rsidRPr="005A2DF4">
        <w:rPr>
          <w:rFonts w:cstheme="minorHAnsi"/>
        </w:rPr>
        <w:t>ata</w:t>
      </w:r>
      <w:r w:rsidR="007F14C0">
        <w:rPr>
          <w:rFonts w:cstheme="minorHAnsi"/>
        </w:rPr>
        <w:t xml:space="preserve">becestat epoxide. </w:t>
      </w:r>
      <w:r w:rsidR="003A47F7" w:rsidRPr="00CA4746">
        <w:rPr>
          <w:rFonts w:cstheme="minorHAnsi"/>
        </w:rPr>
        <w:t xml:space="preserve">The total number of </w:t>
      </w:r>
      <w:r w:rsidR="00487E3C">
        <w:rPr>
          <w:rFonts w:cstheme="minorHAnsi"/>
        </w:rPr>
        <w:t>study compound-</w:t>
      </w:r>
      <w:r w:rsidR="003A47F7" w:rsidRPr="00CA4746">
        <w:rPr>
          <w:rFonts w:cstheme="minorHAnsi"/>
        </w:rPr>
        <w:t xml:space="preserve">responsive T-cell clones </w:t>
      </w:r>
      <w:r w:rsidR="009E206C">
        <w:rPr>
          <w:rFonts w:cstheme="minorHAnsi"/>
        </w:rPr>
        <w:t xml:space="preserve">and percentage of responsive clones </w:t>
      </w:r>
      <w:r w:rsidR="003A47F7" w:rsidRPr="00CA4746">
        <w:rPr>
          <w:rFonts w:cstheme="minorHAnsi"/>
        </w:rPr>
        <w:t xml:space="preserve">generated </w:t>
      </w:r>
      <w:r w:rsidR="007F14C0">
        <w:rPr>
          <w:rFonts w:cstheme="minorHAnsi"/>
        </w:rPr>
        <w:t xml:space="preserve">during initial testing and after dose-responsive assessment </w:t>
      </w:r>
      <w:r w:rsidR="00487E3C">
        <w:rPr>
          <w:rFonts w:cstheme="minorHAnsi"/>
        </w:rPr>
        <w:t>from</w:t>
      </w:r>
      <w:r w:rsidR="003A47F7" w:rsidRPr="00CA4746">
        <w:rPr>
          <w:rFonts w:cstheme="minorHAnsi"/>
        </w:rPr>
        <w:t xml:space="preserve"> each patient </w:t>
      </w:r>
      <w:r w:rsidR="00487E3C">
        <w:rPr>
          <w:rFonts w:cstheme="minorHAnsi"/>
        </w:rPr>
        <w:t xml:space="preserve">is </w:t>
      </w:r>
      <w:r w:rsidR="003038CA">
        <w:rPr>
          <w:rFonts w:cstheme="minorHAnsi"/>
        </w:rPr>
        <w:t>summari</w:t>
      </w:r>
      <w:r w:rsidR="00AD26CA">
        <w:rPr>
          <w:rFonts w:cstheme="minorHAnsi"/>
        </w:rPr>
        <w:t>s</w:t>
      </w:r>
      <w:r w:rsidR="003038CA">
        <w:rPr>
          <w:rFonts w:cstheme="minorHAnsi"/>
        </w:rPr>
        <w:t>ed</w:t>
      </w:r>
      <w:r w:rsidR="003A47F7" w:rsidRPr="00CA4746">
        <w:rPr>
          <w:rFonts w:cstheme="minorHAnsi"/>
        </w:rPr>
        <w:t xml:space="preserve"> in </w:t>
      </w:r>
      <w:r w:rsidR="008477B8">
        <w:rPr>
          <w:rFonts w:cstheme="minorHAnsi"/>
        </w:rPr>
        <w:t xml:space="preserve">Supplementary </w:t>
      </w:r>
      <w:r w:rsidR="004F2D54" w:rsidRPr="00CA4746">
        <w:rPr>
          <w:rFonts w:cstheme="minorHAnsi"/>
        </w:rPr>
        <w:t xml:space="preserve">Table 2. </w:t>
      </w:r>
      <w:r w:rsidR="007F14C0">
        <w:rPr>
          <w:rFonts w:cstheme="minorHAnsi"/>
        </w:rPr>
        <w:t xml:space="preserve"> </w:t>
      </w:r>
      <w:r w:rsidR="003A47F7" w:rsidRPr="00CA4746">
        <w:rPr>
          <w:rFonts w:cstheme="minorHAnsi"/>
        </w:rPr>
        <w:t xml:space="preserve">  </w:t>
      </w:r>
    </w:p>
    <w:p w14:paraId="481D4580" w14:textId="77777777" w:rsidR="00825540" w:rsidRPr="00CA4746" w:rsidRDefault="00825540" w:rsidP="00825540">
      <w:pPr>
        <w:pStyle w:val="Heading3"/>
        <w:spacing w:line="480" w:lineRule="auto"/>
        <w:jc w:val="both"/>
        <w:rPr>
          <w:rFonts w:asciiTheme="minorHAnsi" w:hAnsiTheme="minorHAnsi" w:cstheme="minorHAnsi"/>
        </w:rPr>
      </w:pPr>
      <w:r>
        <w:rPr>
          <w:rFonts w:asciiTheme="minorHAnsi" w:hAnsiTheme="minorHAnsi" w:cstheme="minorHAnsi"/>
        </w:rPr>
        <w:t>P</w:t>
      </w:r>
      <w:r w:rsidRPr="00CA4746">
        <w:rPr>
          <w:rFonts w:asciiTheme="minorHAnsi" w:hAnsiTheme="minorHAnsi" w:cstheme="minorHAnsi"/>
        </w:rPr>
        <w:t xml:space="preserve">henotype of </w:t>
      </w:r>
      <w:r>
        <w:rPr>
          <w:rFonts w:asciiTheme="minorHAnsi" w:hAnsiTheme="minorHAnsi" w:cstheme="minorHAnsi"/>
        </w:rPr>
        <w:t>study compound</w:t>
      </w:r>
      <w:r w:rsidRPr="00CA4746">
        <w:rPr>
          <w:rFonts w:asciiTheme="minorHAnsi" w:hAnsiTheme="minorHAnsi" w:cstheme="minorHAnsi"/>
        </w:rPr>
        <w:t>-responsive T-cell clones</w:t>
      </w:r>
    </w:p>
    <w:p w14:paraId="26000E1A" w14:textId="60B2807A" w:rsidR="00825540" w:rsidRDefault="00825540" w:rsidP="00825540">
      <w:pPr>
        <w:spacing w:line="480" w:lineRule="auto"/>
        <w:jc w:val="both"/>
        <w:rPr>
          <w:rFonts w:cstheme="minorHAnsi"/>
        </w:rPr>
      </w:pPr>
      <w:r w:rsidRPr="00CA4746">
        <w:rPr>
          <w:rFonts w:cstheme="minorHAnsi"/>
        </w:rPr>
        <w:t xml:space="preserve">With the exception of one CD8+ T-cell clone (patient 6; </w:t>
      </w:r>
      <w:r w:rsidR="00F9405B">
        <w:rPr>
          <w:rFonts w:cstheme="minorHAnsi"/>
        </w:rPr>
        <w:t>atabecestat</w:t>
      </w:r>
      <w:r w:rsidR="00D819B0">
        <w:rPr>
          <w:rFonts w:cstheme="minorHAnsi"/>
        </w:rPr>
        <w:t>-responsive</w:t>
      </w:r>
      <w:r w:rsidRPr="00CA4746">
        <w:rPr>
          <w:rFonts w:cstheme="minorHAnsi"/>
        </w:rPr>
        <w:t>) and one T-cell clone which was characterised as double positive (patient 5; DIAT</w:t>
      </w:r>
      <w:r w:rsidR="00D819B0">
        <w:rPr>
          <w:rFonts w:cstheme="minorHAnsi"/>
        </w:rPr>
        <w:t>-responsive</w:t>
      </w:r>
      <w:r w:rsidRPr="00CA4746">
        <w:rPr>
          <w:rFonts w:cstheme="minorHAnsi"/>
        </w:rPr>
        <w:t>) all</w:t>
      </w:r>
      <w:r w:rsidR="00F9405B">
        <w:rPr>
          <w:rFonts w:cstheme="minorHAnsi"/>
        </w:rPr>
        <w:t xml:space="preserve"> responsive T-cell clones to</w:t>
      </w:r>
      <w:r w:rsidRPr="00CA4746">
        <w:rPr>
          <w:rFonts w:cstheme="minorHAnsi"/>
        </w:rPr>
        <w:t xml:space="preserve"> </w:t>
      </w:r>
      <w:r w:rsidR="00F9405B">
        <w:rPr>
          <w:rFonts w:cstheme="minorHAnsi"/>
        </w:rPr>
        <w:t>atabecestat</w:t>
      </w:r>
      <w:r w:rsidRPr="00CA4746">
        <w:rPr>
          <w:rFonts w:cstheme="minorHAnsi"/>
        </w:rPr>
        <w:t xml:space="preserve">, DIAT and </w:t>
      </w:r>
      <w:r w:rsidR="00F9405B">
        <w:rPr>
          <w:rFonts w:cstheme="minorHAnsi"/>
        </w:rPr>
        <w:t>acetyl DIAT</w:t>
      </w:r>
      <w:r w:rsidRPr="00CA4746">
        <w:rPr>
          <w:rFonts w:cstheme="minorHAnsi"/>
        </w:rPr>
        <w:t xml:space="preserve"> were phenotyped as CD4+ (</w:t>
      </w:r>
      <w:r w:rsidR="00C2222D">
        <w:rPr>
          <w:rFonts w:cstheme="minorHAnsi"/>
        </w:rPr>
        <w:t xml:space="preserve">Supplementary </w:t>
      </w:r>
      <w:r w:rsidRPr="00CA4746">
        <w:rPr>
          <w:rFonts w:cstheme="minorHAnsi"/>
        </w:rPr>
        <w:t xml:space="preserve">Figure </w:t>
      </w:r>
      <w:r w:rsidR="00C2222D">
        <w:rPr>
          <w:rFonts w:cstheme="minorHAnsi"/>
        </w:rPr>
        <w:t>1</w:t>
      </w:r>
      <w:r w:rsidR="00F9405B">
        <w:rPr>
          <w:rFonts w:cstheme="minorHAnsi"/>
        </w:rPr>
        <w:t>B</w:t>
      </w:r>
      <w:r w:rsidRPr="00CA4746">
        <w:rPr>
          <w:rFonts w:cstheme="minorHAnsi"/>
        </w:rPr>
        <w:t xml:space="preserve">). Across the T-cell clones tested, a varied expression of TCR-Vβ was detected to the parent drug and the DIAT metabolite, with expression of rare TCRs </w:t>
      </w:r>
      <w:r w:rsidR="00F9405B">
        <w:rPr>
          <w:rFonts w:cstheme="minorHAnsi"/>
        </w:rPr>
        <w:t>(</w:t>
      </w:r>
      <w:r w:rsidRPr="00CA4746">
        <w:rPr>
          <w:rFonts w:cstheme="minorHAnsi"/>
        </w:rPr>
        <w:t xml:space="preserve">not </w:t>
      </w:r>
      <w:r w:rsidR="00F9405B">
        <w:rPr>
          <w:rFonts w:cstheme="minorHAnsi"/>
        </w:rPr>
        <w:t>detected</w:t>
      </w:r>
      <w:r w:rsidRPr="00CA4746">
        <w:rPr>
          <w:rFonts w:cstheme="minorHAnsi"/>
        </w:rPr>
        <w:t xml:space="preserve"> by the antibodies</w:t>
      </w:r>
      <w:r w:rsidR="00F9405B">
        <w:rPr>
          <w:rFonts w:cstheme="minorHAnsi"/>
        </w:rPr>
        <w:t xml:space="preserve"> in the kit)</w:t>
      </w:r>
      <w:r w:rsidRPr="00CA4746">
        <w:rPr>
          <w:rFonts w:cstheme="minorHAnsi"/>
        </w:rPr>
        <w:t xml:space="preserve"> being predominantly expressed (</w:t>
      </w:r>
      <w:r w:rsidR="00C2222D">
        <w:rPr>
          <w:rFonts w:cstheme="minorHAnsi"/>
        </w:rPr>
        <w:t xml:space="preserve">Supplementary </w:t>
      </w:r>
      <w:r w:rsidRPr="00CA4746">
        <w:rPr>
          <w:rFonts w:cstheme="minorHAnsi"/>
        </w:rPr>
        <w:t xml:space="preserve">Figure </w:t>
      </w:r>
      <w:r w:rsidR="00C2222D">
        <w:rPr>
          <w:rFonts w:cstheme="minorHAnsi"/>
        </w:rPr>
        <w:t>1</w:t>
      </w:r>
      <w:r w:rsidR="00F9405B">
        <w:rPr>
          <w:rFonts w:cstheme="minorHAnsi"/>
        </w:rPr>
        <w:t>C</w:t>
      </w:r>
      <w:r w:rsidRPr="00CA4746">
        <w:rPr>
          <w:rFonts w:cstheme="minorHAnsi"/>
        </w:rPr>
        <w:t xml:space="preserve">). </w:t>
      </w:r>
      <w:r w:rsidR="00F9405B">
        <w:rPr>
          <w:rFonts w:cstheme="minorHAnsi"/>
        </w:rPr>
        <w:t>Chemokine receptor expression was assessed using six atabecestat- or DIAT-responsive clones</w:t>
      </w:r>
      <w:r w:rsidR="00050BD7">
        <w:rPr>
          <w:rFonts w:cstheme="minorHAnsi"/>
        </w:rPr>
        <w:t xml:space="preserve"> expressing a single TCR</w:t>
      </w:r>
      <w:r w:rsidR="00F9405B">
        <w:rPr>
          <w:rFonts w:cstheme="minorHAnsi"/>
        </w:rPr>
        <w:t xml:space="preserve">.  </w:t>
      </w:r>
      <w:r w:rsidR="00F9405B">
        <w:t xml:space="preserve">All tested T-cell clones expressed CXCR3, while the early activation marker CD69 and CCR4 were expressed on 5/6 clones. </w:t>
      </w:r>
      <w:r w:rsidRPr="00CA4746">
        <w:rPr>
          <w:rFonts w:cstheme="minorHAnsi"/>
        </w:rPr>
        <w:t>E-</w:t>
      </w:r>
      <w:r w:rsidRPr="00CA4746">
        <w:rPr>
          <w:rFonts w:cstheme="minorHAnsi"/>
        </w:rPr>
        <w:lastRenderedPageBreak/>
        <w:t xml:space="preserve">cadherin was </w:t>
      </w:r>
      <w:r w:rsidR="003B7688">
        <w:t xml:space="preserve">expressed across some of the clones </w:t>
      </w:r>
      <w:r w:rsidRPr="00CA4746">
        <w:rPr>
          <w:rFonts w:cstheme="minorHAnsi"/>
        </w:rPr>
        <w:t>(</w:t>
      </w:r>
      <w:r w:rsidR="00C2222D">
        <w:rPr>
          <w:rFonts w:cstheme="minorHAnsi"/>
        </w:rPr>
        <w:t xml:space="preserve">Supplementary </w:t>
      </w:r>
      <w:r w:rsidRPr="00CA4746">
        <w:rPr>
          <w:rFonts w:cstheme="minorHAnsi"/>
        </w:rPr>
        <w:t xml:space="preserve">Figure </w:t>
      </w:r>
      <w:r w:rsidR="00C2222D">
        <w:rPr>
          <w:rFonts w:cstheme="minorHAnsi"/>
        </w:rPr>
        <w:t>1</w:t>
      </w:r>
      <w:r w:rsidR="00DF3FA2">
        <w:rPr>
          <w:rFonts w:cstheme="minorHAnsi"/>
        </w:rPr>
        <w:t>D</w:t>
      </w:r>
      <w:r w:rsidRPr="00CA4746">
        <w:rPr>
          <w:rFonts w:cstheme="minorHAnsi"/>
        </w:rPr>
        <w:t>).</w:t>
      </w:r>
      <w:r w:rsidR="00274111">
        <w:rPr>
          <w:rFonts w:cstheme="minorHAnsi"/>
        </w:rPr>
        <w:t xml:space="preserve"> CXCR3 and CCR4 are involved in the recruitment of Th1 and Th2 cells </w:t>
      </w:r>
      <w:r w:rsidR="00274111">
        <w:rPr>
          <w:rFonts w:cstheme="minorHAnsi"/>
          <w:noProof/>
        </w:rPr>
        <w:t>(14, 15)</w:t>
      </w:r>
      <w:r w:rsidR="00274111">
        <w:rPr>
          <w:rFonts w:cstheme="minorHAnsi"/>
        </w:rPr>
        <w:t>, respectively.</w:t>
      </w:r>
    </w:p>
    <w:p w14:paraId="52CFE001" w14:textId="77777777" w:rsidR="00050BD7" w:rsidRPr="00050BD7" w:rsidRDefault="00050BD7" w:rsidP="00050BD7">
      <w:pPr>
        <w:spacing w:after="240" w:line="480" w:lineRule="auto"/>
        <w:jc w:val="both"/>
        <w:rPr>
          <w:rFonts w:eastAsia="Times New Roman" w:cstheme="minorHAnsi"/>
          <w:b/>
          <w:szCs w:val="24"/>
        </w:rPr>
      </w:pPr>
      <w:r w:rsidRPr="00050BD7">
        <w:rPr>
          <w:rFonts w:eastAsia="Times New Roman" w:cstheme="minorHAnsi"/>
          <w:b/>
          <w:szCs w:val="24"/>
        </w:rPr>
        <w:t>TCR sequencing</w:t>
      </w:r>
    </w:p>
    <w:p w14:paraId="44CC8A7B" w14:textId="52EBDD9A" w:rsidR="00050BD7" w:rsidRPr="00050BD7" w:rsidRDefault="00050BD7" w:rsidP="00050BD7">
      <w:pPr>
        <w:spacing w:after="240" w:line="480" w:lineRule="auto"/>
        <w:jc w:val="both"/>
        <w:rPr>
          <w:rFonts w:eastAsia="Times New Roman" w:cstheme="minorHAnsi"/>
          <w:szCs w:val="24"/>
        </w:rPr>
      </w:pPr>
      <w:r w:rsidRPr="00050BD7">
        <w:rPr>
          <w:rFonts w:eastAsia="Times New Roman" w:cstheme="minorHAnsi"/>
          <w:szCs w:val="24"/>
        </w:rPr>
        <w:t xml:space="preserve">For sequencing analysis, all </w:t>
      </w:r>
      <w:r w:rsidRPr="00050BD7">
        <w:rPr>
          <w:rFonts w:eastAsia="Times New Roman" w:cstheme="minorHAnsi"/>
          <w:szCs w:val="20"/>
        </w:rPr>
        <w:t>TCR</w:t>
      </w:r>
      <w:r w:rsidRPr="00050BD7">
        <w:rPr>
          <w:rFonts w:eastAsia="Times New Roman" w:cstheme="minorHAnsi"/>
          <w:szCs w:val="20"/>
        </w:rPr>
        <w:sym w:font="Symbol" w:char="F061"/>
      </w:r>
      <w:r w:rsidRPr="00050BD7">
        <w:rPr>
          <w:rFonts w:eastAsia="Times New Roman" w:cstheme="minorHAnsi"/>
          <w:szCs w:val="20"/>
        </w:rPr>
        <w:t xml:space="preserve"> and TCR</w:t>
      </w:r>
      <w:r w:rsidRPr="00050BD7">
        <w:rPr>
          <w:rFonts w:eastAsia="Times New Roman" w:cstheme="minorHAnsi"/>
          <w:szCs w:val="20"/>
        </w:rPr>
        <w:sym w:font="Symbol" w:char="F062"/>
      </w:r>
      <w:r w:rsidRPr="00050BD7">
        <w:rPr>
          <w:rFonts w:eastAsia="Times New Roman" w:cstheme="minorHAnsi"/>
          <w:szCs w:val="20"/>
        </w:rPr>
        <w:t xml:space="preserve"> </w:t>
      </w:r>
      <w:r w:rsidRPr="00050BD7">
        <w:rPr>
          <w:rFonts w:eastAsia="Times New Roman" w:cstheme="minorHAnsi"/>
          <w:szCs w:val="24"/>
        </w:rPr>
        <w:t xml:space="preserve">CDR3 sequences with a fraction &gt;5% of the total reads were retrieved with a minimum total of &gt;500 reads. Assuming these are indeed true single cell clones, we would expect only one functional </w:t>
      </w:r>
      <w:r w:rsidRPr="00050BD7">
        <w:rPr>
          <w:rFonts w:eastAsia="Times New Roman" w:cstheme="minorHAnsi"/>
          <w:szCs w:val="20"/>
        </w:rPr>
        <w:t>TCR</w:t>
      </w:r>
      <w:r w:rsidRPr="00050BD7">
        <w:rPr>
          <w:rFonts w:eastAsia="Times New Roman" w:cstheme="minorHAnsi"/>
          <w:szCs w:val="20"/>
        </w:rPr>
        <w:sym w:font="Symbol" w:char="F062"/>
      </w:r>
      <w:r w:rsidRPr="00050BD7">
        <w:rPr>
          <w:rFonts w:eastAsia="Times New Roman" w:cstheme="minorHAnsi"/>
          <w:szCs w:val="20"/>
        </w:rPr>
        <w:t xml:space="preserve"> </w:t>
      </w:r>
      <w:r w:rsidRPr="00050BD7">
        <w:rPr>
          <w:rFonts w:eastAsia="Times New Roman" w:cstheme="minorHAnsi"/>
          <w:szCs w:val="24"/>
        </w:rPr>
        <w:t xml:space="preserve"> CDR3 sequence in combination with maximum 2 functional </w:t>
      </w:r>
      <w:r w:rsidRPr="00050BD7">
        <w:rPr>
          <w:rFonts w:eastAsia="Times New Roman" w:cstheme="minorHAnsi"/>
          <w:szCs w:val="20"/>
        </w:rPr>
        <w:t>TCR</w:t>
      </w:r>
      <w:r w:rsidRPr="00050BD7">
        <w:rPr>
          <w:rFonts w:eastAsia="Times New Roman" w:cstheme="minorHAnsi"/>
          <w:szCs w:val="20"/>
        </w:rPr>
        <w:sym w:font="Symbol" w:char="F061"/>
      </w:r>
      <w:r w:rsidRPr="00050BD7">
        <w:rPr>
          <w:rFonts w:eastAsia="Times New Roman" w:cstheme="minorHAnsi"/>
          <w:szCs w:val="20"/>
        </w:rPr>
        <w:t xml:space="preserve"> </w:t>
      </w:r>
      <w:r w:rsidRPr="00050BD7">
        <w:rPr>
          <w:rFonts w:eastAsia="Times New Roman" w:cstheme="minorHAnsi"/>
          <w:szCs w:val="24"/>
        </w:rPr>
        <w:t xml:space="preserve">CDR3 sequences for each T cell clone. </w:t>
      </w:r>
      <w:r w:rsidRPr="00050BD7">
        <w:rPr>
          <w:rFonts w:eastAsia="Times New Roman" w:cstheme="minorHAnsi"/>
          <w:szCs w:val="20"/>
        </w:rPr>
        <w:t>TCR sequencing performed on 6 atabecestat- or DIAT-responsive T-cell clones in total from 2 different patients revealed this was</w:t>
      </w:r>
      <w:r w:rsidRPr="00050BD7">
        <w:rPr>
          <w:rFonts w:eastAsia="Times New Roman" w:cstheme="minorHAnsi"/>
          <w:szCs w:val="24"/>
        </w:rPr>
        <w:t xml:space="preserve"> indeed the case for 4 clones (DIAT clones 1-3 and atabecestat clone 2). Two clones displaying 2 TCR</w:t>
      </w:r>
      <w:r w:rsidRPr="00050BD7">
        <w:rPr>
          <w:rFonts w:eastAsia="Times New Roman" w:cstheme="minorHAnsi"/>
          <w:szCs w:val="20"/>
        </w:rPr>
        <w:sym w:font="Symbol" w:char="F062"/>
      </w:r>
      <w:r w:rsidRPr="00050BD7">
        <w:rPr>
          <w:rFonts w:eastAsia="Times New Roman" w:cstheme="minorHAnsi"/>
          <w:szCs w:val="20"/>
        </w:rPr>
        <w:t xml:space="preserve"> </w:t>
      </w:r>
      <w:r w:rsidRPr="00050BD7">
        <w:rPr>
          <w:rFonts w:eastAsia="Times New Roman" w:cstheme="minorHAnsi"/>
          <w:szCs w:val="24"/>
        </w:rPr>
        <w:t xml:space="preserve">CDR3 sequences were detected suggesting that the expansion was not originating from a single clone. Nevertheless, the data from all 6 clones clearly shows that </w:t>
      </w:r>
      <w:r w:rsidRPr="00050BD7">
        <w:rPr>
          <w:rFonts w:eastAsia="Times New Roman" w:cstheme="minorHAnsi"/>
          <w:szCs w:val="20"/>
        </w:rPr>
        <w:t>atabecestat- and DIAT-responsive T-cells express different TCR</w:t>
      </w:r>
      <w:r w:rsidRPr="00050BD7">
        <w:rPr>
          <w:rFonts w:eastAsia="Times New Roman" w:cstheme="minorHAnsi"/>
          <w:szCs w:val="20"/>
        </w:rPr>
        <w:sym w:font="Symbol" w:char="F062"/>
      </w:r>
      <w:r w:rsidRPr="00050BD7">
        <w:rPr>
          <w:rFonts w:eastAsia="Times New Roman" w:cstheme="minorHAnsi"/>
          <w:szCs w:val="20"/>
        </w:rPr>
        <w:t xml:space="preserve"> clonotypes and TCR</w:t>
      </w:r>
      <w:r w:rsidRPr="00050BD7">
        <w:rPr>
          <w:rFonts w:eastAsia="Times New Roman" w:cstheme="minorHAnsi"/>
          <w:szCs w:val="20"/>
        </w:rPr>
        <w:sym w:font="Symbol" w:char="F061"/>
      </w:r>
      <w:r w:rsidRPr="00050BD7">
        <w:rPr>
          <w:rFonts w:eastAsia="Times New Roman" w:cstheme="minorHAnsi"/>
          <w:szCs w:val="20"/>
        </w:rPr>
        <w:t xml:space="preserve"> and </w:t>
      </w:r>
      <w:r w:rsidRPr="00050BD7">
        <w:rPr>
          <w:rFonts w:eastAsia="Times New Roman" w:cstheme="minorHAnsi"/>
          <w:szCs w:val="20"/>
        </w:rPr>
        <w:sym w:font="Symbol" w:char="F062"/>
      </w:r>
      <w:r w:rsidRPr="00050BD7">
        <w:rPr>
          <w:rFonts w:eastAsia="Times New Roman" w:cstheme="minorHAnsi"/>
          <w:szCs w:val="20"/>
        </w:rPr>
        <w:t xml:space="preserve"> pairings. An overview of the T-cell clones t</w:t>
      </w:r>
      <w:r w:rsidR="008477B8">
        <w:rPr>
          <w:rFonts w:eastAsia="Times New Roman" w:cstheme="minorHAnsi"/>
          <w:szCs w:val="20"/>
        </w:rPr>
        <w:t>hat were sequenced is given in Supplementary T</w:t>
      </w:r>
      <w:r w:rsidRPr="00050BD7">
        <w:rPr>
          <w:rFonts w:eastAsia="Times New Roman" w:cstheme="minorHAnsi"/>
          <w:szCs w:val="20"/>
        </w:rPr>
        <w:t>able 3.</w:t>
      </w:r>
    </w:p>
    <w:p w14:paraId="6B29C3AD" w14:textId="25D2BF03" w:rsidR="00825540" w:rsidRPr="00CA4746" w:rsidRDefault="003B7688" w:rsidP="00825540">
      <w:pPr>
        <w:pStyle w:val="Heading3"/>
        <w:spacing w:line="480" w:lineRule="auto"/>
        <w:jc w:val="both"/>
        <w:rPr>
          <w:rFonts w:asciiTheme="minorHAnsi" w:hAnsiTheme="minorHAnsi" w:cstheme="minorHAnsi"/>
        </w:rPr>
      </w:pPr>
      <w:r>
        <w:rPr>
          <w:rFonts w:asciiTheme="minorHAnsi" w:hAnsiTheme="minorHAnsi" w:cstheme="minorHAnsi"/>
        </w:rPr>
        <w:t>Study compound-</w:t>
      </w:r>
      <w:r w:rsidR="00825540" w:rsidRPr="00CA4746">
        <w:rPr>
          <w:rFonts w:asciiTheme="minorHAnsi" w:hAnsiTheme="minorHAnsi" w:cstheme="minorHAnsi"/>
        </w:rPr>
        <w:t xml:space="preserve">responsive T-cell clones </w:t>
      </w:r>
      <w:r>
        <w:rPr>
          <w:rFonts w:asciiTheme="minorHAnsi" w:hAnsiTheme="minorHAnsi" w:cstheme="minorHAnsi"/>
        </w:rPr>
        <w:t>exhibi</w:t>
      </w:r>
      <w:r w:rsidR="00825540" w:rsidRPr="00CA4746">
        <w:rPr>
          <w:rFonts w:asciiTheme="minorHAnsi" w:hAnsiTheme="minorHAnsi" w:cstheme="minorHAnsi"/>
        </w:rPr>
        <w:t xml:space="preserve">t distinct </w:t>
      </w:r>
      <w:r w:rsidRPr="00186B12">
        <w:rPr>
          <w:rFonts w:asciiTheme="minorHAnsi" w:hAnsiTheme="minorHAnsi" w:cstheme="minorHAnsi"/>
        </w:rPr>
        <w:t xml:space="preserve">cytokine </w:t>
      </w:r>
      <w:r w:rsidR="00186B12" w:rsidRPr="00186B12">
        <w:rPr>
          <w:rFonts w:asciiTheme="minorHAnsi" w:hAnsiTheme="minorHAnsi" w:cstheme="minorHAnsi"/>
          <w:bCs/>
        </w:rPr>
        <w:t>and cytolytic molecule</w:t>
      </w:r>
      <w:r w:rsidR="00186B12">
        <w:rPr>
          <w:rFonts w:cstheme="minorHAnsi"/>
          <w:b w:val="0"/>
          <w:bCs/>
        </w:rPr>
        <w:t xml:space="preserve"> </w:t>
      </w:r>
      <w:r>
        <w:rPr>
          <w:rFonts w:asciiTheme="minorHAnsi" w:hAnsiTheme="minorHAnsi" w:cstheme="minorHAnsi"/>
        </w:rPr>
        <w:t>secretion profiles</w:t>
      </w:r>
    </w:p>
    <w:p w14:paraId="2FF7B3F6" w14:textId="6EFE50C4" w:rsidR="00825540" w:rsidRPr="00D813D9" w:rsidRDefault="003B7688" w:rsidP="00825540">
      <w:pPr>
        <w:spacing w:line="480" w:lineRule="auto"/>
        <w:jc w:val="both"/>
        <w:rPr>
          <w:rFonts w:cstheme="minorHAnsi"/>
        </w:rPr>
      </w:pPr>
      <w:r>
        <w:rPr>
          <w:rFonts w:cstheme="minorHAnsi"/>
        </w:rPr>
        <w:t>Secretion of cytokines and cytolytic molecules from o</w:t>
      </w:r>
      <w:r w:rsidR="00825540" w:rsidRPr="00CA4746">
        <w:rPr>
          <w:rFonts w:cstheme="minorHAnsi"/>
        </w:rPr>
        <w:t xml:space="preserve">ne </w:t>
      </w:r>
      <w:r>
        <w:rPr>
          <w:rFonts w:cstheme="minorHAnsi"/>
        </w:rPr>
        <w:t>atabecestat- and five DIAT-</w:t>
      </w:r>
      <w:r w:rsidR="00825540" w:rsidRPr="00CA4746">
        <w:rPr>
          <w:rFonts w:cstheme="minorHAnsi"/>
        </w:rPr>
        <w:t>responsive T-cell clone</w:t>
      </w:r>
      <w:r>
        <w:rPr>
          <w:rFonts w:cstheme="minorHAnsi"/>
        </w:rPr>
        <w:t xml:space="preserve">s </w:t>
      </w:r>
      <w:r w:rsidR="009C0C8B">
        <w:rPr>
          <w:rFonts w:cstheme="minorHAnsi"/>
        </w:rPr>
        <w:t xml:space="preserve">was assayed by ELIspot. </w:t>
      </w:r>
      <w:r w:rsidR="009C0C8B">
        <w:t xml:space="preserve">Secretion of cytokines IFN-γ and IL-13 were detected from all clones. Three clones secreted IL-10 and IL-5, while low levels of IL-22 was also detected in three clones. IL-17 secretion was not detected. Secretion of granzyme B and perforin was detected following study compound treatment </w:t>
      </w:r>
      <w:r w:rsidR="00825540" w:rsidRPr="00CA4746">
        <w:rPr>
          <w:rFonts w:cstheme="minorHAnsi"/>
        </w:rPr>
        <w:t>(</w:t>
      </w:r>
      <w:r w:rsidR="00DF3FA2">
        <w:rPr>
          <w:rFonts w:cstheme="minorHAnsi"/>
        </w:rPr>
        <w:t xml:space="preserve">Figure </w:t>
      </w:r>
      <w:r w:rsidR="00C2222D">
        <w:rPr>
          <w:rFonts w:cstheme="minorHAnsi"/>
        </w:rPr>
        <w:t>2</w:t>
      </w:r>
      <w:r w:rsidR="00825540" w:rsidRPr="00CA4746">
        <w:rPr>
          <w:rFonts w:cstheme="minorHAnsi"/>
        </w:rPr>
        <w:t xml:space="preserve">).  </w:t>
      </w:r>
      <w:r w:rsidR="00D813D9">
        <w:rPr>
          <w:rFonts w:cstheme="minorHAnsi"/>
        </w:rPr>
        <w:t xml:space="preserve">Low levels of killing (2.4-10.8%) of </w:t>
      </w:r>
      <w:r w:rsidR="00B9583D">
        <w:rPr>
          <w:rFonts w:cstheme="minorHAnsi"/>
        </w:rPr>
        <w:t>[</w:t>
      </w:r>
      <w:r w:rsidR="00D813D9">
        <w:rPr>
          <w:rFonts w:cstheme="minorHAnsi"/>
          <w:vertAlign w:val="superscript"/>
        </w:rPr>
        <w:t>51</w:t>
      </w:r>
      <w:r w:rsidR="00D813D9">
        <w:rPr>
          <w:rFonts w:cstheme="minorHAnsi"/>
        </w:rPr>
        <w:t>Cr</w:t>
      </w:r>
      <w:r w:rsidR="00B9583D">
        <w:rPr>
          <w:rFonts w:cstheme="minorHAnsi"/>
        </w:rPr>
        <w:t>]</w:t>
      </w:r>
      <w:r w:rsidR="00D813D9">
        <w:rPr>
          <w:rFonts w:cstheme="minorHAnsi"/>
        </w:rPr>
        <w:t>-loaded autologous antigen presenting cells was observed with 3 study-compound treated clones (effector to target ratio 10:1</w:t>
      </w:r>
      <w:r w:rsidR="006F1231">
        <w:rPr>
          <w:rFonts w:cstheme="minorHAnsi"/>
        </w:rPr>
        <w:t>; data not shown</w:t>
      </w:r>
      <w:r w:rsidR="00D813D9">
        <w:rPr>
          <w:rFonts w:cstheme="minorHAnsi"/>
        </w:rPr>
        <w:t xml:space="preserve">). </w:t>
      </w:r>
    </w:p>
    <w:p w14:paraId="4CBFAE3F" w14:textId="6C209FEA" w:rsidR="00825540" w:rsidRPr="00CA4746" w:rsidRDefault="009A2CEA" w:rsidP="00825540">
      <w:pPr>
        <w:pStyle w:val="Heading3"/>
        <w:spacing w:line="480" w:lineRule="auto"/>
        <w:jc w:val="both"/>
        <w:rPr>
          <w:rFonts w:asciiTheme="minorHAnsi" w:hAnsiTheme="minorHAnsi" w:cstheme="minorHAnsi"/>
        </w:rPr>
      </w:pPr>
      <w:r>
        <w:rPr>
          <w:rFonts w:asciiTheme="minorHAnsi" w:hAnsiTheme="minorHAnsi" w:cstheme="minorHAnsi"/>
        </w:rPr>
        <w:lastRenderedPageBreak/>
        <w:t xml:space="preserve">Direct, reversible and HLA-DR-restricted activation of study compound-responsive CD4+ </w:t>
      </w:r>
      <w:r w:rsidR="00825540" w:rsidRPr="00CA4746">
        <w:rPr>
          <w:rFonts w:asciiTheme="minorHAnsi" w:hAnsiTheme="minorHAnsi" w:cstheme="minorHAnsi"/>
        </w:rPr>
        <w:t xml:space="preserve">T-cell </w:t>
      </w:r>
      <w:r>
        <w:rPr>
          <w:rFonts w:asciiTheme="minorHAnsi" w:hAnsiTheme="minorHAnsi" w:cstheme="minorHAnsi"/>
        </w:rPr>
        <w:t>clones</w:t>
      </w:r>
      <w:r w:rsidR="00825540" w:rsidRPr="00CA4746">
        <w:rPr>
          <w:rFonts w:asciiTheme="minorHAnsi" w:hAnsiTheme="minorHAnsi" w:cstheme="minorHAnsi"/>
        </w:rPr>
        <w:t xml:space="preserve"> </w:t>
      </w:r>
    </w:p>
    <w:p w14:paraId="59C2EAC6" w14:textId="03263A08" w:rsidR="00825540" w:rsidRPr="00CA4746" w:rsidRDefault="009A2CEA" w:rsidP="00825540">
      <w:pPr>
        <w:spacing w:line="480" w:lineRule="auto"/>
        <w:jc w:val="both"/>
        <w:rPr>
          <w:rFonts w:cstheme="minorHAnsi"/>
        </w:rPr>
      </w:pPr>
      <w:r>
        <w:t xml:space="preserve">To assess HLA </w:t>
      </w:r>
      <w:r w:rsidR="00186B12">
        <w:t xml:space="preserve">dependency and </w:t>
      </w:r>
      <w:r>
        <w:t xml:space="preserve">class restriction of the </w:t>
      </w:r>
      <w:r w:rsidR="00DF3FA2">
        <w:t xml:space="preserve">CD4+ T-cell clone responses, </w:t>
      </w:r>
      <w:r>
        <w:t xml:space="preserve">HLA blocking studies were conducted. All </w:t>
      </w:r>
      <w:r w:rsidR="0007504A">
        <w:t xml:space="preserve">CD4+ </w:t>
      </w:r>
      <w:r>
        <w:t xml:space="preserve">clones responsive to atabecestat and DIAT demonstrated HLA-DR dependency for T-cell activation (Figure </w:t>
      </w:r>
      <w:r w:rsidR="00D37934">
        <w:t>3</w:t>
      </w:r>
      <w:r>
        <w:t xml:space="preserve">). The pathway of atabecestat- and DIAT-specific T-cell activation was assessed using antigen presenting cell pulsing and glutaraldehyde fixation assays. T-cell clones exhibited no T-cell activation in the presence of antigen presenting cells </w:t>
      </w:r>
      <w:r w:rsidR="00D819B0">
        <w:t xml:space="preserve">pulsed with study compounds </w:t>
      </w:r>
      <w:r>
        <w:t xml:space="preserve">for 1 or 16 hours. </w:t>
      </w:r>
      <w:r w:rsidR="002B4642">
        <w:t xml:space="preserve">The small increase in proliferation observed with antigen presenting cells pulsed with atabecestat for 1 h was not significant (P=0.17; student T-test). </w:t>
      </w:r>
      <w:r>
        <w:t>Conversely, T-cell activity was observed</w:t>
      </w:r>
      <w:r w:rsidR="00186B12">
        <w:t>, in a reduced capacity,</w:t>
      </w:r>
      <w:r>
        <w:t xml:space="preserve"> to </w:t>
      </w:r>
      <w:r w:rsidR="00DF3FA2">
        <w:t xml:space="preserve">atabecestat and </w:t>
      </w:r>
      <w:r>
        <w:t>DIAT in</w:t>
      </w:r>
      <w:r w:rsidR="00D819B0">
        <w:t xml:space="preserve"> the presence of glutaraldehyde-</w:t>
      </w:r>
      <w:r>
        <w:t>fixed antigen presenting cells</w:t>
      </w:r>
      <w:r w:rsidR="00186B12">
        <w:t>, but not in the absence of antigen presenting cells</w:t>
      </w:r>
      <w:r>
        <w:t xml:space="preserve"> (Figure </w:t>
      </w:r>
      <w:r w:rsidR="00D37934">
        <w:t>4</w:t>
      </w:r>
      <w:r>
        <w:t>).</w:t>
      </w:r>
    </w:p>
    <w:p w14:paraId="73026153" w14:textId="102FB8DD" w:rsidR="000367AA" w:rsidRPr="00CA4746" w:rsidRDefault="000367AA" w:rsidP="000367AA">
      <w:pPr>
        <w:pStyle w:val="Heading3"/>
        <w:spacing w:line="480" w:lineRule="auto"/>
        <w:jc w:val="both"/>
        <w:rPr>
          <w:rFonts w:asciiTheme="minorHAnsi" w:hAnsiTheme="minorHAnsi" w:cstheme="minorHAnsi"/>
        </w:rPr>
      </w:pPr>
      <w:r>
        <w:rPr>
          <w:rFonts w:asciiTheme="minorHAnsi" w:hAnsiTheme="minorHAnsi" w:cstheme="minorHAnsi"/>
        </w:rPr>
        <w:t>Study compound</w:t>
      </w:r>
      <w:r w:rsidRPr="00CA4746">
        <w:rPr>
          <w:rFonts w:asciiTheme="minorHAnsi" w:hAnsiTheme="minorHAnsi" w:cstheme="minorHAnsi"/>
        </w:rPr>
        <w:t>-responsive T-cell clones display clear patterns of cross-reactivity</w:t>
      </w:r>
    </w:p>
    <w:p w14:paraId="16AA8EF4" w14:textId="7D236121" w:rsidR="00D5528C" w:rsidRDefault="000367AA" w:rsidP="000367AA">
      <w:pPr>
        <w:spacing w:line="480" w:lineRule="auto"/>
        <w:jc w:val="both"/>
        <w:rPr>
          <w:rFonts w:cstheme="minorHAnsi"/>
          <w:bCs/>
          <w:iCs/>
        </w:rPr>
      </w:pPr>
      <w:r>
        <w:t>The cross-reactivity profiles of T-cell clones was measured via co</w:t>
      </w:r>
      <w:r w:rsidR="00AB4228">
        <w:t>-incubation with EBV-</w:t>
      </w:r>
      <w:r>
        <w:t xml:space="preserve">transformed B-cells </w:t>
      </w:r>
      <w:r w:rsidR="00D819B0">
        <w:t xml:space="preserve">and </w:t>
      </w:r>
      <w:r>
        <w:t>the 4 study compounds</w:t>
      </w:r>
      <w:r w:rsidR="00D5528C">
        <w:t xml:space="preserve"> and assessment of proliferative responses or IFN-</w:t>
      </w:r>
      <w:r w:rsidR="00D5528C">
        <w:sym w:font="Symbol" w:char="F067"/>
      </w:r>
      <w:r w:rsidR="00D5528C">
        <w:t xml:space="preserve"> release</w:t>
      </w:r>
      <w:r>
        <w:t xml:space="preserve">. </w:t>
      </w:r>
      <w:r w:rsidRPr="00CA4746">
        <w:rPr>
          <w:rFonts w:cstheme="minorHAnsi"/>
        </w:rPr>
        <w:t xml:space="preserve"> All T-cell clones generated to </w:t>
      </w:r>
      <w:r w:rsidRPr="005A2DF4">
        <w:rPr>
          <w:rFonts w:cstheme="minorHAnsi"/>
        </w:rPr>
        <w:t>ata</w:t>
      </w:r>
      <w:r>
        <w:rPr>
          <w:rFonts w:cstheme="minorHAnsi"/>
        </w:rPr>
        <w:t>becestat</w:t>
      </w:r>
      <w:r w:rsidRPr="00CA4746">
        <w:rPr>
          <w:rFonts w:cstheme="minorHAnsi"/>
        </w:rPr>
        <w:t xml:space="preserve"> yielded no crossreactivity with DIAT, while </w:t>
      </w:r>
      <w:r w:rsidR="00C477A7">
        <w:rPr>
          <w:rFonts w:cstheme="minorHAnsi"/>
        </w:rPr>
        <w:t>3/4 clones displayed proliferative responses with acetyl DIAT. A</w:t>
      </w:r>
      <w:r>
        <w:rPr>
          <w:rFonts w:cstheme="minorHAnsi"/>
        </w:rPr>
        <w:t xml:space="preserve"> </w:t>
      </w:r>
      <w:r w:rsidRPr="00CA4746">
        <w:rPr>
          <w:rFonts w:cstheme="minorHAnsi"/>
        </w:rPr>
        <w:t xml:space="preserve">weak </w:t>
      </w:r>
      <w:r>
        <w:rPr>
          <w:rFonts w:cstheme="minorHAnsi"/>
        </w:rPr>
        <w:t xml:space="preserve">proliferative responses </w:t>
      </w:r>
      <w:r w:rsidRPr="00CA4746">
        <w:rPr>
          <w:rFonts w:cstheme="minorHAnsi"/>
        </w:rPr>
        <w:t xml:space="preserve">was </w:t>
      </w:r>
      <w:r w:rsidR="00C477A7">
        <w:rPr>
          <w:rFonts w:cstheme="minorHAnsi"/>
        </w:rPr>
        <w:t xml:space="preserve">also </w:t>
      </w:r>
      <w:r>
        <w:rPr>
          <w:rFonts w:cstheme="minorHAnsi"/>
        </w:rPr>
        <w:t xml:space="preserve">observed with </w:t>
      </w:r>
      <w:r w:rsidRPr="005A2DF4">
        <w:rPr>
          <w:rFonts w:cstheme="minorHAnsi"/>
        </w:rPr>
        <w:t>ata</w:t>
      </w:r>
      <w:r>
        <w:rPr>
          <w:rFonts w:cstheme="minorHAnsi"/>
        </w:rPr>
        <w:t>becestat</w:t>
      </w:r>
      <w:r w:rsidRPr="00CA4746">
        <w:rPr>
          <w:rFonts w:cstheme="minorHAnsi"/>
        </w:rPr>
        <w:t xml:space="preserve"> epoxide </w:t>
      </w:r>
      <w:r>
        <w:rPr>
          <w:rFonts w:cstheme="minorHAnsi"/>
        </w:rPr>
        <w:t>i</w:t>
      </w:r>
      <w:r w:rsidR="00D819B0">
        <w:rPr>
          <w:rFonts w:cstheme="minorHAnsi"/>
        </w:rPr>
        <w:t>n one clone. DIAT-</w:t>
      </w:r>
      <w:r w:rsidRPr="00CA4746">
        <w:rPr>
          <w:rFonts w:cstheme="minorHAnsi"/>
        </w:rPr>
        <w:t xml:space="preserve">responsive T-cell clones exhibited no cross-reactivity </w:t>
      </w:r>
      <w:r w:rsidR="00C477A7">
        <w:rPr>
          <w:rFonts w:cstheme="minorHAnsi"/>
        </w:rPr>
        <w:t xml:space="preserve">with </w:t>
      </w:r>
      <w:r w:rsidR="00C477A7" w:rsidRPr="005A2DF4">
        <w:rPr>
          <w:rFonts w:cstheme="minorHAnsi"/>
        </w:rPr>
        <w:t>ata</w:t>
      </w:r>
      <w:r w:rsidR="00C477A7">
        <w:rPr>
          <w:rFonts w:cstheme="minorHAnsi"/>
        </w:rPr>
        <w:t>becestat</w:t>
      </w:r>
      <w:r w:rsidRPr="00CA4746">
        <w:rPr>
          <w:rFonts w:cstheme="minorHAnsi"/>
        </w:rPr>
        <w:t xml:space="preserve"> or </w:t>
      </w:r>
      <w:r w:rsidR="00C477A7" w:rsidRPr="005A2DF4">
        <w:rPr>
          <w:rFonts w:cstheme="minorHAnsi"/>
        </w:rPr>
        <w:t>ata</w:t>
      </w:r>
      <w:r w:rsidR="00C477A7">
        <w:rPr>
          <w:rFonts w:cstheme="minorHAnsi"/>
        </w:rPr>
        <w:t>becestat</w:t>
      </w:r>
      <w:r w:rsidR="00C477A7" w:rsidRPr="00CA4746">
        <w:rPr>
          <w:rFonts w:cstheme="minorHAnsi"/>
        </w:rPr>
        <w:t xml:space="preserve"> </w:t>
      </w:r>
      <w:r w:rsidRPr="00CA4746">
        <w:rPr>
          <w:rFonts w:cstheme="minorHAnsi"/>
        </w:rPr>
        <w:t xml:space="preserve">epoxide. However,  </w:t>
      </w:r>
      <w:r w:rsidR="004F6045">
        <w:rPr>
          <w:rFonts w:cstheme="minorHAnsi"/>
        </w:rPr>
        <w:t>3/6</w:t>
      </w:r>
      <w:r w:rsidR="00D819B0">
        <w:rPr>
          <w:rFonts w:cstheme="minorHAnsi"/>
        </w:rPr>
        <w:t xml:space="preserve"> DIAT-</w:t>
      </w:r>
      <w:r w:rsidRPr="00CA4746">
        <w:rPr>
          <w:rFonts w:cstheme="minorHAnsi"/>
        </w:rPr>
        <w:t xml:space="preserve">responsive T-cell clones from various patients exhibited cross-reactivity towards </w:t>
      </w:r>
      <w:r w:rsidR="004F6045">
        <w:rPr>
          <w:rFonts w:cstheme="minorHAnsi"/>
        </w:rPr>
        <w:t>acetyl DIAT</w:t>
      </w:r>
      <w:r w:rsidRPr="00CA4746">
        <w:rPr>
          <w:rFonts w:cstheme="minorHAnsi"/>
          <w:bCs/>
          <w:iCs/>
        </w:rPr>
        <w:t xml:space="preserve">. </w:t>
      </w:r>
      <w:r w:rsidR="00D5528C">
        <w:rPr>
          <w:rFonts w:cstheme="minorHAnsi"/>
          <w:bCs/>
          <w:iCs/>
        </w:rPr>
        <w:t xml:space="preserve">Figure </w:t>
      </w:r>
      <w:r w:rsidR="00D37934">
        <w:rPr>
          <w:rFonts w:cstheme="minorHAnsi"/>
          <w:bCs/>
          <w:iCs/>
        </w:rPr>
        <w:t>5</w:t>
      </w:r>
      <w:r w:rsidR="00D5528C">
        <w:rPr>
          <w:rFonts w:cstheme="minorHAnsi"/>
          <w:bCs/>
          <w:iCs/>
        </w:rPr>
        <w:t xml:space="preserve"> show</w:t>
      </w:r>
      <w:r w:rsidR="00DF3FA2">
        <w:rPr>
          <w:rFonts w:cstheme="minorHAnsi"/>
          <w:bCs/>
          <w:iCs/>
        </w:rPr>
        <w:t>s</w:t>
      </w:r>
      <w:r w:rsidR="00D5528C">
        <w:rPr>
          <w:rFonts w:cstheme="minorHAnsi"/>
          <w:bCs/>
          <w:iCs/>
        </w:rPr>
        <w:t xml:space="preserve"> representative clones displaying the </w:t>
      </w:r>
      <w:r w:rsidR="00DF3FA2">
        <w:rPr>
          <w:rFonts w:cstheme="minorHAnsi"/>
          <w:bCs/>
          <w:iCs/>
        </w:rPr>
        <w:t xml:space="preserve">different </w:t>
      </w:r>
      <w:r w:rsidR="00D5528C">
        <w:rPr>
          <w:rFonts w:cstheme="minorHAnsi"/>
          <w:bCs/>
          <w:iCs/>
        </w:rPr>
        <w:t>cross</w:t>
      </w:r>
      <w:r w:rsidR="0007504A">
        <w:rPr>
          <w:rFonts w:cstheme="minorHAnsi"/>
          <w:bCs/>
          <w:iCs/>
        </w:rPr>
        <w:t>-</w:t>
      </w:r>
      <w:r w:rsidR="00D5528C">
        <w:rPr>
          <w:rFonts w:cstheme="minorHAnsi"/>
          <w:bCs/>
          <w:iCs/>
        </w:rPr>
        <w:t>reactivity profiles (</w:t>
      </w:r>
      <w:r w:rsidR="00D5528C" w:rsidRPr="005A2DF4">
        <w:rPr>
          <w:rFonts w:cstheme="minorHAnsi"/>
        </w:rPr>
        <w:t>ata</w:t>
      </w:r>
      <w:r w:rsidR="00D5528C">
        <w:rPr>
          <w:rFonts w:cstheme="minorHAnsi"/>
        </w:rPr>
        <w:t xml:space="preserve">becestat-specific, </w:t>
      </w:r>
      <w:r w:rsidR="00D5528C">
        <w:rPr>
          <w:rFonts w:cstheme="minorHAnsi"/>
          <w:bCs/>
          <w:iCs/>
        </w:rPr>
        <w:t>DIAT-specific and cross-reactive).</w:t>
      </w:r>
    </w:p>
    <w:p w14:paraId="6426A606" w14:textId="4C13CAAE" w:rsidR="00FE374D" w:rsidRPr="00FE374D" w:rsidRDefault="00A06E7C" w:rsidP="000367AA">
      <w:pPr>
        <w:spacing w:line="480" w:lineRule="auto"/>
        <w:jc w:val="both"/>
        <w:rPr>
          <w:rFonts w:cstheme="minorHAnsi"/>
          <w:bCs/>
          <w:iCs/>
        </w:rPr>
      </w:pPr>
      <w:r>
        <w:rPr>
          <w:rFonts w:cstheme="minorHAnsi"/>
        </w:rPr>
        <w:t xml:space="preserve">Figure </w:t>
      </w:r>
      <w:r w:rsidR="00D37934">
        <w:rPr>
          <w:rFonts w:cstheme="minorHAnsi"/>
        </w:rPr>
        <w:t>5</w:t>
      </w:r>
      <w:r w:rsidR="00F73882">
        <w:rPr>
          <w:rFonts w:cstheme="minorHAnsi"/>
        </w:rPr>
        <w:t xml:space="preserve"> also </w:t>
      </w:r>
      <w:r w:rsidR="00FE374D" w:rsidRPr="00FE374D">
        <w:rPr>
          <w:rFonts w:cstheme="minorHAnsi"/>
        </w:rPr>
        <w:t>show</w:t>
      </w:r>
      <w:r w:rsidR="009F0341">
        <w:rPr>
          <w:rFonts w:cstheme="minorHAnsi"/>
        </w:rPr>
        <w:t>s</w:t>
      </w:r>
      <w:r w:rsidR="00FE374D" w:rsidRPr="00FE374D">
        <w:rPr>
          <w:rFonts w:cstheme="minorHAnsi"/>
        </w:rPr>
        <w:t xml:space="preserve"> the preferred </w:t>
      </w:r>
      <w:r w:rsidR="00DF3FA2">
        <w:rPr>
          <w:rFonts w:cstheme="minorHAnsi"/>
        </w:rPr>
        <w:t xml:space="preserve">energy minimized </w:t>
      </w:r>
      <w:r w:rsidR="00FE374D" w:rsidRPr="00FE374D">
        <w:rPr>
          <w:rFonts w:cstheme="minorHAnsi"/>
        </w:rPr>
        <w:t xml:space="preserve">3-dimensional spatial arrangement of </w:t>
      </w:r>
      <w:r w:rsidR="00FE374D">
        <w:rPr>
          <w:rFonts w:cstheme="minorHAnsi"/>
        </w:rPr>
        <w:t>atabecestat and its metabolites.</w:t>
      </w:r>
      <w:r w:rsidR="00FE374D" w:rsidRPr="00FE374D">
        <w:rPr>
          <w:rFonts w:cstheme="minorHAnsi"/>
        </w:rPr>
        <w:t xml:space="preserve"> The structures of </w:t>
      </w:r>
      <w:r w:rsidR="00FE374D">
        <w:rPr>
          <w:rFonts w:cstheme="minorHAnsi"/>
        </w:rPr>
        <w:t>atabecestat, DIAT and acetyl DIAT</w:t>
      </w:r>
      <w:r w:rsidR="00FE374D" w:rsidRPr="00FE374D">
        <w:rPr>
          <w:rFonts w:cstheme="minorHAnsi"/>
        </w:rPr>
        <w:t xml:space="preserve">, with the exception of the </w:t>
      </w:r>
      <w:r w:rsidR="00FE374D">
        <w:rPr>
          <w:rFonts w:cstheme="minorHAnsi"/>
        </w:rPr>
        <w:t>side-chain m</w:t>
      </w:r>
      <w:r w:rsidR="00FE374D" w:rsidRPr="00FE374D">
        <w:rPr>
          <w:rFonts w:cstheme="minorHAnsi"/>
        </w:rPr>
        <w:t>oiet</w:t>
      </w:r>
      <w:r w:rsidR="00FE374D">
        <w:rPr>
          <w:rFonts w:cstheme="minorHAnsi"/>
        </w:rPr>
        <w:t>ies</w:t>
      </w:r>
      <w:r w:rsidR="00FE374D" w:rsidRPr="00FE374D">
        <w:rPr>
          <w:rFonts w:cstheme="minorHAnsi"/>
        </w:rPr>
        <w:t xml:space="preserve">, were almost identical. </w:t>
      </w:r>
      <w:r w:rsidR="00FE374D">
        <w:rPr>
          <w:rFonts w:cstheme="minorHAnsi"/>
        </w:rPr>
        <w:t xml:space="preserve">However, </w:t>
      </w:r>
      <w:r w:rsidR="00FE374D" w:rsidRPr="00FE374D">
        <w:rPr>
          <w:rFonts w:cstheme="minorHAnsi"/>
        </w:rPr>
        <w:t xml:space="preserve">the 3-dimensional spatial arrangement of atoms within </w:t>
      </w:r>
      <w:r w:rsidR="00FE374D">
        <w:rPr>
          <w:rFonts w:cstheme="minorHAnsi"/>
        </w:rPr>
        <w:t xml:space="preserve">atabecestat epoxide </w:t>
      </w:r>
      <w:r w:rsidR="00FE374D" w:rsidRPr="00FE374D">
        <w:rPr>
          <w:rFonts w:cstheme="minorHAnsi"/>
        </w:rPr>
        <w:t>differ</w:t>
      </w:r>
      <w:r w:rsidR="00FE374D">
        <w:rPr>
          <w:rFonts w:cstheme="minorHAnsi"/>
        </w:rPr>
        <w:t>ed</w:t>
      </w:r>
      <w:r w:rsidR="00FE374D" w:rsidRPr="00FE374D">
        <w:rPr>
          <w:rFonts w:cstheme="minorHAnsi"/>
        </w:rPr>
        <w:t xml:space="preserve"> significantly</w:t>
      </w:r>
      <w:r w:rsidR="00FE374D">
        <w:rPr>
          <w:rFonts w:cstheme="minorHAnsi"/>
        </w:rPr>
        <w:t xml:space="preserve"> due to the introduction of the 3-membered ring.</w:t>
      </w:r>
      <w:r w:rsidR="00FE374D" w:rsidRPr="00FE374D">
        <w:rPr>
          <w:rFonts w:cstheme="minorHAnsi"/>
        </w:rPr>
        <w:t> </w:t>
      </w:r>
    </w:p>
    <w:p w14:paraId="7A9A33ED" w14:textId="79678214" w:rsidR="009A2CEA" w:rsidRPr="00274111" w:rsidRDefault="000367AA" w:rsidP="00274111">
      <w:pPr>
        <w:spacing w:line="480" w:lineRule="auto"/>
        <w:jc w:val="both"/>
        <w:rPr>
          <w:rFonts w:cstheme="minorHAnsi"/>
          <w:bCs/>
          <w:iCs/>
        </w:rPr>
      </w:pPr>
      <w:r w:rsidRPr="00CA4746">
        <w:rPr>
          <w:rFonts w:cstheme="minorHAnsi"/>
          <w:bCs/>
          <w:iCs/>
        </w:rPr>
        <w:lastRenderedPageBreak/>
        <w:t xml:space="preserve">All </w:t>
      </w:r>
      <w:r w:rsidR="006306F7">
        <w:rPr>
          <w:rFonts w:cstheme="minorHAnsi"/>
          <w:bCs/>
          <w:iCs/>
        </w:rPr>
        <w:t xml:space="preserve">three </w:t>
      </w:r>
      <w:r w:rsidR="004F6045">
        <w:rPr>
          <w:rFonts w:cstheme="minorHAnsi"/>
          <w:bCs/>
          <w:iCs/>
        </w:rPr>
        <w:t xml:space="preserve">acetyl DIAT-responsive clones </w:t>
      </w:r>
      <w:r w:rsidRPr="00CA4746">
        <w:rPr>
          <w:rFonts w:cstheme="minorHAnsi"/>
          <w:bCs/>
          <w:iCs/>
        </w:rPr>
        <w:t>exhibited strong cross</w:t>
      </w:r>
      <w:r w:rsidR="00AD1281">
        <w:rPr>
          <w:rFonts w:cstheme="minorHAnsi"/>
          <w:bCs/>
          <w:iCs/>
        </w:rPr>
        <w:t>-</w:t>
      </w:r>
      <w:r w:rsidRPr="00CA4746">
        <w:rPr>
          <w:rFonts w:cstheme="minorHAnsi"/>
          <w:bCs/>
          <w:iCs/>
        </w:rPr>
        <w:t>reactiv</w:t>
      </w:r>
      <w:r w:rsidR="004F6045">
        <w:rPr>
          <w:rFonts w:cstheme="minorHAnsi"/>
          <w:bCs/>
          <w:iCs/>
        </w:rPr>
        <w:t xml:space="preserve">ity towards the DIAT metabolite. One of these clones </w:t>
      </w:r>
      <w:r w:rsidRPr="00CA4746">
        <w:rPr>
          <w:rFonts w:cstheme="minorHAnsi"/>
          <w:bCs/>
          <w:iCs/>
        </w:rPr>
        <w:t>also cross</w:t>
      </w:r>
      <w:r w:rsidR="0007504A">
        <w:rPr>
          <w:rFonts w:cstheme="minorHAnsi"/>
          <w:bCs/>
          <w:iCs/>
        </w:rPr>
        <w:t>-</w:t>
      </w:r>
      <w:r w:rsidRPr="00CA4746">
        <w:rPr>
          <w:rFonts w:cstheme="minorHAnsi"/>
          <w:bCs/>
          <w:iCs/>
        </w:rPr>
        <w:t xml:space="preserve">reacted with </w:t>
      </w:r>
      <w:r w:rsidR="004F6045" w:rsidRPr="005A2DF4">
        <w:rPr>
          <w:rFonts w:cstheme="minorHAnsi"/>
        </w:rPr>
        <w:t>ata</w:t>
      </w:r>
      <w:r w:rsidR="004F6045">
        <w:rPr>
          <w:rFonts w:cstheme="minorHAnsi"/>
        </w:rPr>
        <w:t>becestat</w:t>
      </w:r>
      <w:r w:rsidR="00E24F51">
        <w:rPr>
          <w:rFonts w:cstheme="minorHAnsi"/>
        </w:rPr>
        <w:t xml:space="preserve"> </w:t>
      </w:r>
      <w:r w:rsidR="00E24F51" w:rsidRPr="009A2CEA">
        <w:rPr>
          <w:rFonts w:cstheme="minorHAnsi"/>
        </w:rPr>
        <w:t>(</w:t>
      </w:r>
      <w:r w:rsidR="004F6045" w:rsidRPr="009A2CEA">
        <w:rPr>
          <w:rFonts w:cstheme="minorHAnsi"/>
          <w:bCs/>
          <w:iCs/>
        </w:rPr>
        <w:t xml:space="preserve">Supplementary Figure </w:t>
      </w:r>
      <w:r w:rsidR="00D37934">
        <w:rPr>
          <w:rFonts w:cstheme="minorHAnsi"/>
          <w:bCs/>
          <w:iCs/>
        </w:rPr>
        <w:t>2</w:t>
      </w:r>
      <w:r w:rsidR="00E24F51" w:rsidRPr="009A2CEA">
        <w:rPr>
          <w:rFonts w:cstheme="minorHAnsi"/>
          <w:bCs/>
          <w:iCs/>
        </w:rPr>
        <w:t>).</w:t>
      </w:r>
      <w:r w:rsidR="009A2CEA">
        <w:rPr>
          <w:rFonts w:cstheme="minorHAnsi"/>
        </w:rPr>
        <w:br w:type="page"/>
      </w:r>
    </w:p>
    <w:p w14:paraId="40075747" w14:textId="6594053F" w:rsidR="0028137C" w:rsidRPr="00A30F68" w:rsidRDefault="003E595E" w:rsidP="009A2CEA">
      <w:pPr>
        <w:pStyle w:val="Heading2"/>
        <w:spacing w:line="480" w:lineRule="auto"/>
        <w:jc w:val="both"/>
        <w:rPr>
          <w:rFonts w:asciiTheme="minorHAnsi" w:hAnsiTheme="minorHAnsi" w:cstheme="minorHAnsi"/>
          <w:szCs w:val="22"/>
        </w:rPr>
      </w:pPr>
      <w:r w:rsidRPr="00A30F68">
        <w:rPr>
          <w:rFonts w:asciiTheme="minorHAnsi" w:hAnsiTheme="minorHAnsi" w:cstheme="minorHAnsi"/>
          <w:szCs w:val="22"/>
        </w:rPr>
        <w:lastRenderedPageBreak/>
        <w:t>Discussion</w:t>
      </w:r>
    </w:p>
    <w:p w14:paraId="1FE8DCDF" w14:textId="2F6701C5" w:rsidR="00091660" w:rsidRDefault="00842063" w:rsidP="00091660">
      <w:pPr>
        <w:spacing w:line="480" w:lineRule="auto"/>
        <w:jc w:val="both"/>
        <w:rPr>
          <w:rFonts w:cstheme="minorHAnsi"/>
        </w:rPr>
      </w:pPr>
      <w:r w:rsidRPr="00A30F68">
        <w:rPr>
          <w:rFonts w:cstheme="minorHAnsi"/>
        </w:rPr>
        <w:t xml:space="preserve">Several forms of </w:t>
      </w:r>
      <w:r w:rsidR="002E329A">
        <w:rPr>
          <w:rFonts w:cstheme="minorHAnsi"/>
        </w:rPr>
        <w:t>DILI</w:t>
      </w:r>
      <w:r w:rsidR="007E17BD" w:rsidRPr="00A30F68">
        <w:rPr>
          <w:rFonts w:cstheme="minorHAnsi"/>
        </w:rPr>
        <w:t xml:space="preserve"> are strongly associated with expression of one or a small number of HLA alleles</w:t>
      </w:r>
      <w:r w:rsidRPr="00A30F68">
        <w:rPr>
          <w:rFonts w:cstheme="minorHAnsi"/>
        </w:rPr>
        <w:t xml:space="preserve"> </w:t>
      </w:r>
      <w:r w:rsidR="00053FA2">
        <w:rPr>
          <w:rFonts w:cstheme="minorHAnsi"/>
          <w:noProof/>
        </w:rPr>
        <w:t>(8</w:t>
      </w:r>
      <w:r w:rsidR="00E515C9">
        <w:rPr>
          <w:rFonts w:cstheme="minorHAnsi"/>
          <w:noProof/>
        </w:rPr>
        <w:t>-12, 1</w:t>
      </w:r>
      <w:r w:rsidR="00274111">
        <w:rPr>
          <w:rFonts w:cstheme="minorHAnsi"/>
          <w:noProof/>
        </w:rPr>
        <w:t>6</w:t>
      </w:r>
      <w:r w:rsidR="00E515C9">
        <w:rPr>
          <w:rFonts w:cstheme="minorHAnsi"/>
          <w:noProof/>
        </w:rPr>
        <w:t>-</w:t>
      </w:r>
      <w:r w:rsidR="00E17345">
        <w:rPr>
          <w:rFonts w:cstheme="minorHAnsi"/>
          <w:noProof/>
        </w:rPr>
        <w:t>1</w:t>
      </w:r>
      <w:r w:rsidR="00274111">
        <w:rPr>
          <w:rFonts w:cstheme="minorHAnsi"/>
          <w:noProof/>
        </w:rPr>
        <w:t>8</w:t>
      </w:r>
      <w:r w:rsidR="00053FA2">
        <w:rPr>
          <w:rFonts w:cstheme="minorHAnsi"/>
          <w:noProof/>
        </w:rPr>
        <w:t>)</w:t>
      </w:r>
      <w:r w:rsidR="007E17BD" w:rsidRPr="00A30F68">
        <w:rPr>
          <w:rFonts w:cstheme="minorHAnsi"/>
        </w:rPr>
        <w:t xml:space="preserve">, suggesting that a derivative of the drug may interact with a degree of selectivity with the HLA protein encoded by the HLA </w:t>
      </w:r>
      <w:r w:rsidR="000F7D3C" w:rsidRPr="00A30F68">
        <w:rPr>
          <w:rFonts w:cstheme="minorHAnsi"/>
        </w:rPr>
        <w:t xml:space="preserve">risk </w:t>
      </w:r>
      <w:r w:rsidR="007E17BD" w:rsidRPr="00A30F68">
        <w:rPr>
          <w:rFonts w:cstheme="minorHAnsi"/>
        </w:rPr>
        <w:t>allele</w:t>
      </w:r>
      <w:r w:rsidR="0028482B" w:rsidRPr="00A30F68">
        <w:rPr>
          <w:rFonts w:cstheme="minorHAnsi"/>
        </w:rPr>
        <w:t xml:space="preserve"> </w:t>
      </w:r>
      <w:r w:rsidR="007E17BD" w:rsidRPr="00A30F68">
        <w:rPr>
          <w:rFonts w:cstheme="minorHAnsi"/>
        </w:rPr>
        <w:t xml:space="preserve">and </w:t>
      </w:r>
      <w:r w:rsidR="000F7D3C" w:rsidRPr="00A30F68">
        <w:rPr>
          <w:rFonts w:cstheme="minorHAnsi"/>
        </w:rPr>
        <w:t>a</w:t>
      </w:r>
      <w:r w:rsidR="007E17BD" w:rsidRPr="00A30F68">
        <w:rPr>
          <w:rFonts w:cstheme="minorHAnsi"/>
        </w:rPr>
        <w:t xml:space="preserve"> peptide</w:t>
      </w:r>
      <w:r w:rsidR="000F7D3C" w:rsidRPr="00A30F68">
        <w:rPr>
          <w:rFonts w:cstheme="minorHAnsi"/>
        </w:rPr>
        <w:t xml:space="preserve"> embedded within the antigen binding cleft of HLA to stimulate the T-cell response</w:t>
      </w:r>
      <w:r w:rsidR="007E17BD" w:rsidRPr="00A30F68">
        <w:rPr>
          <w:rFonts w:cstheme="minorHAnsi"/>
        </w:rPr>
        <w:t>.</w:t>
      </w:r>
      <w:r w:rsidR="00101BC3" w:rsidRPr="00A30F68">
        <w:rPr>
          <w:rFonts w:cstheme="minorHAnsi"/>
        </w:rPr>
        <w:t xml:space="preserve"> Furthermore, drug-responsive T-cells have been detected in the circulation and </w:t>
      </w:r>
      <w:r w:rsidR="00554F3B" w:rsidRPr="00A30F68">
        <w:rPr>
          <w:rFonts w:cstheme="minorHAnsi"/>
        </w:rPr>
        <w:t xml:space="preserve">inflamed </w:t>
      </w:r>
      <w:r w:rsidR="00101BC3" w:rsidRPr="00A30F68">
        <w:rPr>
          <w:rFonts w:cstheme="minorHAnsi"/>
        </w:rPr>
        <w:t xml:space="preserve">liver of patients with DILI </w:t>
      </w:r>
      <w:r w:rsidR="00E17345">
        <w:rPr>
          <w:rFonts w:cstheme="minorHAnsi"/>
          <w:noProof/>
        </w:rPr>
        <w:t>(5-7</w:t>
      </w:r>
      <w:r w:rsidR="00053FA2">
        <w:rPr>
          <w:rFonts w:cstheme="minorHAnsi"/>
          <w:noProof/>
        </w:rPr>
        <w:t>, 1</w:t>
      </w:r>
      <w:r w:rsidR="00274111">
        <w:rPr>
          <w:rFonts w:cstheme="minorHAnsi"/>
          <w:noProof/>
        </w:rPr>
        <w:t>9</w:t>
      </w:r>
      <w:r w:rsidR="00E17345">
        <w:rPr>
          <w:rFonts w:cstheme="minorHAnsi"/>
          <w:noProof/>
        </w:rPr>
        <w:t xml:space="preserve">, </w:t>
      </w:r>
      <w:r w:rsidR="00274111">
        <w:rPr>
          <w:rFonts w:cstheme="minorHAnsi"/>
          <w:noProof/>
        </w:rPr>
        <w:t>20</w:t>
      </w:r>
      <w:r w:rsidR="00053FA2">
        <w:rPr>
          <w:rFonts w:cstheme="minorHAnsi"/>
          <w:noProof/>
        </w:rPr>
        <w:t>)</w:t>
      </w:r>
      <w:r w:rsidR="00101BC3" w:rsidRPr="00A30F68">
        <w:rPr>
          <w:rFonts w:cstheme="minorHAnsi"/>
        </w:rPr>
        <w:t xml:space="preserve">. </w:t>
      </w:r>
      <w:r w:rsidR="00554F3B" w:rsidRPr="00A30F68">
        <w:rPr>
          <w:rFonts w:cstheme="minorHAnsi"/>
        </w:rPr>
        <w:t xml:space="preserve">Thus, it is becoming apparent that the adaptive immune system </w:t>
      </w:r>
      <w:r w:rsidR="000844CF">
        <w:rPr>
          <w:rFonts w:cstheme="minorHAnsi"/>
        </w:rPr>
        <w:t>participates in the</w:t>
      </w:r>
      <w:r w:rsidR="00554F3B" w:rsidRPr="00A30F68">
        <w:rPr>
          <w:rFonts w:cstheme="minorHAnsi"/>
        </w:rPr>
        <w:t xml:space="preserve"> development of tissue pathology</w:t>
      </w:r>
      <w:r w:rsidR="000844CF">
        <w:rPr>
          <w:rFonts w:cstheme="minorHAnsi"/>
        </w:rPr>
        <w:t xml:space="preserve"> in genetically predisposed individuals</w:t>
      </w:r>
      <w:r w:rsidR="00554F3B" w:rsidRPr="00A30F68">
        <w:rPr>
          <w:rFonts w:cstheme="minorHAnsi"/>
        </w:rPr>
        <w:t xml:space="preserve">. It must </w:t>
      </w:r>
      <w:r w:rsidR="007E17BD" w:rsidRPr="00A30F68">
        <w:rPr>
          <w:rFonts w:cstheme="minorHAnsi"/>
        </w:rPr>
        <w:t>be emphasised</w:t>
      </w:r>
      <w:r w:rsidR="000F7D3C" w:rsidRPr="00A30F68">
        <w:rPr>
          <w:rFonts w:cstheme="minorHAnsi"/>
        </w:rPr>
        <w:t xml:space="preserve"> that an </w:t>
      </w:r>
      <w:r w:rsidR="007E17BD" w:rsidRPr="00A30F68">
        <w:rPr>
          <w:rFonts w:cstheme="minorHAnsi"/>
        </w:rPr>
        <w:t>HLA allele association only indicate</w:t>
      </w:r>
      <w:r w:rsidR="000F7D3C" w:rsidRPr="00A30F68">
        <w:rPr>
          <w:rFonts w:cstheme="minorHAnsi"/>
        </w:rPr>
        <w:t>s</w:t>
      </w:r>
      <w:r w:rsidR="007E17BD" w:rsidRPr="00A30F68">
        <w:rPr>
          <w:rFonts w:cstheme="minorHAnsi"/>
        </w:rPr>
        <w:t xml:space="preserve"> a skewing</w:t>
      </w:r>
      <w:r w:rsidR="009F0341">
        <w:rPr>
          <w:rFonts w:cstheme="minorHAnsi"/>
        </w:rPr>
        <w:t xml:space="preserve"> in the preference for drug HLA-</w:t>
      </w:r>
      <w:r w:rsidR="000F7D3C" w:rsidRPr="00A30F68">
        <w:rPr>
          <w:rFonts w:cstheme="minorHAnsi"/>
        </w:rPr>
        <w:t xml:space="preserve">peptide </w:t>
      </w:r>
      <w:r w:rsidR="007E17BD" w:rsidRPr="00A30F68">
        <w:rPr>
          <w:rFonts w:cstheme="minorHAnsi"/>
        </w:rPr>
        <w:t xml:space="preserve">binding. </w:t>
      </w:r>
      <w:r w:rsidR="000F7D3C" w:rsidRPr="00A30F68">
        <w:rPr>
          <w:rFonts w:cstheme="minorHAnsi"/>
        </w:rPr>
        <w:t xml:space="preserve">There are many cases of immune-mediated </w:t>
      </w:r>
      <w:r w:rsidR="002E329A">
        <w:rPr>
          <w:rFonts w:cstheme="minorHAnsi"/>
        </w:rPr>
        <w:t>DILI</w:t>
      </w:r>
      <w:r w:rsidR="000F7D3C" w:rsidRPr="00A30F68">
        <w:rPr>
          <w:rFonts w:cstheme="minorHAnsi"/>
        </w:rPr>
        <w:t xml:space="preserve"> in </w:t>
      </w:r>
      <w:r w:rsidR="000844CF">
        <w:rPr>
          <w:rFonts w:cstheme="minorHAnsi"/>
        </w:rPr>
        <w:t>patients</w:t>
      </w:r>
      <w:r w:rsidR="000F7D3C" w:rsidRPr="00A30F68">
        <w:rPr>
          <w:rFonts w:cstheme="minorHAnsi"/>
        </w:rPr>
        <w:t xml:space="preserve"> that do not express HLA risk alleles</w:t>
      </w:r>
      <w:r w:rsidR="00091660">
        <w:rPr>
          <w:rFonts w:cstheme="minorHAnsi"/>
        </w:rPr>
        <w:t xml:space="preserve"> </w:t>
      </w:r>
      <w:r w:rsidR="00091660" w:rsidRPr="00A30F68">
        <w:rPr>
          <w:rFonts w:cstheme="minorHAnsi"/>
        </w:rPr>
        <w:t>Furthermore, the majority of individuals that express HLA risk alleles do not go on to develop liver injury when exposed to culprit drugs. The best example of this is flucloxacillin</w:t>
      </w:r>
      <w:r w:rsidR="00091660">
        <w:rPr>
          <w:rFonts w:cstheme="minorHAnsi"/>
        </w:rPr>
        <w:t>-induced liver injury that</w:t>
      </w:r>
      <w:r w:rsidR="00091660" w:rsidRPr="00A30F68">
        <w:rPr>
          <w:rFonts w:cstheme="minorHAnsi"/>
        </w:rPr>
        <w:t xml:space="preserve"> preferentially </w:t>
      </w:r>
      <w:r w:rsidR="00091660">
        <w:rPr>
          <w:rFonts w:cstheme="minorHAnsi"/>
        </w:rPr>
        <w:t xml:space="preserve">develops </w:t>
      </w:r>
      <w:r w:rsidR="00091660" w:rsidRPr="00A30F68">
        <w:rPr>
          <w:rFonts w:cstheme="minorHAnsi"/>
        </w:rPr>
        <w:t xml:space="preserve">in patients expressing HLA-B*57:01; however, the iatrogenic disease </w:t>
      </w:r>
      <w:r w:rsidR="00091660">
        <w:rPr>
          <w:rFonts w:cstheme="minorHAnsi"/>
        </w:rPr>
        <w:t>is only observed in</w:t>
      </w:r>
      <w:r w:rsidR="00091660" w:rsidRPr="00A30F68">
        <w:rPr>
          <w:rFonts w:cstheme="minorHAnsi"/>
        </w:rPr>
        <w:t xml:space="preserve"> 1 in 1000 HLA-B*57:01+ individuals exposed to </w:t>
      </w:r>
      <w:r w:rsidR="00091660">
        <w:rPr>
          <w:rFonts w:cstheme="minorHAnsi"/>
        </w:rPr>
        <w:t>the drug</w:t>
      </w:r>
      <w:r w:rsidR="00091660" w:rsidRPr="00A30F68">
        <w:rPr>
          <w:rFonts w:cstheme="minorHAnsi"/>
        </w:rPr>
        <w:t xml:space="preserve"> </w:t>
      </w:r>
      <w:r w:rsidR="00091660">
        <w:rPr>
          <w:rFonts w:cstheme="minorHAnsi"/>
          <w:noProof/>
        </w:rPr>
        <w:t>(8)</w:t>
      </w:r>
      <w:r w:rsidR="00091660" w:rsidRPr="00A30F68">
        <w:rPr>
          <w:rFonts w:cstheme="minorHAnsi"/>
        </w:rPr>
        <w:t xml:space="preserve">. All individuals are exposed to similar circulating concentrations of </w:t>
      </w:r>
      <w:r w:rsidR="00091660">
        <w:rPr>
          <w:rFonts w:cstheme="minorHAnsi"/>
        </w:rPr>
        <w:t>flucloxacillin</w:t>
      </w:r>
      <w:r w:rsidR="00091660" w:rsidRPr="00A30F68">
        <w:rPr>
          <w:rFonts w:cstheme="minorHAnsi"/>
        </w:rPr>
        <w:t xml:space="preserve"> and form the same protein adducts at levels that exceed the threshold for T-cell activation </w:t>
      </w:r>
      <w:r w:rsidR="00091660">
        <w:rPr>
          <w:rFonts w:cstheme="minorHAnsi"/>
          <w:noProof/>
        </w:rPr>
        <w:t>(5, 21-25)</w:t>
      </w:r>
      <w:r w:rsidR="00091660" w:rsidRPr="00A30F68">
        <w:rPr>
          <w:rFonts w:cstheme="minorHAnsi"/>
        </w:rPr>
        <w:t>. Hence,</w:t>
      </w:r>
      <w:r w:rsidR="00091660">
        <w:rPr>
          <w:rFonts w:cstheme="minorHAnsi"/>
        </w:rPr>
        <w:t xml:space="preserve"> additional </w:t>
      </w:r>
      <w:r w:rsidR="00091660" w:rsidRPr="00A30F68">
        <w:rPr>
          <w:rFonts w:cstheme="minorHAnsi"/>
        </w:rPr>
        <w:t>factors must impact on susceptibility</w:t>
      </w:r>
      <w:r w:rsidR="00091660">
        <w:rPr>
          <w:rFonts w:cstheme="minorHAnsi"/>
        </w:rPr>
        <w:t xml:space="preserve">. </w:t>
      </w:r>
    </w:p>
    <w:p w14:paraId="1993A72C" w14:textId="2B4FE809" w:rsidR="00EF5069" w:rsidRPr="00091660" w:rsidRDefault="00091660" w:rsidP="00895F62">
      <w:pPr>
        <w:spacing w:line="480" w:lineRule="auto"/>
        <w:jc w:val="both"/>
        <w:rPr>
          <w:rFonts w:cstheme="minorHAnsi"/>
          <w:color w:val="212121"/>
          <w:shd w:val="clear" w:color="auto" w:fill="FFFFFF"/>
        </w:rPr>
      </w:pPr>
      <w:r w:rsidRPr="00A30F68">
        <w:rPr>
          <w:rFonts w:cstheme="minorHAnsi"/>
          <w:color w:val="212121"/>
          <w:shd w:val="clear" w:color="auto" w:fill="FFFFFF"/>
        </w:rPr>
        <w:t>In this study we focused on the t</w:t>
      </w:r>
      <w:r w:rsidRPr="00A30F68">
        <w:rPr>
          <w:rFonts w:cstheme="minorHAnsi"/>
        </w:rPr>
        <w:t>herapeutic</w:t>
      </w:r>
      <w:r>
        <w:rPr>
          <w:rFonts w:cstheme="minorHAnsi"/>
        </w:rPr>
        <w:t xml:space="preserve"> atabecestat, </w:t>
      </w:r>
      <w:r w:rsidRPr="00A30F68">
        <w:rPr>
          <w:rFonts w:cstheme="minorHAnsi"/>
        </w:rPr>
        <w:t xml:space="preserve">which functioned to reduce the synthesis of amyloid plaques, a significant feature of </w:t>
      </w:r>
      <w:r>
        <w:rPr>
          <w:rFonts w:cstheme="minorHAnsi"/>
        </w:rPr>
        <w:t>AD</w:t>
      </w:r>
      <w:r w:rsidRPr="00A30F68">
        <w:rPr>
          <w:rFonts w:cstheme="minorHAnsi"/>
        </w:rPr>
        <w:t xml:space="preserve">. Phase I studies were conducted to atabecestat in amyloid positive Caucasian and Japanese patients. </w:t>
      </w:r>
      <w:r>
        <w:rPr>
          <w:rFonts w:cstheme="minorHAnsi"/>
        </w:rPr>
        <w:t>Four-</w:t>
      </w:r>
      <w:r w:rsidRPr="00A30F68">
        <w:rPr>
          <w:rFonts w:cstheme="minorHAnsi"/>
        </w:rPr>
        <w:t xml:space="preserve">week treatment with </w:t>
      </w:r>
      <w:r>
        <w:rPr>
          <w:rFonts w:cstheme="minorHAnsi"/>
        </w:rPr>
        <w:t>atabecestat</w:t>
      </w:r>
      <w:r w:rsidRPr="00A30F68">
        <w:rPr>
          <w:rFonts w:cstheme="minorHAnsi"/>
        </w:rPr>
        <w:t xml:space="preserve"> resulted in a mean reduction of 67% in</w:t>
      </w:r>
      <w:r w:rsidRPr="00A30F68">
        <w:rPr>
          <w:rFonts w:cstheme="minorHAnsi"/>
          <w:sz w:val="24"/>
        </w:rPr>
        <w:t xml:space="preserve"> </w:t>
      </w:r>
      <w:r>
        <w:rPr>
          <w:rStyle w:val="Emphasis"/>
          <w:rFonts w:cstheme="minorHAnsi"/>
          <w:bCs/>
          <w:i w:val="0"/>
          <w:iCs w:val="0"/>
          <w:szCs w:val="21"/>
          <w:shd w:val="clear" w:color="auto" w:fill="FFFFFF"/>
        </w:rPr>
        <w:t>c</w:t>
      </w:r>
      <w:r w:rsidRPr="00A30F68">
        <w:rPr>
          <w:rStyle w:val="Emphasis"/>
          <w:rFonts w:cstheme="minorHAnsi"/>
          <w:bCs/>
          <w:i w:val="0"/>
          <w:iCs w:val="0"/>
          <w:szCs w:val="21"/>
          <w:shd w:val="clear" w:color="auto" w:fill="FFFFFF"/>
        </w:rPr>
        <w:t xml:space="preserve">erebrospinal </w:t>
      </w:r>
      <w:r>
        <w:rPr>
          <w:rStyle w:val="Emphasis"/>
          <w:rFonts w:cstheme="minorHAnsi"/>
          <w:bCs/>
          <w:i w:val="0"/>
          <w:iCs w:val="0"/>
          <w:szCs w:val="21"/>
          <w:shd w:val="clear" w:color="auto" w:fill="FFFFFF"/>
        </w:rPr>
        <w:t>f</w:t>
      </w:r>
      <w:r w:rsidRPr="00A30F68">
        <w:rPr>
          <w:rStyle w:val="Emphasis"/>
          <w:rFonts w:cstheme="minorHAnsi"/>
          <w:bCs/>
          <w:i w:val="0"/>
          <w:iCs w:val="0"/>
          <w:szCs w:val="21"/>
          <w:shd w:val="clear" w:color="auto" w:fill="FFFFFF"/>
        </w:rPr>
        <w:t>luid</w:t>
      </w:r>
      <w:r w:rsidRPr="00A30F68">
        <w:rPr>
          <w:rFonts w:cstheme="minorHAnsi"/>
        </w:rPr>
        <w:t>-Aβ</w:t>
      </w:r>
      <w:r w:rsidRPr="00A30F68">
        <w:rPr>
          <w:rFonts w:cstheme="minorHAnsi"/>
          <w:vertAlign w:val="subscript"/>
        </w:rPr>
        <w:t>1-40</w:t>
      </w:r>
      <w:r w:rsidRPr="00A30F68">
        <w:rPr>
          <w:rFonts w:cstheme="minorHAnsi"/>
        </w:rPr>
        <w:t xml:space="preserve"> in both the Caucasian and Japanese patients, with a reduction of up to 90% in some patients </w:t>
      </w:r>
      <w:r>
        <w:rPr>
          <w:rFonts w:cstheme="minorHAnsi"/>
          <w:noProof/>
        </w:rPr>
        <w:t>(26)</w:t>
      </w:r>
      <w:r w:rsidRPr="00A30F68">
        <w:rPr>
          <w:rFonts w:cstheme="minorHAnsi"/>
        </w:rPr>
        <w:t xml:space="preserve">. Following this, phase 2/3 studies were conducted, </w:t>
      </w:r>
      <w:r>
        <w:rPr>
          <w:rFonts w:cstheme="minorHAnsi"/>
        </w:rPr>
        <w:t>with a plan to</w:t>
      </w:r>
      <w:r w:rsidRPr="00A30F68">
        <w:rPr>
          <w:rFonts w:cstheme="minorHAnsi"/>
        </w:rPr>
        <w:t xml:space="preserve"> enrol up to 1650 patients at risk of dementia with a primary endpoint being the slowing of cognitive decline in those patients receiving either 10 </w:t>
      </w:r>
      <w:r>
        <w:rPr>
          <w:rFonts w:cstheme="minorHAnsi"/>
        </w:rPr>
        <w:t xml:space="preserve">mg </w:t>
      </w:r>
      <w:r w:rsidRPr="00354A6B">
        <w:rPr>
          <w:rFonts w:cstheme="minorHAnsi"/>
        </w:rPr>
        <w:t>(decreased to 5mg after 11 participants received 10</w:t>
      </w:r>
      <w:r>
        <w:rPr>
          <w:rFonts w:cstheme="minorHAnsi"/>
        </w:rPr>
        <w:t xml:space="preserve"> </w:t>
      </w:r>
      <w:r w:rsidRPr="00354A6B">
        <w:rPr>
          <w:rFonts w:cstheme="minorHAnsi"/>
        </w:rPr>
        <w:t xml:space="preserve">mg to increase safety margin between low and high doses) </w:t>
      </w:r>
      <w:r w:rsidRPr="00A30F68">
        <w:rPr>
          <w:rFonts w:cstheme="minorHAnsi"/>
        </w:rPr>
        <w:t xml:space="preserve">or 25 mg of the drug compared to placebo. However, in May 2018 the atabecestat program was discontinued based on the detection </w:t>
      </w:r>
      <w:r w:rsidRPr="00A30F68">
        <w:rPr>
          <w:rFonts w:cstheme="minorHAnsi"/>
        </w:rPr>
        <w:lastRenderedPageBreak/>
        <w:t>of elevated liver enzymes</w:t>
      </w:r>
      <w:r>
        <w:rPr>
          <w:rFonts w:cstheme="minorHAnsi"/>
        </w:rPr>
        <w:t>.</w:t>
      </w:r>
      <w:r w:rsidRPr="00A30F68">
        <w:rPr>
          <w:rFonts w:cstheme="minorHAnsi"/>
        </w:rPr>
        <w:t xml:space="preserve"> </w:t>
      </w:r>
      <w:r w:rsidRPr="00354A6B">
        <w:rPr>
          <w:rFonts w:cstheme="minorHAnsi"/>
        </w:rPr>
        <w:t>Of the 475 patients exposed to atabecestat, approximately 24% had ALT/AST of &gt;1.5 x ULN, and 11% had ALT elevations &gt;3x ULN.</w:t>
      </w:r>
      <w:r>
        <w:rPr>
          <w:rFonts w:cstheme="minorHAnsi"/>
        </w:rPr>
        <w:t xml:space="preserve"> </w:t>
      </w:r>
      <w:r>
        <w:rPr>
          <w:szCs w:val="24"/>
        </w:rPr>
        <w:t xml:space="preserve">The evolution of these elevations was heterogeneous and some elevations were transient while patients remained on treatment. </w:t>
      </w:r>
      <w:r>
        <w:rPr>
          <w:rFonts w:cstheme="minorHAnsi"/>
        </w:rPr>
        <w:t xml:space="preserve">The patients with liver injury showed no signs of skin rash and/or eosinophilia. </w:t>
      </w:r>
      <w:r>
        <w:rPr>
          <w:szCs w:val="24"/>
        </w:rPr>
        <w:t xml:space="preserve">Interestingly, the dose of atabecestat (10-25 mg) is relatively low for a DILI causing drug and a genetic association with HLA has not been identified. Furthermore, the time to onset of raised liver enzymes (32-344 days; Table 1) is significantly longer than that associated with skin reactions such as maculopapular exanthema. Although the factors responsible for breaking tolerance after several months of drug therapy are not known, </w:t>
      </w:r>
      <w:r w:rsidRPr="00A30F68">
        <w:rPr>
          <w:rFonts w:cstheme="minorHAnsi"/>
        </w:rPr>
        <w:t xml:space="preserve">the expression and activity of immune co-inhibitory receptors such as PD-1 and CTLA-4 is an area of considerable interest. Through </w:t>
      </w:r>
      <w:r w:rsidRPr="00A30F68">
        <w:rPr>
          <w:rFonts w:cstheme="minorHAnsi"/>
          <w:i/>
        </w:rPr>
        <w:t>in vitro</w:t>
      </w:r>
      <w:r w:rsidRPr="00A30F68">
        <w:rPr>
          <w:rFonts w:cstheme="minorHAnsi"/>
        </w:rPr>
        <w:t xml:space="preserve"> assessment of drug-specific T-cell priming, we have shown that the level of T-cell activation is significantly enhanced when immune regulation has been dysregulated with immune checkpoint inhibitors </w:t>
      </w:r>
      <w:r>
        <w:rPr>
          <w:rFonts w:cstheme="minorHAnsi"/>
          <w:noProof/>
        </w:rPr>
        <w:t>(27, 28)</w:t>
      </w:r>
      <w:r w:rsidRPr="00A30F68">
        <w:rPr>
          <w:rFonts w:cstheme="minorHAnsi"/>
        </w:rPr>
        <w:t xml:space="preserve">. </w:t>
      </w:r>
      <w:r>
        <w:rPr>
          <w:rFonts w:cstheme="minorHAnsi"/>
        </w:rPr>
        <w:t>C</w:t>
      </w:r>
      <w:r w:rsidRPr="00A30F68">
        <w:rPr>
          <w:rFonts w:cstheme="minorHAnsi"/>
        </w:rPr>
        <w:t>linical studies</w:t>
      </w:r>
      <w:r>
        <w:rPr>
          <w:rFonts w:cstheme="minorHAnsi"/>
        </w:rPr>
        <w:t xml:space="preserve"> using a low molecular weight drug alongside an immune checkpoint inhibitor</w:t>
      </w:r>
      <w:r w:rsidRPr="008312A4">
        <w:rPr>
          <w:rFonts w:cstheme="minorHAnsi"/>
        </w:rPr>
        <w:t xml:space="preserve"> </w:t>
      </w:r>
      <w:r>
        <w:rPr>
          <w:rFonts w:cstheme="minorHAnsi"/>
        </w:rPr>
        <w:t>are also beginning to highlight t</w:t>
      </w:r>
      <w:r w:rsidRPr="00A30F68">
        <w:rPr>
          <w:rFonts w:cstheme="minorHAnsi"/>
        </w:rPr>
        <w:t xml:space="preserve">he importance of immune dysregulation on susceptibility </w:t>
      </w:r>
      <w:r>
        <w:rPr>
          <w:rFonts w:cstheme="minorHAnsi"/>
        </w:rPr>
        <w:t xml:space="preserve">to </w:t>
      </w:r>
      <w:r w:rsidRPr="00A30F68">
        <w:rPr>
          <w:rFonts w:cstheme="minorHAnsi"/>
        </w:rPr>
        <w:t xml:space="preserve">DILI. For example, dacarbazine a relatively safe imidazole carboxamide chemotherapy drug, was not tolerable in a Japanese phase II study when combined with ipilimumab, a monoclonal antibody that targets CTLA-4. Twelve out of fifteen patients developed </w:t>
      </w:r>
      <w:r>
        <w:rPr>
          <w:rFonts w:cstheme="minorHAnsi"/>
        </w:rPr>
        <w:t>elevations</w:t>
      </w:r>
      <w:r w:rsidRPr="00A30F68">
        <w:rPr>
          <w:rFonts w:cstheme="minorHAnsi"/>
        </w:rPr>
        <w:t xml:space="preserve"> in </w:t>
      </w:r>
      <w:r>
        <w:rPr>
          <w:rFonts w:cstheme="minorHAnsi"/>
          <w:color w:val="212121"/>
          <w:shd w:val="clear" w:color="auto" w:fill="FFFFFF"/>
        </w:rPr>
        <w:t>ALT</w:t>
      </w:r>
      <w:r w:rsidRPr="00A30F68">
        <w:rPr>
          <w:rFonts w:cstheme="minorHAnsi"/>
          <w:color w:val="212121"/>
          <w:shd w:val="clear" w:color="auto" w:fill="FFFFFF"/>
        </w:rPr>
        <w:t xml:space="preserve"> and aspartate aminotransferase </w:t>
      </w:r>
      <w:r>
        <w:rPr>
          <w:rFonts w:cstheme="minorHAnsi"/>
          <w:noProof/>
          <w:color w:val="212121"/>
          <w:shd w:val="clear" w:color="auto" w:fill="FFFFFF"/>
        </w:rPr>
        <w:t>(29)</w:t>
      </w:r>
      <w:r w:rsidRPr="00A30F68">
        <w:rPr>
          <w:rFonts w:cstheme="minorHAnsi"/>
          <w:color w:val="212121"/>
          <w:shd w:val="clear" w:color="auto" w:fill="FFFFFF"/>
        </w:rPr>
        <w:t xml:space="preserve">. </w:t>
      </w:r>
      <w:r w:rsidRPr="00781626">
        <w:rPr>
          <w:rFonts w:cstheme="minorHAnsi"/>
          <w:color w:val="212121"/>
          <w:shd w:val="clear" w:color="auto" w:fill="FFFFFF"/>
        </w:rPr>
        <w:t xml:space="preserve">Hence, it is </w:t>
      </w:r>
      <w:r w:rsidRPr="00091660">
        <w:rPr>
          <w:rFonts w:cstheme="minorHAnsi"/>
          <w:shd w:val="clear" w:color="auto" w:fill="FFFFFF"/>
        </w:rPr>
        <w:t xml:space="preserve">possible that a natural imbalance in immune regulatory factors mediated by disease or environmental factors may be an important determinant of susceptibility. Alternatively, a low drug-responsive </w:t>
      </w:r>
      <w:r w:rsidRPr="00781626">
        <w:rPr>
          <w:rFonts w:cstheme="minorHAnsi"/>
          <w:color w:val="212121"/>
          <w:shd w:val="clear" w:color="auto" w:fill="FFFFFF"/>
        </w:rPr>
        <w:t xml:space="preserve">T-cell precursor frequency at the time of </w:t>
      </w:r>
      <w:r w:rsidRPr="00186B12">
        <w:rPr>
          <w:rFonts w:cstheme="minorHAnsi"/>
          <w:color w:val="212121"/>
          <w:shd w:val="clear" w:color="auto" w:fill="FFFFFF"/>
        </w:rPr>
        <w:t xml:space="preserve">initial drug exposure might explain the delayed time to onset, but not the variable time to onset. </w:t>
      </w:r>
    </w:p>
    <w:p w14:paraId="3AE9A8A3" w14:textId="45A119AD" w:rsidR="00895F62" w:rsidRDefault="00895F62" w:rsidP="00895F62">
      <w:pPr>
        <w:spacing w:line="480" w:lineRule="auto"/>
        <w:jc w:val="both"/>
      </w:pPr>
      <w:r>
        <w:rPr>
          <w:rFonts w:cstheme="minorHAnsi"/>
        </w:rPr>
        <w:t xml:space="preserve">To </w:t>
      </w:r>
      <w:r w:rsidRPr="0088428A">
        <w:rPr>
          <w:szCs w:val="24"/>
        </w:rPr>
        <w:t>investigate the involvement of the immune system in subjects who experienced elevated liver enzymes whi</w:t>
      </w:r>
      <w:r>
        <w:rPr>
          <w:szCs w:val="24"/>
        </w:rPr>
        <w:t>lst receiving atabecestat,</w:t>
      </w:r>
      <w:r w:rsidRPr="006F2B7F">
        <w:rPr>
          <w:szCs w:val="24"/>
        </w:rPr>
        <w:t xml:space="preserve"> PBMC samples were </w:t>
      </w:r>
      <w:r>
        <w:rPr>
          <w:szCs w:val="24"/>
        </w:rPr>
        <w:t>collected,</w:t>
      </w:r>
      <w:r>
        <w:rPr>
          <w:rFonts w:cstheme="minorHAnsi"/>
        </w:rPr>
        <w:t xml:space="preserve"> and T-cells were cloned from atabecestat- and atabecestat metabolite-exposed </w:t>
      </w:r>
      <w:r w:rsidRPr="00A30F68">
        <w:rPr>
          <w:rFonts w:cstheme="minorHAnsi"/>
        </w:rPr>
        <w:t xml:space="preserve">PBMC </w:t>
      </w:r>
      <w:r>
        <w:rPr>
          <w:rFonts w:cstheme="minorHAnsi"/>
        </w:rPr>
        <w:t xml:space="preserve">lines for phenotypic and functional assessment. </w:t>
      </w:r>
      <w:r>
        <w:t xml:space="preserve">HLA-genotyping was conducted on 4 of the patients PBMC that were subjected to T-cell cloning. Genotyping identified the common expression of HLA-DRB1*04:01 and DRB1*15:01 in 3 </w:t>
      </w:r>
      <w:r>
        <w:lastRenderedPageBreak/>
        <w:t>patients suggesting that if CD4+ T-cell responses were detected they may involve the drug interacting selectively with the proteins encoded by these alleles.</w:t>
      </w:r>
    </w:p>
    <w:p w14:paraId="0D21A1C5" w14:textId="47AA074F" w:rsidR="00E04263" w:rsidRDefault="00491B86" w:rsidP="009A2CEA">
      <w:pPr>
        <w:spacing w:line="480" w:lineRule="auto"/>
        <w:jc w:val="both"/>
        <w:rPr>
          <w:rFonts w:cstheme="minorHAnsi"/>
        </w:rPr>
      </w:pPr>
      <w:r w:rsidRPr="009A2CEA">
        <w:rPr>
          <w:rFonts w:cstheme="minorHAnsi"/>
        </w:rPr>
        <w:t xml:space="preserve">On the whole diagnostic assays conducted on the PBMCs of patients were negative by way of proliferation and </w:t>
      </w:r>
      <w:r w:rsidR="00BB1E41" w:rsidRPr="009A2CEA">
        <w:rPr>
          <w:rFonts w:cstheme="minorHAnsi"/>
        </w:rPr>
        <w:t>secretion of cytokines and effector molecules.</w:t>
      </w:r>
      <w:r w:rsidR="00583547">
        <w:rPr>
          <w:rFonts w:cstheme="minorHAnsi"/>
        </w:rPr>
        <w:t xml:space="preserve"> </w:t>
      </w:r>
      <w:r w:rsidR="00BB1E41" w:rsidRPr="009A2CEA">
        <w:rPr>
          <w:rFonts w:cstheme="minorHAnsi"/>
        </w:rPr>
        <w:t>One exception was patient 6, wh</w:t>
      </w:r>
      <w:r w:rsidR="00106540">
        <w:rPr>
          <w:rFonts w:cstheme="minorHAnsi"/>
        </w:rPr>
        <w:t>ich noted a subtle</w:t>
      </w:r>
      <w:r w:rsidR="00BB1E41" w:rsidRPr="009A2CEA">
        <w:rPr>
          <w:rFonts w:cstheme="minorHAnsi"/>
        </w:rPr>
        <w:t xml:space="preserve"> increase in secretion of granzyme B in response to the primary metabolite of atabecestat; DIAT. </w:t>
      </w:r>
      <w:r w:rsidR="00E04263">
        <w:rPr>
          <w:rFonts w:cstheme="minorHAnsi"/>
        </w:rPr>
        <w:t>P</w:t>
      </w:r>
      <w:r w:rsidR="00E04263" w:rsidRPr="009A2CEA">
        <w:rPr>
          <w:rFonts w:cstheme="minorHAnsi"/>
        </w:rPr>
        <w:t>atient 6 show</w:t>
      </w:r>
      <w:r w:rsidR="00E04263">
        <w:rPr>
          <w:rFonts w:cstheme="minorHAnsi"/>
        </w:rPr>
        <w:t>ed</w:t>
      </w:r>
      <w:r w:rsidR="00E04263" w:rsidRPr="009A2CEA">
        <w:rPr>
          <w:rFonts w:cstheme="minorHAnsi"/>
        </w:rPr>
        <w:t xml:space="preserve"> persistent liver enzyme elevations even one month after cessation of</w:t>
      </w:r>
      <w:r w:rsidR="00E04263">
        <w:rPr>
          <w:rFonts w:cstheme="minorHAnsi"/>
        </w:rPr>
        <w:t xml:space="preserve"> atabecestat</w:t>
      </w:r>
      <w:r w:rsidR="00E04263" w:rsidRPr="009A2CEA">
        <w:rPr>
          <w:rFonts w:cstheme="minorHAnsi"/>
        </w:rPr>
        <w:t xml:space="preserve"> treatment. Furthermore, a liver biopsy from this patient indicated a zone 3-predominant necroinflammatory process, with lymphocyte infiltration</w:t>
      </w:r>
      <w:r w:rsidR="00F12029">
        <w:rPr>
          <w:rFonts w:cstheme="minorHAnsi"/>
        </w:rPr>
        <w:t xml:space="preserve"> </w:t>
      </w:r>
      <w:r w:rsidR="00F12029">
        <w:rPr>
          <w:rFonts w:cstheme="minorHAnsi"/>
          <w:noProof/>
        </w:rPr>
        <w:t>(3)</w:t>
      </w:r>
      <w:r w:rsidR="00F12029">
        <w:rPr>
          <w:rFonts w:cstheme="minorHAnsi"/>
        </w:rPr>
        <w:t>.</w:t>
      </w:r>
      <w:r w:rsidR="00E04263" w:rsidRPr="009A2CEA">
        <w:rPr>
          <w:rFonts w:cstheme="minorHAnsi"/>
        </w:rPr>
        <w:t xml:space="preserve"> </w:t>
      </w:r>
      <w:r w:rsidR="00E04263">
        <w:rPr>
          <w:rFonts w:cstheme="minorHAnsi"/>
          <w:i/>
        </w:rPr>
        <w:t xml:space="preserve"> </w:t>
      </w:r>
    </w:p>
    <w:p w14:paraId="3B0CD576" w14:textId="6C1C3CEA" w:rsidR="000546E7" w:rsidRPr="00886BED" w:rsidRDefault="00FB1975" w:rsidP="00886BED">
      <w:pPr>
        <w:shd w:val="clear" w:color="auto" w:fill="FFFFFF"/>
        <w:spacing w:after="0" w:line="480" w:lineRule="auto"/>
        <w:jc w:val="both"/>
        <w:rPr>
          <w:rFonts w:ascii="Calibri" w:eastAsia="Times New Roman" w:hAnsi="Calibri" w:cs="Calibri"/>
          <w:color w:val="002060"/>
          <w:lang w:eastAsia="en-GB"/>
        </w:rPr>
      </w:pPr>
      <w:r>
        <w:rPr>
          <w:szCs w:val="24"/>
        </w:rPr>
        <w:t>E</w:t>
      </w:r>
      <w:r w:rsidR="00C6775D" w:rsidRPr="009A2CEA">
        <w:rPr>
          <w:rFonts w:cstheme="minorHAnsi"/>
        </w:rPr>
        <w:t>ight</w:t>
      </w:r>
      <w:r w:rsidR="000008AF" w:rsidRPr="009A2CEA">
        <w:rPr>
          <w:rFonts w:cstheme="minorHAnsi"/>
        </w:rPr>
        <w:t xml:space="preserve"> </w:t>
      </w:r>
      <w:r w:rsidR="00434406">
        <w:rPr>
          <w:rFonts w:cstheme="minorHAnsi"/>
        </w:rPr>
        <w:t xml:space="preserve">patient PBMC </w:t>
      </w:r>
      <w:r w:rsidR="000008AF" w:rsidRPr="009A2CEA">
        <w:rPr>
          <w:rFonts w:cstheme="minorHAnsi"/>
        </w:rPr>
        <w:t>were subjected to T-cell cloning</w:t>
      </w:r>
      <w:r w:rsidR="00C36AB2" w:rsidRPr="009A2CEA">
        <w:rPr>
          <w:rFonts w:cstheme="minorHAnsi"/>
        </w:rPr>
        <w:t xml:space="preserve">. </w:t>
      </w:r>
      <w:r w:rsidR="00434406">
        <w:rPr>
          <w:rFonts w:cstheme="minorHAnsi"/>
        </w:rPr>
        <w:t xml:space="preserve">Study compound-responsive </w:t>
      </w:r>
      <w:r w:rsidR="000008AF" w:rsidRPr="009A2CEA">
        <w:rPr>
          <w:rFonts w:cstheme="minorHAnsi"/>
        </w:rPr>
        <w:t xml:space="preserve">clones were generated from </w:t>
      </w:r>
      <w:r w:rsidR="00106540">
        <w:rPr>
          <w:rFonts w:cstheme="minorHAnsi"/>
        </w:rPr>
        <w:t>five</w:t>
      </w:r>
      <w:r w:rsidR="000008AF" w:rsidRPr="009A2CEA">
        <w:rPr>
          <w:rFonts w:cstheme="minorHAnsi"/>
        </w:rPr>
        <w:t xml:space="preserve"> </w:t>
      </w:r>
      <w:r w:rsidR="00434406">
        <w:rPr>
          <w:rFonts w:cstheme="minorHAnsi"/>
        </w:rPr>
        <w:t xml:space="preserve">of these patients </w:t>
      </w:r>
      <w:r w:rsidR="000008AF" w:rsidRPr="009A2CEA">
        <w:rPr>
          <w:rFonts w:cstheme="minorHAnsi"/>
        </w:rPr>
        <w:t xml:space="preserve">with the greatest number </w:t>
      </w:r>
      <w:r w:rsidR="008B4549" w:rsidRPr="009A2CEA">
        <w:rPr>
          <w:rFonts w:cstheme="minorHAnsi"/>
        </w:rPr>
        <w:t>stemming</w:t>
      </w:r>
      <w:r w:rsidR="000008AF" w:rsidRPr="009A2CEA">
        <w:rPr>
          <w:rFonts w:cstheme="minorHAnsi"/>
        </w:rPr>
        <w:t xml:space="preserve"> from patient 6.</w:t>
      </w:r>
      <w:r w:rsidR="00434406">
        <w:rPr>
          <w:rFonts w:cstheme="minorHAnsi"/>
        </w:rPr>
        <w:t xml:space="preserve"> </w:t>
      </w:r>
      <w:r w:rsidR="009736EC">
        <w:rPr>
          <w:szCs w:val="24"/>
        </w:rPr>
        <w:t>G</w:t>
      </w:r>
      <w:r w:rsidR="00434406" w:rsidRPr="0088428A">
        <w:rPr>
          <w:szCs w:val="24"/>
        </w:rPr>
        <w:t xml:space="preserve">eneration of </w:t>
      </w:r>
      <w:r w:rsidR="009736EC">
        <w:rPr>
          <w:szCs w:val="24"/>
        </w:rPr>
        <w:t>atabecestat</w:t>
      </w:r>
      <w:r w:rsidR="00434406" w:rsidRPr="006F2B7F">
        <w:rPr>
          <w:szCs w:val="24"/>
        </w:rPr>
        <w:t>-responsive T-cell clones was much more uncommon than seen with the DIAT metabolite</w:t>
      </w:r>
      <w:r w:rsidR="009736EC">
        <w:rPr>
          <w:szCs w:val="24"/>
        </w:rPr>
        <w:t>,</w:t>
      </w:r>
      <w:r w:rsidR="00434406" w:rsidRPr="006F2B7F">
        <w:rPr>
          <w:szCs w:val="24"/>
        </w:rPr>
        <w:t xml:space="preserve"> which may suggest a lower T-cell pre-cursor frequency. Furthermore, no confirmed T-cell clones were ge</w:t>
      </w:r>
      <w:r w:rsidR="00434406">
        <w:rPr>
          <w:szCs w:val="24"/>
        </w:rPr>
        <w:t xml:space="preserve">nerated to the minor </w:t>
      </w:r>
      <w:r w:rsidR="009736EC">
        <w:rPr>
          <w:szCs w:val="24"/>
        </w:rPr>
        <w:t xml:space="preserve">epoxide </w:t>
      </w:r>
      <w:r w:rsidR="00434406">
        <w:rPr>
          <w:szCs w:val="24"/>
        </w:rPr>
        <w:t>metabolite</w:t>
      </w:r>
      <w:r w:rsidR="00434406" w:rsidRPr="006F2B7F">
        <w:rPr>
          <w:szCs w:val="24"/>
        </w:rPr>
        <w:t xml:space="preserve"> of atabecestat suggesting that </w:t>
      </w:r>
      <w:r w:rsidR="000546E7">
        <w:rPr>
          <w:szCs w:val="24"/>
        </w:rPr>
        <w:t xml:space="preserve">if atabecestat epoxide-responsive clones exist, their </w:t>
      </w:r>
      <w:r w:rsidR="00434406" w:rsidRPr="006F2B7F">
        <w:rPr>
          <w:szCs w:val="24"/>
        </w:rPr>
        <w:t xml:space="preserve">precursor frequency </w:t>
      </w:r>
      <w:r w:rsidR="000546E7">
        <w:rPr>
          <w:szCs w:val="24"/>
        </w:rPr>
        <w:t>must be</w:t>
      </w:r>
      <w:r w:rsidR="00434406" w:rsidRPr="006F2B7F">
        <w:rPr>
          <w:szCs w:val="24"/>
        </w:rPr>
        <w:t xml:space="preserve"> very low.</w:t>
      </w:r>
      <w:r w:rsidR="000546E7">
        <w:rPr>
          <w:szCs w:val="24"/>
        </w:rPr>
        <w:t xml:space="preserve"> In total atabecestat</w:t>
      </w:r>
      <w:r w:rsidR="00434406" w:rsidRPr="006F2B7F">
        <w:rPr>
          <w:szCs w:val="24"/>
        </w:rPr>
        <w:t>-responsive clones were generated from two</w:t>
      </w:r>
      <w:r w:rsidR="000546E7">
        <w:rPr>
          <w:szCs w:val="24"/>
        </w:rPr>
        <w:t xml:space="preserve"> of the patients</w:t>
      </w:r>
      <w:r w:rsidR="00434406" w:rsidRPr="006F2B7F">
        <w:rPr>
          <w:szCs w:val="24"/>
        </w:rPr>
        <w:t xml:space="preserve"> </w:t>
      </w:r>
      <w:r w:rsidR="00D52EC6">
        <w:rPr>
          <w:szCs w:val="24"/>
        </w:rPr>
        <w:t xml:space="preserve">PBMC </w:t>
      </w:r>
      <w:r w:rsidR="00434406" w:rsidRPr="006F2B7F">
        <w:rPr>
          <w:szCs w:val="24"/>
        </w:rPr>
        <w:t>to undergo T-cell cloning</w:t>
      </w:r>
      <w:r w:rsidR="000546E7">
        <w:rPr>
          <w:szCs w:val="24"/>
        </w:rPr>
        <w:t xml:space="preserve">. </w:t>
      </w:r>
      <w:r w:rsidR="000546E7" w:rsidRPr="006F2B7F">
        <w:rPr>
          <w:szCs w:val="24"/>
        </w:rPr>
        <w:t xml:space="preserve">One of </w:t>
      </w:r>
      <w:r w:rsidR="000546E7">
        <w:rPr>
          <w:szCs w:val="24"/>
        </w:rPr>
        <w:t>the atabecestat-responsive</w:t>
      </w:r>
      <w:r w:rsidR="000546E7" w:rsidRPr="006F2B7F">
        <w:rPr>
          <w:szCs w:val="24"/>
        </w:rPr>
        <w:t xml:space="preserve"> clones exhibited a CD8+ phenotype in contrast with all other generated clones which were CD4+.</w:t>
      </w:r>
      <w:r w:rsidR="000546E7">
        <w:rPr>
          <w:szCs w:val="24"/>
        </w:rPr>
        <w:t xml:space="preserve"> DIAT-responsive clones detected in </w:t>
      </w:r>
      <w:r w:rsidR="00106540">
        <w:rPr>
          <w:szCs w:val="24"/>
        </w:rPr>
        <w:t>5</w:t>
      </w:r>
      <w:r w:rsidR="000546E7">
        <w:rPr>
          <w:szCs w:val="24"/>
        </w:rPr>
        <w:t xml:space="preserve"> patients all displayed a CD4+ phenotype. </w:t>
      </w:r>
      <w:r w:rsidR="00AF566A">
        <w:rPr>
          <w:szCs w:val="24"/>
        </w:rPr>
        <w:t xml:space="preserve">Clones were activated with study compounds at concentrations of 10 </w:t>
      </w:r>
      <w:r w:rsidR="00AF566A">
        <w:rPr>
          <w:rFonts w:cstheme="minorHAnsi"/>
          <w:szCs w:val="24"/>
        </w:rPr>
        <w:t>µ</w:t>
      </w:r>
      <w:r w:rsidR="00AF566A">
        <w:rPr>
          <w:szCs w:val="24"/>
        </w:rPr>
        <w:t xml:space="preserve">M and above. </w:t>
      </w:r>
      <w:r w:rsidR="00AF566A" w:rsidRPr="00812609">
        <w:rPr>
          <w:rFonts w:ascii="Calibri" w:eastAsia="Times New Roman" w:hAnsi="Calibri" w:cs="Calibri"/>
          <w:lang w:eastAsia="en-GB"/>
        </w:rPr>
        <w:t>Steady-state human atabecestat plasma levels are reached by day 5 in line with the plasma t1/2 of 15-19h. At 25 mg qd atabecestat dosing a mean plasma Cmax of 0.7 µM was observed (</w:t>
      </w:r>
      <w:r w:rsidR="004C24BC" w:rsidRPr="00812609">
        <w:rPr>
          <w:rFonts w:ascii="Calibri" w:eastAsia="Times New Roman" w:hAnsi="Calibri" w:cs="Calibri"/>
          <w:lang w:eastAsia="en-GB"/>
        </w:rPr>
        <w:t>2</w:t>
      </w:r>
      <w:r w:rsidR="00274111" w:rsidRPr="00812609">
        <w:rPr>
          <w:rFonts w:ascii="Calibri" w:eastAsia="Times New Roman" w:hAnsi="Calibri" w:cs="Calibri"/>
          <w:lang w:eastAsia="en-GB"/>
        </w:rPr>
        <w:t>6</w:t>
      </w:r>
      <w:r w:rsidR="004C24BC" w:rsidRPr="00812609">
        <w:rPr>
          <w:rFonts w:ascii="Calibri" w:eastAsia="Times New Roman" w:hAnsi="Calibri" w:cs="Calibri"/>
          <w:lang w:eastAsia="en-GB"/>
        </w:rPr>
        <w:t xml:space="preserve">, </w:t>
      </w:r>
      <w:r w:rsidR="00274111" w:rsidRPr="00812609">
        <w:rPr>
          <w:rFonts w:ascii="Calibri" w:eastAsia="Times New Roman" w:hAnsi="Calibri" w:cs="Calibri"/>
          <w:lang w:eastAsia="en-GB"/>
        </w:rPr>
        <w:t>30</w:t>
      </w:r>
      <w:r w:rsidR="00AF566A" w:rsidRPr="00812609">
        <w:rPr>
          <w:rFonts w:ascii="Calibri" w:eastAsia="Times New Roman" w:hAnsi="Calibri" w:cs="Calibri"/>
          <w:lang w:eastAsia="en-GB"/>
        </w:rPr>
        <w:t xml:space="preserve">). All circulating human metabolites showed a similar plasma half-life as atabecestat. The most abundant human plasma metabolite was the DIAT metabolite which reached a steady state Cmax of 0.05 µM. </w:t>
      </w:r>
      <w:r w:rsidR="004C24BC" w:rsidRPr="00812609">
        <w:rPr>
          <w:rFonts w:ascii="Calibri" w:eastAsia="Times New Roman" w:hAnsi="Calibri" w:cs="Calibri"/>
          <w:lang w:eastAsia="en-GB"/>
        </w:rPr>
        <w:t>Although atabecestat drug-</w:t>
      </w:r>
      <w:r w:rsidR="00AF566A" w:rsidRPr="00812609">
        <w:rPr>
          <w:rFonts w:ascii="Calibri" w:eastAsia="Times New Roman" w:hAnsi="Calibri" w:cs="Calibri"/>
          <w:lang w:eastAsia="en-GB"/>
        </w:rPr>
        <w:t>related material was not quantified in human liver samples</w:t>
      </w:r>
      <w:r w:rsidR="004C24BC" w:rsidRPr="00812609">
        <w:rPr>
          <w:rFonts w:ascii="Calibri" w:eastAsia="Times New Roman" w:hAnsi="Calibri" w:cs="Calibri"/>
          <w:lang w:eastAsia="en-GB"/>
        </w:rPr>
        <w:t>,</w:t>
      </w:r>
      <w:r w:rsidR="00AF566A" w:rsidRPr="00812609">
        <w:rPr>
          <w:rFonts w:ascii="Calibri" w:eastAsia="Times New Roman" w:hAnsi="Calibri" w:cs="Calibri"/>
          <w:lang w:eastAsia="en-GB"/>
        </w:rPr>
        <w:t xml:space="preserve"> an atabecestat </w:t>
      </w:r>
      <w:r w:rsidR="004C24BC" w:rsidRPr="00812609">
        <w:rPr>
          <w:rFonts w:ascii="Calibri" w:eastAsia="Times New Roman" w:hAnsi="Calibri" w:cs="Calibri"/>
          <w:lang w:eastAsia="en-GB"/>
        </w:rPr>
        <w:t>pharmacokinetic</w:t>
      </w:r>
      <w:r w:rsidR="00AF566A" w:rsidRPr="00812609">
        <w:rPr>
          <w:rFonts w:ascii="Calibri" w:eastAsia="Times New Roman" w:hAnsi="Calibri" w:cs="Calibri"/>
          <w:lang w:eastAsia="en-GB"/>
        </w:rPr>
        <w:t xml:space="preserve"> study was conducted in TK-NOG humanized chimeric liver mice showing </w:t>
      </w:r>
      <w:r w:rsidR="004C24BC" w:rsidRPr="00812609">
        <w:rPr>
          <w:rFonts w:ascii="Calibri" w:eastAsia="Times New Roman" w:hAnsi="Calibri" w:cs="Calibri"/>
          <w:lang w:eastAsia="en-GB"/>
        </w:rPr>
        <w:t>15-fold higher atabecestat drug-</w:t>
      </w:r>
      <w:r w:rsidR="00AF566A" w:rsidRPr="00812609">
        <w:rPr>
          <w:rFonts w:ascii="Calibri" w:eastAsia="Times New Roman" w:hAnsi="Calibri" w:cs="Calibri"/>
          <w:lang w:eastAsia="en-GB"/>
        </w:rPr>
        <w:t xml:space="preserve">related material concentrations in humanized liver versus plasma. The DIAT </w:t>
      </w:r>
      <w:r w:rsidR="00AF566A" w:rsidRPr="00812609">
        <w:rPr>
          <w:rFonts w:ascii="Calibri" w:eastAsia="Times New Roman" w:hAnsi="Calibri" w:cs="Calibri"/>
          <w:lang w:eastAsia="en-GB"/>
        </w:rPr>
        <w:lastRenderedPageBreak/>
        <w:t>metabolite concentrations were on average 12% of the atabecestat concentrations in liver extracts from this study. Collectively, this indicates that the concentration of atabecestat in plasma is lower than that needed to activate T-cells; however, T-cell stimulatory concentrations may be reached when the drug accumulates in liver.</w:t>
      </w:r>
      <w:r w:rsidR="004C24BC" w:rsidRPr="00812609">
        <w:rPr>
          <w:rFonts w:ascii="Calibri" w:eastAsia="Times New Roman" w:hAnsi="Calibri" w:cs="Calibri"/>
          <w:lang w:eastAsia="en-GB"/>
        </w:rPr>
        <w:t xml:space="preserve"> </w:t>
      </w:r>
      <w:r w:rsidR="000546E7">
        <w:rPr>
          <w:szCs w:val="24"/>
        </w:rPr>
        <w:t xml:space="preserve">Atabecestat- and DIAT-responsive </w:t>
      </w:r>
      <w:r w:rsidR="00F053ED" w:rsidRPr="009A2CEA">
        <w:rPr>
          <w:rFonts w:cstheme="minorHAnsi"/>
        </w:rPr>
        <w:t xml:space="preserve">clones exhibited a varied expression of TCR-Vβ with </w:t>
      </w:r>
      <w:r w:rsidR="00763D1E" w:rsidRPr="009A2CEA">
        <w:rPr>
          <w:rFonts w:cstheme="minorHAnsi"/>
        </w:rPr>
        <w:t>the majority</w:t>
      </w:r>
      <w:r w:rsidR="00F053ED" w:rsidRPr="009A2CEA">
        <w:rPr>
          <w:rFonts w:cstheme="minorHAnsi"/>
        </w:rPr>
        <w:t xml:space="preserve"> expressing a rare TCR not detected by the </w:t>
      </w:r>
      <w:r w:rsidR="00763D1E" w:rsidRPr="009A2CEA">
        <w:rPr>
          <w:rFonts w:cstheme="minorHAnsi"/>
        </w:rPr>
        <w:t>antibody repertoire</w:t>
      </w:r>
      <w:r w:rsidR="00F053ED" w:rsidRPr="009A2CEA">
        <w:rPr>
          <w:rFonts w:cstheme="minorHAnsi"/>
        </w:rPr>
        <w:t xml:space="preserve">. </w:t>
      </w:r>
      <w:r w:rsidR="000546E7">
        <w:rPr>
          <w:rFonts w:cstheme="minorHAnsi"/>
        </w:rPr>
        <w:t>G</w:t>
      </w:r>
      <w:r w:rsidR="00F053ED" w:rsidRPr="009A2CEA">
        <w:rPr>
          <w:rFonts w:cstheme="minorHAnsi"/>
        </w:rPr>
        <w:t>iven the differential reactivity profiles of the clones it is unlikely that TCR expression is conserved across the clones.</w:t>
      </w:r>
      <w:r w:rsidR="00631BB8" w:rsidRPr="009A2CEA">
        <w:rPr>
          <w:rFonts w:cstheme="minorHAnsi"/>
        </w:rPr>
        <w:t xml:space="preserve"> </w:t>
      </w:r>
      <w:r w:rsidR="000B3ED3">
        <w:rPr>
          <w:rFonts w:cstheme="minorHAnsi"/>
        </w:rPr>
        <w:t xml:space="preserve">For example, </w:t>
      </w:r>
      <w:r w:rsidR="000B3ED3" w:rsidRPr="0088428A">
        <w:rPr>
          <w:szCs w:val="24"/>
        </w:rPr>
        <w:t xml:space="preserve">two DIAT responsive T-cell clones </w:t>
      </w:r>
      <w:r w:rsidR="000B3ED3">
        <w:rPr>
          <w:szCs w:val="24"/>
        </w:rPr>
        <w:t>expressing rare TCR-V</w:t>
      </w:r>
      <w:r w:rsidR="000B3ED3">
        <w:rPr>
          <w:szCs w:val="24"/>
        </w:rPr>
        <w:sym w:font="Symbol" w:char="F062"/>
      </w:r>
      <w:r w:rsidR="000B3ED3">
        <w:rPr>
          <w:szCs w:val="24"/>
        </w:rPr>
        <w:t>s</w:t>
      </w:r>
      <w:r w:rsidR="000B3ED3" w:rsidRPr="006F2B7F">
        <w:rPr>
          <w:szCs w:val="24"/>
        </w:rPr>
        <w:t xml:space="preserve"> exhibited cross-reactivity towards </w:t>
      </w:r>
      <w:r w:rsidR="000B3ED3">
        <w:rPr>
          <w:szCs w:val="24"/>
        </w:rPr>
        <w:t>other study compounds</w:t>
      </w:r>
      <w:r w:rsidR="000B3ED3" w:rsidRPr="006F2B7F">
        <w:rPr>
          <w:szCs w:val="24"/>
        </w:rPr>
        <w:t xml:space="preserve">, while two </w:t>
      </w:r>
      <w:r w:rsidR="000B3ED3">
        <w:rPr>
          <w:szCs w:val="24"/>
        </w:rPr>
        <w:t>additional clones from the same patient</w:t>
      </w:r>
      <w:r w:rsidR="000B3ED3" w:rsidRPr="006F2B7F">
        <w:rPr>
          <w:szCs w:val="24"/>
        </w:rPr>
        <w:t xml:space="preserve"> exhibited no cross-reactivity.</w:t>
      </w:r>
    </w:p>
    <w:p w14:paraId="3FFCE854" w14:textId="38FD1320" w:rsidR="000546E7" w:rsidRDefault="005B58F3" w:rsidP="009A2CEA">
      <w:pPr>
        <w:spacing w:line="480" w:lineRule="auto"/>
        <w:jc w:val="both"/>
        <w:rPr>
          <w:rFonts w:cstheme="minorHAnsi"/>
        </w:rPr>
      </w:pPr>
      <w:r>
        <w:rPr>
          <w:rFonts w:cstheme="minorHAnsi"/>
        </w:rPr>
        <w:t xml:space="preserve">Stimulation of clones with atabecestat or DIAT resulted in the secretion of the </w:t>
      </w:r>
      <w:r w:rsidR="00AD26CA">
        <w:rPr>
          <w:rFonts w:cstheme="minorHAnsi"/>
        </w:rPr>
        <w:t xml:space="preserve">Th1 </w:t>
      </w:r>
      <w:r>
        <w:rPr>
          <w:rFonts w:cstheme="minorHAnsi"/>
        </w:rPr>
        <w:t>cytokine IFN-</w:t>
      </w:r>
      <w:r>
        <w:rPr>
          <w:rFonts w:cstheme="minorHAnsi"/>
        </w:rPr>
        <w:sym w:font="Symbol" w:char="F067"/>
      </w:r>
      <w:r>
        <w:rPr>
          <w:rFonts w:cstheme="minorHAnsi"/>
        </w:rPr>
        <w:t xml:space="preserve"> and Th2 cytokines IL-5 and IL-13. Furthermore, IL-10 and IL-22 were secreted from a more restricted number of study compound activated clones. Secretion of Th1 and Th2 cytokines, alongside IL-22 is a common feature for drug-responsive clones isolated from patients presenting with skin and liver conditions </w:t>
      </w:r>
      <w:r w:rsidR="00E515C9">
        <w:rPr>
          <w:rFonts w:cstheme="minorHAnsi"/>
          <w:noProof/>
        </w:rPr>
        <w:t>(6, 2</w:t>
      </w:r>
      <w:r w:rsidR="00781626">
        <w:rPr>
          <w:rFonts w:cstheme="minorHAnsi"/>
          <w:noProof/>
        </w:rPr>
        <w:t>1</w:t>
      </w:r>
      <w:r w:rsidR="00E515C9">
        <w:rPr>
          <w:rFonts w:cstheme="minorHAnsi"/>
          <w:noProof/>
        </w:rPr>
        <w:t>, 3</w:t>
      </w:r>
      <w:r w:rsidR="00886BED">
        <w:rPr>
          <w:rFonts w:cstheme="minorHAnsi"/>
          <w:noProof/>
        </w:rPr>
        <w:t>1</w:t>
      </w:r>
      <w:r w:rsidR="00053FA2">
        <w:rPr>
          <w:rFonts w:cstheme="minorHAnsi"/>
          <w:noProof/>
        </w:rPr>
        <w:t>)</w:t>
      </w:r>
      <w:r>
        <w:rPr>
          <w:rFonts w:cstheme="minorHAnsi"/>
        </w:rPr>
        <w:t xml:space="preserve">. </w:t>
      </w:r>
      <w:r w:rsidR="00A54448">
        <w:rPr>
          <w:rFonts w:cstheme="minorHAnsi"/>
        </w:rPr>
        <w:t>IL-10 secretion is observed less frequently. IL-10 is predominantly immunoregulatory</w:t>
      </w:r>
      <w:r w:rsidR="009736EC">
        <w:rPr>
          <w:rFonts w:cstheme="minorHAnsi"/>
        </w:rPr>
        <w:t>,</w:t>
      </w:r>
      <w:r w:rsidR="00A54448">
        <w:rPr>
          <w:rFonts w:cstheme="minorHAnsi"/>
        </w:rPr>
        <w:t xml:space="preserve"> ameliorating excessive and potentially pathogenic Th1 and CD8+ T-cell responses </w:t>
      </w:r>
      <w:r w:rsidR="00E515C9">
        <w:rPr>
          <w:rFonts w:cstheme="minorHAnsi"/>
          <w:noProof/>
        </w:rPr>
        <w:t>(3</w:t>
      </w:r>
      <w:r w:rsidR="00886BED">
        <w:rPr>
          <w:rFonts w:cstheme="minorHAnsi"/>
          <w:noProof/>
        </w:rPr>
        <w:t>2</w:t>
      </w:r>
      <w:r w:rsidR="00053FA2">
        <w:rPr>
          <w:rFonts w:cstheme="minorHAnsi"/>
          <w:noProof/>
        </w:rPr>
        <w:t>)</w:t>
      </w:r>
      <w:r w:rsidR="00A54448">
        <w:rPr>
          <w:rFonts w:cstheme="minorHAnsi"/>
        </w:rPr>
        <w:t>. The activated clones, which for the most part were</w:t>
      </w:r>
      <w:r w:rsidR="009736EC">
        <w:rPr>
          <w:rFonts w:cstheme="minorHAnsi"/>
        </w:rPr>
        <w:t xml:space="preserve"> </w:t>
      </w:r>
      <w:r w:rsidR="00A54448">
        <w:rPr>
          <w:rFonts w:cstheme="minorHAnsi"/>
        </w:rPr>
        <w:t xml:space="preserve">CD4+, also secreted effector molecules </w:t>
      </w:r>
      <w:r w:rsidR="00DB1936">
        <w:rPr>
          <w:rFonts w:cstheme="minorHAnsi"/>
        </w:rPr>
        <w:t>perforin and granzyme B. T</w:t>
      </w:r>
      <w:r w:rsidR="00A54448">
        <w:rPr>
          <w:rFonts w:cstheme="minorHAnsi"/>
        </w:rPr>
        <w:t>hese molecules act together</w:t>
      </w:r>
      <w:r w:rsidR="00DB1936">
        <w:rPr>
          <w:rFonts w:cstheme="minorHAnsi"/>
        </w:rPr>
        <w:t xml:space="preserve">, with perforin inserting pores into </w:t>
      </w:r>
      <w:r w:rsidR="00A54448">
        <w:rPr>
          <w:rFonts w:cstheme="minorHAnsi"/>
        </w:rPr>
        <w:t xml:space="preserve">neighbouring cells to </w:t>
      </w:r>
      <w:r w:rsidR="00DB1936">
        <w:rPr>
          <w:rFonts w:cstheme="minorHAnsi"/>
        </w:rPr>
        <w:t xml:space="preserve">permit the delivery of granzyme B, which cleaves caspases triggering the </w:t>
      </w:r>
      <w:r w:rsidR="00A54448">
        <w:rPr>
          <w:rFonts w:cstheme="minorHAnsi"/>
        </w:rPr>
        <w:t xml:space="preserve">apoptotic cascade.   </w:t>
      </w:r>
    </w:p>
    <w:p w14:paraId="67D33C4C" w14:textId="2392AD17" w:rsidR="00DB1936" w:rsidRPr="009A2CEA" w:rsidRDefault="00DB1936" w:rsidP="00DB1936">
      <w:pPr>
        <w:spacing w:line="480" w:lineRule="auto"/>
        <w:jc w:val="both"/>
        <w:rPr>
          <w:rFonts w:cstheme="minorHAnsi"/>
        </w:rPr>
      </w:pPr>
      <w:r w:rsidRPr="006F2B7F">
        <w:rPr>
          <w:szCs w:val="24"/>
        </w:rPr>
        <w:t xml:space="preserve">All tested </w:t>
      </w:r>
      <w:r>
        <w:rPr>
          <w:szCs w:val="24"/>
        </w:rPr>
        <w:t>atabecestat- and DIAT-responsive CD4+</w:t>
      </w:r>
      <w:r w:rsidRPr="006F2B7F">
        <w:rPr>
          <w:szCs w:val="24"/>
        </w:rPr>
        <w:t xml:space="preserve"> clones </w:t>
      </w:r>
      <w:r w:rsidR="00106540">
        <w:rPr>
          <w:szCs w:val="24"/>
        </w:rPr>
        <w:t>were activated</w:t>
      </w:r>
      <w:r w:rsidRPr="006F2B7F">
        <w:rPr>
          <w:szCs w:val="24"/>
        </w:rPr>
        <w:t xml:space="preserve"> in a manner restricted to </w:t>
      </w:r>
      <w:r w:rsidR="00106540">
        <w:rPr>
          <w:szCs w:val="24"/>
        </w:rPr>
        <w:t>a</w:t>
      </w:r>
      <w:r w:rsidRPr="006F2B7F">
        <w:rPr>
          <w:szCs w:val="24"/>
        </w:rPr>
        <w:t xml:space="preserve"> MHC Class II protein, namely HLA-DR. </w:t>
      </w:r>
      <w:r>
        <w:rPr>
          <w:szCs w:val="24"/>
        </w:rPr>
        <w:t xml:space="preserve">As discussed above, clones were generated from three patients that </w:t>
      </w:r>
      <w:r w:rsidRPr="0088428A">
        <w:rPr>
          <w:szCs w:val="24"/>
        </w:rPr>
        <w:t xml:space="preserve">expressed the </w:t>
      </w:r>
      <w:r>
        <w:rPr>
          <w:szCs w:val="24"/>
        </w:rPr>
        <w:t>HLA-</w:t>
      </w:r>
      <w:r w:rsidRPr="0088428A">
        <w:rPr>
          <w:szCs w:val="24"/>
        </w:rPr>
        <w:t>DR</w:t>
      </w:r>
      <w:r>
        <w:rPr>
          <w:szCs w:val="24"/>
        </w:rPr>
        <w:t>*</w:t>
      </w:r>
      <w:r w:rsidRPr="0088428A">
        <w:rPr>
          <w:szCs w:val="24"/>
        </w:rPr>
        <w:t>B alleles 04</w:t>
      </w:r>
      <w:r>
        <w:rPr>
          <w:szCs w:val="24"/>
        </w:rPr>
        <w:t xml:space="preserve">:01 and 15:01. However, </w:t>
      </w:r>
      <w:r w:rsidRPr="006F2B7F">
        <w:rPr>
          <w:szCs w:val="24"/>
        </w:rPr>
        <w:t xml:space="preserve">genotyping conducted on </w:t>
      </w:r>
      <w:r w:rsidR="009736EC">
        <w:rPr>
          <w:szCs w:val="24"/>
        </w:rPr>
        <w:t xml:space="preserve">patient </w:t>
      </w:r>
      <w:r>
        <w:rPr>
          <w:szCs w:val="24"/>
        </w:rPr>
        <w:t>6, the patient yielding the largest number of study compound-responsive clones</w:t>
      </w:r>
      <w:r w:rsidR="00263665">
        <w:rPr>
          <w:szCs w:val="24"/>
        </w:rPr>
        <w:t xml:space="preserve"> and exhibited the most serious clinical symptoms</w:t>
      </w:r>
      <w:r>
        <w:rPr>
          <w:szCs w:val="24"/>
        </w:rPr>
        <w:t xml:space="preserve">, </w:t>
      </w:r>
      <w:r w:rsidRPr="006F2B7F">
        <w:rPr>
          <w:szCs w:val="24"/>
        </w:rPr>
        <w:t xml:space="preserve">indicated the expression of </w:t>
      </w:r>
      <w:r>
        <w:rPr>
          <w:szCs w:val="24"/>
        </w:rPr>
        <w:t>HLA-</w:t>
      </w:r>
      <w:r w:rsidRPr="006F2B7F">
        <w:rPr>
          <w:szCs w:val="24"/>
        </w:rPr>
        <w:t>DR</w:t>
      </w:r>
      <w:r>
        <w:rPr>
          <w:szCs w:val="24"/>
        </w:rPr>
        <w:t>*</w:t>
      </w:r>
      <w:r w:rsidRPr="006F2B7F">
        <w:rPr>
          <w:szCs w:val="24"/>
        </w:rPr>
        <w:t xml:space="preserve">B alleles 12:01 and 13:02. This </w:t>
      </w:r>
      <w:r>
        <w:rPr>
          <w:szCs w:val="24"/>
        </w:rPr>
        <w:t>suggests</w:t>
      </w:r>
      <w:r w:rsidRPr="0088428A">
        <w:rPr>
          <w:szCs w:val="24"/>
        </w:rPr>
        <w:t xml:space="preserve"> that T-cell responses to atabecestat</w:t>
      </w:r>
      <w:r>
        <w:rPr>
          <w:szCs w:val="24"/>
        </w:rPr>
        <w:t xml:space="preserve"> and DIAT</w:t>
      </w:r>
      <w:r w:rsidRPr="0088428A">
        <w:rPr>
          <w:szCs w:val="24"/>
        </w:rPr>
        <w:t xml:space="preserve"> </w:t>
      </w:r>
      <w:r>
        <w:rPr>
          <w:szCs w:val="24"/>
        </w:rPr>
        <w:t>in subjects are</w:t>
      </w:r>
      <w:r w:rsidRPr="0088428A">
        <w:rPr>
          <w:szCs w:val="24"/>
        </w:rPr>
        <w:t xml:space="preserve"> </w:t>
      </w:r>
      <w:r>
        <w:rPr>
          <w:szCs w:val="24"/>
        </w:rPr>
        <w:t xml:space="preserve">not </w:t>
      </w:r>
      <w:r w:rsidRPr="0088428A">
        <w:rPr>
          <w:szCs w:val="24"/>
        </w:rPr>
        <w:t>restricted to the expression of one single HLA-allele.</w:t>
      </w:r>
      <w:r w:rsidR="008477B8">
        <w:rPr>
          <w:szCs w:val="24"/>
        </w:rPr>
        <w:t xml:space="preserve"> Future experiments are planned using antigen presenting cells from donors </w:t>
      </w:r>
      <w:r w:rsidR="008477B8">
        <w:rPr>
          <w:szCs w:val="24"/>
        </w:rPr>
        <w:lastRenderedPageBreak/>
        <w:t>expressing different HLA alleles to define the HLA-DR molecules involved in presentation of atabecestat and its metabolites to T-cells.</w:t>
      </w:r>
      <w:r>
        <w:rPr>
          <w:szCs w:val="24"/>
        </w:rPr>
        <w:t xml:space="preserve"> </w:t>
      </w:r>
      <w:r w:rsidR="00C03191">
        <w:rPr>
          <w:szCs w:val="24"/>
        </w:rPr>
        <w:t xml:space="preserve">With this knowledge, antigen presenting cell pulsing experiments were conducted to </w:t>
      </w:r>
      <w:r w:rsidR="00AD26CA">
        <w:rPr>
          <w:szCs w:val="24"/>
        </w:rPr>
        <w:t xml:space="preserve">characterise </w:t>
      </w:r>
      <w:r w:rsidR="00C03191">
        <w:rPr>
          <w:szCs w:val="24"/>
        </w:rPr>
        <w:t xml:space="preserve">pathway(s) of atabecestat and DIAT-specific CD4+ T-cell activation. Antigen presenting cells were pulsed with study compounds for 1 or 16 hours prior to repeated washing to remove soluble and weakly associated compound prior to culturing the antigen presenting cells with T-cells. Antigen presenting cells pulsed with protein-reactive compounds (e.g., flucloxacillin, nitroso sulfamethoxazole </w:t>
      </w:r>
      <w:r w:rsidR="00053FA2">
        <w:rPr>
          <w:noProof/>
          <w:szCs w:val="24"/>
        </w:rPr>
        <w:t>(5, 3</w:t>
      </w:r>
      <w:r w:rsidR="00886BED">
        <w:rPr>
          <w:noProof/>
          <w:szCs w:val="24"/>
        </w:rPr>
        <w:t>3</w:t>
      </w:r>
      <w:r w:rsidR="00053FA2">
        <w:rPr>
          <w:noProof/>
          <w:szCs w:val="24"/>
        </w:rPr>
        <w:t>, 3</w:t>
      </w:r>
      <w:r w:rsidR="00886BED">
        <w:rPr>
          <w:noProof/>
          <w:szCs w:val="24"/>
        </w:rPr>
        <w:t>4</w:t>
      </w:r>
      <w:r w:rsidR="00053FA2">
        <w:rPr>
          <w:noProof/>
          <w:szCs w:val="24"/>
        </w:rPr>
        <w:t>)</w:t>
      </w:r>
      <w:r w:rsidR="00C03191">
        <w:rPr>
          <w:szCs w:val="24"/>
        </w:rPr>
        <w:t>) or compounds that associate strongly with HLA (e.g., abacavir</w:t>
      </w:r>
      <w:r w:rsidR="0083508F">
        <w:rPr>
          <w:szCs w:val="24"/>
        </w:rPr>
        <w:t xml:space="preserve"> </w:t>
      </w:r>
      <w:r w:rsidR="00053FA2">
        <w:rPr>
          <w:noProof/>
          <w:szCs w:val="24"/>
        </w:rPr>
        <w:t>(3</w:t>
      </w:r>
      <w:r w:rsidR="00886BED">
        <w:rPr>
          <w:noProof/>
          <w:szCs w:val="24"/>
        </w:rPr>
        <w:t>5</w:t>
      </w:r>
      <w:r w:rsidR="000A7B7A">
        <w:rPr>
          <w:noProof/>
          <w:szCs w:val="24"/>
        </w:rPr>
        <w:t>-</w:t>
      </w:r>
      <w:r w:rsidR="004C24BC">
        <w:rPr>
          <w:noProof/>
          <w:szCs w:val="24"/>
        </w:rPr>
        <w:t>3</w:t>
      </w:r>
      <w:r w:rsidR="00886BED">
        <w:rPr>
          <w:noProof/>
          <w:szCs w:val="24"/>
        </w:rPr>
        <w:t>7</w:t>
      </w:r>
      <w:r w:rsidR="00053FA2">
        <w:rPr>
          <w:noProof/>
          <w:szCs w:val="24"/>
        </w:rPr>
        <w:t>)</w:t>
      </w:r>
      <w:r w:rsidR="00C03191">
        <w:rPr>
          <w:szCs w:val="24"/>
        </w:rPr>
        <w:t xml:space="preserve">) activate T-cell responses, while compounds that associate weakly with HLA via reversible binding interactions (e.g., carbamazepine </w:t>
      </w:r>
      <w:r w:rsidR="00053FA2">
        <w:rPr>
          <w:noProof/>
          <w:szCs w:val="24"/>
        </w:rPr>
        <w:t>(3</w:t>
      </w:r>
      <w:r w:rsidR="00886BED">
        <w:rPr>
          <w:noProof/>
          <w:szCs w:val="24"/>
        </w:rPr>
        <w:t>4</w:t>
      </w:r>
      <w:r w:rsidR="00053FA2">
        <w:rPr>
          <w:noProof/>
          <w:szCs w:val="24"/>
        </w:rPr>
        <w:t xml:space="preserve">, </w:t>
      </w:r>
      <w:r w:rsidR="00886BED">
        <w:rPr>
          <w:noProof/>
          <w:szCs w:val="24"/>
        </w:rPr>
        <w:t>38</w:t>
      </w:r>
      <w:r w:rsidR="000A7B7A">
        <w:rPr>
          <w:noProof/>
          <w:szCs w:val="24"/>
        </w:rPr>
        <w:t>-4</w:t>
      </w:r>
      <w:r w:rsidR="00886BED">
        <w:rPr>
          <w:noProof/>
          <w:szCs w:val="24"/>
        </w:rPr>
        <w:t>0</w:t>
      </w:r>
      <w:r w:rsidR="00053FA2">
        <w:rPr>
          <w:noProof/>
          <w:szCs w:val="24"/>
        </w:rPr>
        <w:t>)</w:t>
      </w:r>
      <w:r w:rsidR="00C03191">
        <w:rPr>
          <w:szCs w:val="24"/>
        </w:rPr>
        <w:t xml:space="preserve">) do not.  </w:t>
      </w:r>
      <w:r w:rsidR="00905035">
        <w:rPr>
          <w:szCs w:val="24"/>
        </w:rPr>
        <w:t>A</w:t>
      </w:r>
      <w:r w:rsidR="00905035">
        <w:t xml:space="preserve">ll </w:t>
      </w:r>
      <w:r w:rsidR="00905035">
        <w:rPr>
          <w:rFonts w:cstheme="minorHAnsi"/>
        </w:rPr>
        <w:t>atabecestat- or DIAT</w:t>
      </w:r>
      <w:r w:rsidR="00905035">
        <w:t xml:space="preserve">-responsive clones were not activated with study compound-pulsed antigen presenting cells. This indicates that the clones are </w:t>
      </w:r>
      <w:r w:rsidR="00106540">
        <w:t>stimulated</w:t>
      </w:r>
      <w:r w:rsidR="00905035">
        <w:t xml:space="preserve"> </w:t>
      </w:r>
      <w:r w:rsidR="009736EC">
        <w:t xml:space="preserve">with atabecestat and DIAT </w:t>
      </w:r>
      <w:r w:rsidR="00905035">
        <w:t xml:space="preserve">via </w:t>
      </w:r>
      <w:r w:rsidR="000C6731">
        <w:t xml:space="preserve">a non-covalent </w:t>
      </w:r>
      <w:r w:rsidR="00905035">
        <w:t xml:space="preserve">pharmacological binding interaction with HLA-DR molecules. Activation </w:t>
      </w:r>
      <w:r w:rsidR="006E598E">
        <w:t xml:space="preserve">of T-cells </w:t>
      </w:r>
      <w:r w:rsidR="00905035">
        <w:t xml:space="preserve">in the presence of glutaraldehyde fixed </w:t>
      </w:r>
      <w:r w:rsidR="006E598E">
        <w:t>antigen presenting cells</w:t>
      </w:r>
      <w:r w:rsidR="00905035">
        <w:t xml:space="preserve"> was </w:t>
      </w:r>
      <w:r w:rsidR="006E598E">
        <w:t xml:space="preserve">also </w:t>
      </w:r>
      <w:r w:rsidR="00905035">
        <w:t xml:space="preserve">observed, </w:t>
      </w:r>
      <w:r w:rsidR="006E598E">
        <w:t xml:space="preserve">which is </w:t>
      </w:r>
      <w:r w:rsidR="00905035">
        <w:t xml:space="preserve">indicative of </w:t>
      </w:r>
      <w:r w:rsidR="006E598E">
        <w:t xml:space="preserve">a </w:t>
      </w:r>
      <w:r w:rsidR="00905035">
        <w:t xml:space="preserve">direct interaction of </w:t>
      </w:r>
      <w:r w:rsidR="006E598E">
        <w:t>atabecestat and DIAT</w:t>
      </w:r>
      <w:r w:rsidR="00905035">
        <w:t xml:space="preserve"> with HLA</w:t>
      </w:r>
      <w:r w:rsidR="006E598E">
        <w:t>-DR molecules</w:t>
      </w:r>
      <w:r w:rsidR="00905035">
        <w:t xml:space="preserve"> in a manner independent of antigen processing.</w:t>
      </w:r>
      <w:r w:rsidR="00905035" w:rsidRPr="009A2CEA">
        <w:rPr>
          <w:rFonts w:cstheme="minorHAnsi"/>
        </w:rPr>
        <w:t xml:space="preserve"> </w:t>
      </w:r>
      <w:r w:rsidR="006E598E">
        <w:rPr>
          <w:rFonts w:cstheme="minorHAnsi"/>
        </w:rPr>
        <w:t>Fixation block</w:t>
      </w:r>
      <w:r w:rsidR="00106540">
        <w:rPr>
          <w:rFonts w:cstheme="minorHAnsi"/>
        </w:rPr>
        <w:t>s</w:t>
      </w:r>
      <w:r w:rsidR="006E598E">
        <w:rPr>
          <w:rFonts w:cstheme="minorHAnsi"/>
        </w:rPr>
        <w:t xml:space="preserve"> protein processing and inhibits T-cell responses to protein antigens, but not antigenic peptides that bind directly to surface HLA molecules</w:t>
      </w:r>
      <w:r w:rsidR="0083508F">
        <w:rPr>
          <w:rFonts w:cstheme="minorHAnsi"/>
        </w:rPr>
        <w:t xml:space="preserve"> </w:t>
      </w:r>
      <w:r w:rsidR="00053FA2">
        <w:rPr>
          <w:rFonts w:cstheme="minorHAnsi"/>
          <w:noProof/>
        </w:rPr>
        <w:t>(</w:t>
      </w:r>
      <w:r w:rsidR="00626B87">
        <w:rPr>
          <w:rFonts w:cstheme="minorHAnsi"/>
          <w:noProof/>
        </w:rPr>
        <w:t>38-</w:t>
      </w:r>
      <w:r w:rsidR="00053FA2">
        <w:rPr>
          <w:rFonts w:cstheme="minorHAnsi"/>
          <w:noProof/>
        </w:rPr>
        <w:t>4</w:t>
      </w:r>
      <w:r w:rsidR="00C837ED">
        <w:rPr>
          <w:rFonts w:cstheme="minorHAnsi"/>
          <w:noProof/>
        </w:rPr>
        <w:t>3</w:t>
      </w:r>
      <w:r w:rsidR="00053FA2">
        <w:rPr>
          <w:rFonts w:cstheme="minorHAnsi"/>
          <w:noProof/>
        </w:rPr>
        <w:t>)</w:t>
      </w:r>
      <w:r w:rsidRPr="009A2CEA">
        <w:rPr>
          <w:rFonts w:cstheme="minorHAnsi"/>
        </w:rPr>
        <w:t xml:space="preserve">. </w:t>
      </w:r>
      <w:r w:rsidR="00626B87">
        <w:t>Collectively, these findings are in agreement with the p-I concept proposed by Pichler (44).</w:t>
      </w:r>
      <w:r w:rsidR="00BD3A94">
        <w:t xml:space="preserve"> In essence, atabecestat and its metabolites have an undesirable (off-target) pharmacological interaction with immune receptors. </w:t>
      </w:r>
      <w:r w:rsidR="007742B8">
        <w:t xml:space="preserve">The p-I concept also argues that certain drugs may bind initially to </w:t>
      </w:r>
      <w:r w:rsidR="009B2C0F">
        <w:t>highly variable TCRs and that HLA proteins provide additional signals for T-cell activation. Identification of a drug-specific public TCR that drives severe carbamazepine-induced cutaneous reactions provides strong support for this concept. TCR sequencing was performed using 6 atabecestat or DIAT-responsive clones from 2 patients to determine whether a single rare TCR was identifiable. Although our dataset was somewhat limited, it clearly shows that the drug-responsive clones express different TCR</w:t>
      </w:r>
      <w:r w:rsidR="009B2C0F">
        <w:sym w:font="Symbol" w:char="F062"/>
      </w:r>
      <w:r w:rsidR="009B2C0F">
        <w:t xml:space="preserve"> clonotypes and TCR</w:t>
      </w:r>
      <w:r w:rsidR="009B2C0F">
        <w:sym w:font="Symbol" w:char="F061"/>
      </w:r>
      <w:r w:rsidR="009B2C0F">
        <w:t xml:space="preserve"> and </w:t>
      </w:r>
      <w:r w:rsidR="009B2C0F">
        <w:sym w:font="Symbol" w:char="F062"/>
      </w:r>
      <w:r w:rsidR="009B2C0F">
        <w:t xml:space="preserve"> pairings. </w:t>
      </w:r>
      <w:r w:rsidR="007742B8">
        <w:t>Given</w:t>
      </w:r>
      <w:r w:rsidR="00BD3A94">
        <w:t xml:space="preserve"> </w:t>
      </w:r>
      <w:r w:rsidR="007742B8">
        <w:t xml:space="preserve">the </w:t>
      </w:r>
      <w:r w:rsidR="00BD3A94">
        <w:t xml:space="preserve">low circulating concentrations in human plasma </w:t>
      </w:r>
      <w:r w:rsidR="007742B8">
        <w:t>and the absence of an association of liver injury with an HLA allele,</w:t>
      </w:r>
      <w:r w:rsidR="00BD3A94">
        <w:t xml:space="preserve"> atabecestat and its metabolites must bind with high affinity </w:t>
      </w:r>
      <w:r w:rsidR="007742B8">
        <w:t xml:space="preserve">with </w:t>
      </w:r>
      <w:r w:rsidR="007742B8">
        <w:lastRenderedPageBreak/>
        <w:t xml:space="preserve">multiple HLA proteins </w:t>
      </w:r>
      <w:r w:rsidR="00BD3A94">
        <w:t xml:space="preserve">to activate the patient T-cells. </w:t>
      </w:r>
      <w:r w:rsidR="007742B8">
        <w:t xml:space="preserve">Future research should attempt to determine whether there is a similar drug binding site which is common to the presenting HLA proteins. </w:t>
      </w:r>
    </w:p>
    <w:p w14:paraId="73D4421B" w14:textId="50B0A7B7" w:rsidR="00CC1BC2" w:rsidRDefault="00CC1BC2" w:rsidP="00CC1BC2">
      <w:pPr>
        <w:spacing w:line="480" w:lineRule="auto"/>
        <w:jc w:val="both"/>
      </w:pPr>
      <w:r>
        <w:t>Atabecestat- and</w:t>
      </w:r>
      <w:r w:rsidRPr="00CC1BC2">
        <w:t xml:space="preserve"> </w:t>
      </w:r>
      <w:r>
        <w:t xml:space="preserve">DIAT-responsive and clones </w:t>
      </w:r>
      <w:r w:rsidRPr="006F2B7F">
        <w:rPr>
          <w:szCs w:val="24"/>
        </w:rPr>
        <w:t xml:space="preserve">displayed </w:t>
      </w:r>
      <w:r>
        <w:rPr>
          <w:szCs w:val="24"/>
        </w:rPr>
        <w:t xml:space="preserve">either </w:t>
      </w:r>
      <w:r w:rsidRPr="006F2B7F">
        <w:rPr>
          <w:szCs w:val="24"/>
        </w:rPr>
        <w:t>no cross</w:t>
      </w:r>
      <w:r w:rsidR="0007504A">
        <w:rPr>
          <w:szCs w:val="24"/>
        </w:rPr>
        <w:t>-</w:t>
      </w:r>
      <w:r w:rsidRPr="006F2B7F">
        <w:rPr>
          <w:szCs w:val="24"/>
        </w:rPr>
        <w:t xml:space="preserve">reactivity </w:t>
      </w:r>
      <w:r>
        <w:rPr>
          <w:szCs w:val="24"/>
        </w:rPr>
        <w:t>or cross</w:t>
      </w:r>
      <w:r w:rsidR="0007504A">
        <w:rPr>
          <w:szCs w:val="24"/>
        </w:rPr>
        <w:t>-</w:t>
      </w:r>
      <w:r>
        <w:rPr>
          <w:szCs w:val="24"/>
        </w:rPr>
        <w:t xml:space="preserve">reacted with acetyl DIAT (Figure </w:t>
      </w:r>
      <w:r w:rsidR="00A61ED9">
        <w:rPr>
          <w:szCs w:val="24"/>
        </w:rPr>
        <w:t>4</w:t>
      </w:r>
      <w:r>
        <w:rPr>
          <w:szCs w:val="24"/>
        </w:rPr>
        <w:t xml:space="preserve">). </w:t>
      </w:r>
      <w:r w:rsidR="001A3021">
        <w:rPr>
          <w:szCs w:val="24"/>
        </w:rPr>
        <w:t>Based on these findings</w:t>
      </w:r>
      <w:r w:rsidR="00E364E8">
        <w:rPr>
          <w:szCs w:val="24"/>
        </w:rPr>
        <w:t>,</w:t>
      </w:r>
      <w:r w:rsidR="001A3021">
        <w:rPr>
          <w:szCs w:val="24"/>
        </w:rPr>
        <w:t xml:space="preserve"> clones</w:t>
      </w:r>
      <w:r>
        <w:rPr>
          <w:szCs w:val="24"/>
        </w:rPr>
        <w:t xml:space="preserve"> </w:t>
      </w:r>
      <w:r w:rsidR="001A3021">
        <w:rPr>
          <w:szCs w:val="24"/>
        </w:rPr>
        <w:t>were generated from PBMC cultured with acetyl DIAT for further assessment of cross</w:t>
      </w:r>
      <w:r w:rsidR="0007504A">
        <w:rPr>
          <w:szCs w:val="24"/>
        </w:rPr>
        <w:t>-</w:t>
      </w:r>
      <w:r w:rsidR="001A3021">
        <w:rPr>
          <w:szCs w:val="24"/>
        </w:rPr>
        <w:t>reactivity. Interestingly, acetyl DIAT responsive clones displayed cross</w:t>
      </w:r>
      <w:r w:rsidR="0007504A">
        <w:rPr>
          <w:szCs w:val="24"/>
        </w:rPr>
        <w:t>-</w:t>
      </w:r>
      <w:r w:rsidR="001A3021">
        <w:rPr>
          <w:szCs w:val="24"/>
        </w:rPr>
        <w:t xml:space="preserve">reactivity with DIAT </w:t>
      </w:r>
      <w:r w:rsidR="00C16715">
        <w:rPr>
          <w:szCs w:val="24"/>
        </w:rPr>
        <w:t xml:space="preserve">and in one clone atabecestat and DIAT </w:t>
      </w:r>
      <w:r w:rsidR="001A3021">
        <w:rPr>
          <w:szCs w:val="24"/>
        </w:rPr>
        <w:t xml:space="preserve">(Supplementary Figure </w:t>
      </w:r>
      <w:r w:rsidR="001D4E9E">
        <w:rPr>
          <w:szCs w:val="24"/>
        </w:rPr>
        <w:t>2</w:t>
      </w:r>
      <w:r w:rsidR="001A3021">
        <w:rPr>
          <w:szCs w:val="24"/>
        </w:rPr>
        <w:t>).</w:t>
      </w:r>
      <w:r>
        <w:rPr>
          <w:szCs w:val="24"/>
        </w:rPr>
        <w:t xml:space="preserve"> </w:t>
      </w:r>
      <w:r w:rsidR="00C16715">
        <w:t xml:space="preserve">Since all of the study compounds activate the T-cells through a </w:t>
      </w:r>
      <w:r w:rsidR="00E32B2A">
        <w:t xml:space="preserve">non-covalent pharmacological </w:t>
      </w:r>
      <w:r w:rsidR="00C16715">
        <w:t xml:space="preserve">binding interaction with HLA, with no requirement for protein processing, the similar spatial arrangement of atoms between atabecestat, DIAT and acetyl DIAT provides one explanation </w:t>
      </w:r>
      <w:r w:rsidR="00F93667">
        <w:t xml:space="preserve">for the observed reactivity profiles of the clones. The acetyl-cyanopyridine structure that differentiates atabecestat from DIAT, must provide an essential HLA peptide binding interaction for the activation of atabecestat-responsive clones, whereas with DIAT-responsive clones </w:t>
      </w:r>
      <w:r w:rsidR="0023359D">
        <w:t xml:space="preserve">sufficient binding energy must be provided by the remainder of the </w:t>
      </w:r>
      <w:r w:rsidR="00106540">
        <w:t>drug</w:t>
      </w:r>
      <w:r w:rsidR="009736EC">
        <w:t xml:space="preserve"> </w:t>
      </w:r>
      <w:r w:rsidR="0023359D">
        <w:t>structure. Acetyl DIAT represents an intermediate structure, which explains its capacity to activ</w:t>
      </w:r>
      <w:r w:rsidR="00F01CD8">
        <w:t>at</w:t>
      </w:r>
      <w:r w:rsidR="0023359D">
        <w:t>e certain atabecestat- and</w:t>
      </w:r>
      <w:r w:rsidR="00F93667">
        <w:t xml:space="preserve"> </w:t>
      </w:r>
      <w:r w:rsidR="0023359D">
        <w:t>DIAT-responsive clones.</w:t>
      </w:r>
      <w:r w:rsidR="00F93667">
        <w:t xml:space="preserve"> Very little reactivity </w:t>
      </w:r>
      <w:r w:rsidR="0023359D">
        <w:t>was observed towards atabecestat epoxide, which exists in a very different confirmation</w:t>
      </w:r>
      <w:r w:rsidR="00A06E7C">
        <w:t xml:space="preserve"> (Figure </w:t>
      </w:r>
      <w:r w:rsidR="00A61ED9">
        <w:t>4</w:t>
      </w:r>
      <w:r w:rsidR="002745EA">
        <w:t>)</w:t>
      </w:r>
      <w:r w:rsidR="0023359D">
        <w:t xml:space="preserve">. </w:t>
      </w:r>
    </w:p>
    <w:p w14:paraId="335D6EE7" w14:textId="7F25721D" w:rsidR="0023359D" w:rsidRPr="00697BDD" w:rsidRDefault="0023359D" w:rsidP="00697BDD">
      <w:pPr>
        <w:pStyle w:val="BodyText12"/>
        <w:spacing w:line="480" w:lineRule="auto"/>
        <w:rPr>
          <w:rFonts w:asciiTheme="minorHAnsi" w:hAnsiTheme="minorHAnsi" w:cstheme="minorHAnsi"/>
          <w:sz w:val="22"/>
        </w:rPr>
      </w:pPr>
      <w:r w:rsidRPr="00697BDD">
        <w:rPr>
          <w:rFonts w:asciiTheme="minorHAnsi" w:hAnsiTheme="minorHAnsi" w:cstheme="minorHAnsi"/>
          <w:sz w:val="22"/>
        </w:rPr>
        <w:t xml:space="preserve">We must consider the fact that these </w:t>
      </w:r>
      <w:r w:rsidR="00697BDD" w:rsidRPr="00697BDD">
        <w:rPr>
          <w:rFonts w:asciiTheme="minorHAnsi" w:hAnsiTheme="minorHAnsi" w:cstheme="minorHAnsi"/>
          <w:sz w:val="22"/>
        </w:rPr>
        <w:t>data</w:t>
      </w:r>
      <w:r w:rsidRPr="00697BDD">
        <w:rPr>
          <w:rFonts w:asciiTheme="minorHAnsi" w:hAnsiTheme="minorHAnsi" w:cstheme="minorHAnsi"/>
          <w:sz w:val="22"/>
        </w:rPr>
        <w:t xml:space="preserve"> are taken from a relatively small number of T-cell clones; nevertheless, our findings </w:t>
      </w:r>
      <w:r w:rsidR="00697BDD" w:rsidRPr="00697BDD">
        <w:rPr>
          <w:rFonts w:asciiTheme="minorHAnsi" w:hAnsiTheme="minorHAnsi" w:cstheme="minorHAnsi"/>
          <w:sz w:val="22"/>
        </w:rPr>
        <w:t>show</w:t>
      </w:r>
      <w:r w:rsidRPr="00697BDD">
        <w:rPr>
          <w:rFonts w:asciiTheme="minorHAnsi" w:hAnsiTheme="minorHAnsi" w:cstheme="minorHAnsi"/>
          <w:sz w:val="22"/>
        </w:rPr>
        <w:t xml:space="preserve"> that drug-responsive T</w:t>
      </w:r>
      <w:r w:rsidRPr="00697BDD">
        <w:rPr>
          <w:rFonts w:asciiTheme="minorHAnsi" w:hAnsiTheme="minorHAnsi" w:cstheme="minorHAnsi"/>
          <w:sz w:val="22"/>
        </w:rPr>
        <w:noBreakHyphen/>
        <w:t>cells with specif</w:t>
      </w:r>
      <w:r w:rsidR="00F15DBF">
        <w:rPr>
          <w:rFonts w:asciiTheme="minorHAnsi" w:hAnsiTheme="minorHAnsi" w:cstheme="minorHAnsi"/>
          <w:sz w:val="22"/>
        </w:rPr>
        <w:t>icity</w:t>
      </w:r>
      <w:r w:rsidRPr="00697BDD">
        <w:rPr>
          <w:rFonts w:asciiTheme="minorHAnsi" w:hAnsiTheme="minorHAnsi" w:cstheme="minorHAnsi"/>
          <w:sz w:val="22"/>
        </w:rPr>
        <w:t xml:space="preserve"> to </w:t>
      </w:r>
      <w:r w:rsidR="00697BDD" w:rsidRPr="00697BDD">
        <w:rPr>
          <w:rFonts w:asciiTheme="minorHAnsi" w:hAnsiTheme="minorHAnsi" w:cstheme="minorHAnsi"/>
          <w:sz w:val="22"/>
        </w:rPr>
        <w:t>atabecestat and its DIAT</w:t>
      </w:r>
      <w:r w:rsidRPr="00697BDD">
        <w:rPr>
          <w:rFonts w:asciiTheme="minorHAnsi" w:hAnsiTheme="minorHAnsi" w:cstheme="minorHAnsi"/>
          <w:sz w:val="22"/>
        </w:rPr>
        <w:t xml:space="preserve"> metabolite</w:t>
      </w:r>
      <w:r w:rsidR="00697BDD" w:rsidRPr="00697BDD">
        <w:rPr>
          <w:rFonts w:asciiTheme="minorHAnsi" w:hAnsiTheme="minorHAnsi" w:cstheme="minorHAnsi"/>
          <w:sz w:val="22"/>
        </w:rPr>
        <w:t xml:space="preserve"> are present in patients with atabecestat-induced liver injury. Thus, it</w:t>
      </w:r>
      <w:r w:rsidRPr="00697BDD">
        <w:rPr>
          <w:rFonts w:asciiTheme="minorHAnsi" w:hAnsiTheme="minorHAnsi" w:cstheme="minorHAnsi"/>
          <w:sz w:val="22"/>
        </w:rPr>
        <w:t xml:space="preserve"> is likely that the DILI reactions experienced by </w:t>
      </w:r>
      <w:r w:rsidR="00697BDD" w:rsidRPr="00697BDD">
        <w:rPr>
          <w:rFonts w:asciiTheme="minorHAnsi" w:hAnsiTheme="minorHAnsi" w:cstheme="minorHAnsi"/>
          <w:sz w:val="22"/>
        </w:rPr>
        <w:t xml:space="preserve">these patients </w:t>
      </w:r>
      <w:r w:rsidRPr="00697BDD">
        <w:rPr>
          <w:rFonts w:asciiTheme="minorHAnsi" w:hAnsiTheme="minorHAnsi" w:cstheme="minorHAnsi"/>
          <w:sz w:val="22"/>
        </w:rPr>
        <w:t xml:space="preserve">while on treatment with atabecestat were mediated </w:t>
      </w:r>
      <w:r w:rsidR="00697BDD" w:rsidRPr="00697BDD">
        <w:rPr>
          <w:rFonts w:asciiTheme="minorHAnsi" w:hAnsiTheme="minorHAnsi" w:cstheme="minorHAnsi"/>
          <w:sz w:val="22"/>
        </w:rPr>
        <w:t xml:space="preserve">at least in part </w:t>
      </w:r>
      <w:r w:rsidRPr="00697BDD">
        <w:rPr>
          <w:rFonts w:asciiTheme="minorHAnsi" w:hAnsiTheme="minorHAnsi" w:cstheme="minorHAnsi"/>
          <w:sz w:val="22"/>
        </w:rPr>
        <w:t xml:space="preserve">by the </w:t>
      </w:r>
      <w:r w:rsidR="00697BDD" w:rsidRPr="00697BDD">
        <w:rPr>
          <w:rFonts w:asciiTheme="minorHAnsi" w:hAnsiTheme="minorHAnsi" w:cstheme="minorHAnsi"/>
          <w:sz w:val="22"/>
        </w:rPr>
        <w:t xml:space="preserve">adaptive </w:t>
      </w:r>
      <w:r w:rsidRPr="00697BDD">
        <w:rPr>
          <w:rFonts w:asciiTheme="minorHAnsi" w:hAnsiTheme="minorHAnsi" w:cstheme="minorHAnsi"/>
          <w:sz w:val="22"/>
        </w:rPr>
        <w:t xml:space="preserve">immune system, with CD4+ responses being the primary action. Furthermore, it is probable that such reactions were mediated to a greater degree by the </w:t>
      </w:r>
      <w:r w:rsidR="009736EC">
        <w:rPr>
          <w:rFonts w:asciiTheme="minorHAnsi" w:hAnsiTheme="minorHAnsi" w:cstheme="minorHAnsi"/>
          <w:sz w:val="22"/>
        </w:rPr>
        <w:t xml:space="preserve">DIAT </w:t>
      </w:r>
      <w:r w:rsidRPr="00697BDD">
        <w:rPr>
          <w:rFonts w:asciiTheme="minorHAnsi" w:hAnsiTheme="minorHAnsi" w:cstheme="minorHAnsi"/>
          <w:sz w:val="22"/>
        </w:rPr>
        <w:t>metabolite</w:t>
      </w:r>
      <w:r w:rsidR="009736EC">
        <w:rPr>
          <w:rFonts w:asciiTheme="minorHAnsi" w:hAnsiTheme="minorHAnsi" w:cstheme="minorHAnsi"/>
          <w:sz w:val="22"/>
        </w:rPr>
        <w:t xml:space="preserve"> of atabecestat</w:t>
      </w:r>
      <w:r w:rsidRPr="00697BDD">
        <w:rPr>
          <w:rFonts w:asciiTheme="minorHAnsi" w:hAnsiTheme="minorHAnsi" w:cstheme="minorHAnsi"/>
          <w:sz w:val="22"/>
        </w:rPr>
        <w:t>.</w:t>
      </w:r>
      <w:r w:rsidR="00DE026D">
        <w:rPr>
          <w:rFonts w:asciiTheme="minorHAnsi" w:hAnsiTheme="minorHAnsi" w:cstheme="minorHAnsi"/>
          <w:sz w:val="22"/>
        </w:rPr>
        <w:t xml:space="preserve"> Future experiments profiling gene expression in drug-responsive T-cell clones and T-cell infiltrating liver of the same patients will provide direct evidence that circulating atabecestat- and/or DIAT-responsive</w:t>
      </w:r>
      <w:r w:rsidR="00263665">
        <w:rPr>
          <w:rFonts w:asciiTheme="minorHAnsi" w:hAnsiTheme="minorHAnsi" w:cstheme="minorHAnsi"/>
          <w:sz w:val="22"/>
        </w:rPr>
        <w:t xml:space="preserve"> T-cells are responsible for the tissue injury.</w:t>
      </w:r>
    </w:p>
    <w:p w14:paraId="7792F382" w14:textId="630187DC" w:rsidR="00697BDD" w:rsidRDefault="00697BDD">
      <w:pPr>
        <w:rPr>
          <w:rFonts w:cstheme="minorHAnsi"/>
        </w:rPr>
      </w:pPr>
      <w:r>
        <w:rPr>
          <w:rFonts w:cstheme="minorHAnsi"/>
        </w:rPr>
        <w:br w:type="page"/>
      </w:r>
    </w:p>
    <w:p w14:paraId="2F95D578" w14:textId="6869E890" w:rsidR="00697BDD" w:rsidRPr="004D4FFD" w:rsidRDefault="00DF6D24" w:rsidP="00DF6D24">
      <w:pPr>
        <w:autoSpaceDE w:val="0"/>
        <w:autoSpaceDN w:val="0"/>
        <w:adjustRightInd w:val="0"/>
        <w:spacing w:line="480" w:lineRule="auto"/>
        <w:jc w:val="both"/>
        <w:rPr>
          <w:rFonts w:cs="Times"/>
          <w:color w:val="000000"/>
          <w:szCs w:val="24"/>
        </w:rPr>
      </w:pPr>
      <w:r>
        <w:rPr>
          <w:rFonts w:eastAsia="Calibri" w:cs="Times"/>
          <w:b/>
          <w:szCs w:val="24"/>
        </w:rPr>
        <w:lastRenderedPageBreak/>
        <w:t xml:space="preserve">Acknowledgements: </w:t>
      </w:r>
      <w:r w:rsidR="00697BDD" w:rsidRPr="004D4FFD">
        <w:rPr>
          <w:rFonts w:cs="Times"/>
          <w:szCs w:val="24"/>
        </w:rPr>
        <w:t xml:space="preserve">The authors would like to thank the patients and volunteers for their generous donations. </w:t>
      </w:r>
    </w:p>
    <w:p w14:paraId="4D4F2924" w14:textId="3EF2A72C" w:rsidR="00DF6D24" w:rsidRPr="00DF6D24" w:rsidRDefault="00DF6D24" w:rsidP="00DF6D24">
      <w:pPr>
        <w:autoSpaceDE w:val="0"/>
        <w:autoSpaceDN w:val="0"/>
        <w:adjustRightInd w:val="0"/>
        <w:spacing w:line="480" w:lineRule="auto"/>
        <w:jc w:val="both"/>
        <w:rPr>
          <w:rFonts w:cstheme="minorHAnsi"/>
        </w:rPr>
      </w:pPr>
      <w:r w:rsidRPr="00DF6D24">
        <w:rPr>
          <w:rFonts w:cstheme="minorHAnsi"/>
          <w:b/>
        </w:rPr>
        <w:t>Funding:</w:t>
      </w:r>
      <w:r w:rsidRPr="00DF6D24">
        <w:rPr>
          <w:rFonts w:cstheme="minorHAnsi"/>
        </w:rPr>
        <w:t xml:space="preserve"> </w:t>
      </w:r>
      <w:r w:rsidRPr="00DF6D24">
        <w:rPr>
          <w:rFonts w:cstheme="minorHAnsi"/>
          <w:bCs/>
        </w:rPr>
        <w:t xml:space="preserve">PJT is a post-doctoral researcher that received funds from Janssen R&amp;D to support his studies.  </w:t>
      </w:r>
      <w:r w:rsidRPr="00DF6D24">
        <w:rPr>
          <w:rFonts w:cstheme="minorHAnsi"/>
          <w:color w:val="000000"/>
        </w:rPr>
        <w:t xml:space="preserve">The project also received funding from the MRC Centre for Drug Safety Science (Grant number G0700654) and </w:t>
      </w:r>
      <w:r w:rsidRPr="00DF6D24">
        <w:rPr>
          <w:rFonts w:cstheme="minorHAnsi"/>
        </w:rPr>
        <w:t xml:space="preserve">an MRC project grant (Grant number MR/R009635/1). </w:t>
      </w:r>
    </w:p>
    <w:p w14:paraId="4CC5E347" w14:textId="23F32CD1" w:rsidR="00753D5B" w:rsidRPr="00DF6D24" w:rsidRDefault="00753D5B" w:rsidP="00DF6D24">
      <w:pPr>
        <w:spacing w:line="480" w:lineRule="auto"/>
        <w:jc w:val="both"/>
        <w:rPr>
          <w:rFonts w:cstheme="minorHAnsi"/>
        </w:rPr>
      </w:pPr>
    </w:p>
    <w:p w14:paraId="6912445D" w14:textId="6DDFA7EB" w:rsidR="00DF6D24" w:rsidRPr="00DF6D24" w:rsidRDefault="00DF6D24" w:rsidP="00DF6D24">
      <w:pPr>
        <w:autoSpaceDE w:val="0"/>
        <w:autoSpaceDN w:val="0"/>
        <w:adjustRightInd w:val="0"/>
        <w:spacing w:after="0" w:line="480" w:lineRule="auto"/>
        <w:rPr>
          <w:rFonts w:cstheme="minorHAnsi"/>
        </w:rPr>
      </w:pPr>
      <w:r w:rsidRPr="00DF6D24">
        <w:rPr>
          <w:rFonts w:cstheme="minorHAnsi"/>
          <w:b/>
        </w:rPr>
        <w:t xml:space="preserve">Author contributions: </w:t>
      </w:r>
      <w:r w:rsidRPr="00DF6D24">
        <w:rPr>
          <w:rFonts w:cstheme="minorHAnsi"/>
        </w:rPr>
        <w:t xml:space="preserve">PJT, LK, and XM conducted the biological experiments. LL, PV and JS designed the clinical protocols and collected the patient samples. </w:t>
      </w:r>
      <w:r w:rsidR="0043587C">
        <w:rPr>
          <w:rFonts w:cstheme="minorHAnsi"/>
        </w:rPr>
        <w:t xml:space="preserve">ADB, DDM and HW conducted the TCR sequencing experiments. </w:t>
      </w:r>
      <w:r w:rsidRPr="00DF6D24">
        <w:rPr>
          <w:rFonts w:cstheme="minorHAnsi"/>
        </w:rPr>
        <w:t xml:space="preserve">DJN, JS and PV designed the research study and supervised the project. PJT, LK and DJN analysed the data and drafted the manuscript. All authors critically reviewed the manuscript.  </w:t>
      </w:r>
    </w:p>
    <w:p w14:paraId="7CD585F0" w14:textId="77777777" w:rsidR="00DF6D24" w:rsidRPr="00DF6D24" w:rsidRDefault="00DF6D24" w:rsidP="00DF6D24">
      <w:pPr>
        <w:autoSpaceDE w:val="0"/>
        <w:autoSpaceDN w:val="0"/>
        <w:adjustRightInd w:val="0"/>
        <w:spacing w:after="0" w:line="480" w:lineRule="auto"/>
        <w:rPr>
          <w:rFonts w:cstheme="minorHAnsi"/>
          <w:b/>
        </w:rPr>
      </w:pPr>
    </w:p>
    <w:p w14:paraId="26804672" w14:textId="77777777" w:rsidR="00DF6D24" w:rsidRPr="00DF6D24" w:rsidRDefault="00DF6D24" w:rsidP="00DF6D24">
      <w:pPr>
        <w:autoSpaceDE w:val="0"/>
        <w:autoSpaceDN w:val="0"/>
        <w:adjustRightInd w:val="0"/>
        <w:spacing w:after="0" w:line="480" w:lineRule="auto"/>
        <w:rPr>
          <w:rFonts w:cstheme="minorHAnsi"/>
          <w:b/>
        </w:rPr>
      </w:pPr>
      <w:r w:rsidRPr="00DF6D24">
        <w:rPr>
          <w:rFonts w:cstheme="minorHAnsi"/>
          <w:b/>
        </w:rPr>
        <w:t xml:space="preserve">Conflicts of interest: </w:t>
      </w:r>
      <w:r w:rsidRPr="00DF6D24">
        <w:rPr>
          <w:rFonts w:cstheme="minorHAnsi"/>
        </w:rPr>
        <w:t>The authors declare no competing financial interest.</w:t>
      </w:r>
    </w:p>
    <w:p w14:paraId="430B0B4B" w14:textId="77777777" w:rsidR="00DF6D24" w:rsidRPr="00DF6D24" w:rsidRDefault="00DF6D24" w:rsidP="00DF6D24">
      <w:pPr>
        <w:spacing w:line="480" w:lineRule="auto"/>
        <w:jc w:val="both"/>
        <w:rPr>
          <w:rFonts w:cstheme="minorHAnsi"/>
        </w:rPr>
      </w:pPr>
    </w:p>
    <w:p w14:paraId="4121C9FE" w14:textId="77777777" w:rsidR="00E7156C" w:rsidRPr="00CE08FB" w:rsidRDefault="00E7156C" w:rsidP="00DF6D24">
      <w:pPr>
        <w:autoSpaceDE w:val="0"/>
        <w:autoSpaceDN w:val="0"/>
        <w:adjustRightInd w:val="0"/>
        <w:spacing w:line="480" w:lineRule="auto"/>
        <w:jc w:val="both"/>
        <w:rPr>
          <w:rFonts w:cstheme="minorHAnsi"/>
        </w:rPr>
      </w:pPr>
      <w:r w:rsidRPr="00CE08FB">
        <w:rPr>
          <w:rFonts w:cstheme="minorHAnsi"/>
          <w:b/>
        </w:rPr>
        <w:t xml:space="preserve">List of abbreviations: </w:t>
      </w:r>
      <w:r w:rsidRPr="00CA4746">
        <w:rPr>
          <w:rFonts w:cstheme="minorHAnsi"/>
        </w:rPr>
        <w:t>Alzheimer’s Disease</w:t>
      </w:r>
      <w:r>
        <w:rPr>
          <w:rFonts w:cstheme="minorHAnsi"/>
        </w:rPr>
        <w:t>, AD;</w:t>
      </w:r>
      <w:r w:rsidRPr="00CA4746">
        <w:rPr>
          <w:rFonts w:cstheme="minorHAnsi"/>
        </w:rPr>
        <w:t xml:space="preserve"> </w:t>
      </w:r>
      <w:r w:rsidRPr="00431453">
        <w:rPr>
          <w:szCs w:val="24"/>
        </w:rPr>
        <w:t>uppe</w:t>
      </w:r>
      <w:r w:rsidRPr="006F2B7F">
        <w:rPr>
          <w:szCs w:val="24"/>
        </w:rPr>
        <w:t>r limit of normal</w:t>
      </w:r>
      <w:r>
        <w:rPr>
          <w:szCs w:val="24"/>
        </w:rPr>
        <w:t>,</w:t>
      </w:r>
      <w:r w:rsidRPr="006F2B7F">
        <w:rPr>
          <w:szCs w:val="24"/>
        </w:rPr>
        <w:t xml:space="preserve"> ULN</w:t>
      </w:r>
      <w:r>
        <w:rPr>
          <w:szCs w:val="24"/>
        </w:rPr>
        <w:t>;</w:t>
      </w:r>
      <w:r w:rsidRPr="006F2B7F">
        <w:rPr>
          <w:szCs w:val="24"/>
        </w:rPr>
        <w:t xml:space="preserve"> alanine transaminase</w:t>
      </w:r>
      <w:r>
        <w:rPr>
          <w:szCs w:val="24"/>
        </w:rPr>
        <w:t>,</w:t>
      </w:r>
      <w:r w:rsidRPr="006F2B7F">
        <w:rPr>
          <w:szCs w:val="24"/>
        </w:rPr>
        <w:t xml:space="preserve"> ALT</w:t>
      </w:r>
      <w:r>
        <w:rPr>
          <w:szCs w:val="24"/>
        </w:rPr>
        <w:t>;</w:t>
      </w:r>
      <w:r w:rsidRPr="006F2B7F">
        <w:rPr>
          <w:szCs w:val="24"/>
        </w:rPr>
        <w:t xml:space="preserve"> </w:t>
      </w:r>
      <w:r w:rsidRPr="00CE08FB">
        <w:rPr>
          <w:rFonts w:cstheme="minorHAnsi"/>
        </w:rPr>
        <w:t>drug-induced liver injury, DILI; peripheral blood mononuclear cells, PBM</w:t>
      </w:r>
      <w:r>
        <w:rPr>
          <w:rFonts w:cstheme="minorHAnsi"/>
        </w:rPr>
        <w:t>C; epstein barr virus, EBV; human leukocyte antigen, HLA</w:t>
      </w:r>
      <w:r w:rsidRPr="00CE08FB">
        <w:rPr>
          <w:rFonts w:cstheme="minorHAnsi"/>
        </w:rPr>
        <w:t>.</w:t>
      </w:r>
    </w:p>
    <w:p w14:paraId="484EFF69" w14:textId="77777777" w:rsidR="00E7156C" w:rsidRPr="00CE08FB" w:rsidRDefault="00E7156C" w:rsidP="00E7156C">
      <w:pPr>
        <w:autoSpaceDE w:val="0"/>
        <w:autoSpaceDN w:val="0"/>
        <w:adjustRightInd w:val="0"/>
        <w:spacing w:line="480" w:lineRule="auto"/>
        <w:rPr>
          <w:rFonts w:cstheme="minorHAnsi"/>
        </w:rPr>
      </w:pPr>
    </w:p>
    <w:p w14:paraId="461BD0DC" w14:textId="34285D44" w:rsidR="0066506F" w:rsidRPr="00CA4746" w:rsidRDefault="0066506F" w:rsidP="00EA4E2E">
      <w:pPr>
        <w:rPr>
          <w:rFonts w:cstheme="minorHAnsi"/>
        </w:rPr>
      </w:pPr>
    </w:p>
    <w:p w14:paraId="4D343184" w14:textId="00B2748B" w:rsidR="0028137C" w:rsidRPr="00CA4746" w:rsidRDefault="0028137C" w:rsidP="0028137C">
      <w:pPr>
        <w:rPr>
          <w:rFonts w:cstheme="minorHAnsi"/>
        </w:rPr>
      </w:pPr>
    </w:p>
    <w:p w14:paraId="133B552C" w14:textId="77777777" w:rsidR="00697BDD" w:rsidRDefault="00697BDD">
      <w:pPr>
        <w:rPr>
          <w:rFonts w:eastAsiaTheme="majorEastAsia" w:cstheme="minorHAnsi"/>
          <w:b/>
          <w:sz w:val="28"/>
          <w:szCs w:val="26"/>
        </w:rPr>
      </w:pPr>
      <w:r>
        <w:rPr>
          <w:rFonts w:cstheme="minorHAnsi"/>
        </w:rPr>
        <w:br w:type="page"/>
      </w:r>
    </w:p>
    <w:p w14:paraId="6C7CF9D5" w14:textId="2BAC98C5" w:rsidR="00AF6E41" w:rsidRPr="00FB1975" w:rsidRDefault="00AF6E41" w:rsidP="00FB1975">
      <w:pPr>
        <w:rPr>
          <w:rFonts w:eastAsiaTheme="majorEastAsia" w:cstheme="minorHAnsi"/>
          <w:b/>
          <w:sz w:val="36"/>
          <w:szCs w:val="26"/>
        </w:rPr>
      </w:pPr>
      <w:r w:rsidRPr="00FB1975">
        <w:rPr>
          <w:rFonts w:cstheme="minorHAnsi"/>
          <w:b/>
          <w:sz w:val="28"/>
        </w:rPr>
        <w:lastRenderedPageBreak/>
        <w:t>Figure Legends</w:t>
      </w:r>
    </w:p>
    <w:p w14:paraId="7AE79E16" w14:textId="5A781EC4" w:rsidR="002303F6" w:rsidRDefault="00450E6E" w:rsidP="00A06E7C">
      <w:pPr>
        <w:pStyle w:val="Heading4"/>
        <w:numPr>
          <w:ilvl w:val="0"/>
          <w:numId w:val="0"/>
        </w:numPr>
        <w:spacing w:after="120" w:line="480" w:lineRule="auto"/>
        <w:jc w:val="both"/>
        <w:rPr>
          <w:rFonts w:asciiTheme="minorHAnsi" w:hAnsiTheme="minorHAnsi" w:cstheme="minorHAnsi"/>
          <w:b w:val="0"/>
        </w:rPr>
      </w:pPr>
      <w:bookmarkStart w:id="0" w:name="_Ref16776427"/>
      <w:r>
        <w:rPr>
          <w:rFonts w:asciiTheme="minorHAnsi" w:hAnsiTheme="minorHAnsi" w:cstheme="minorHAnsi"/>
          <w:bCs/>
        </w:rPr>
        <w:t xml:space="preserve">Figure 1. </w:t>
      </w:r>
      <w:r w:rsidR="00A06E7C" w:rsidRPr="00A06E7C">
        <w:rPr>
          <w:rFonts w:asciiTheme="minorHAnsi" w:hAnsiTheme="minorHAnsi" w:cstheme="minorHAnsi"/>
          <w:bCs/>
        </w:rPr>
        <w:t xml:space="preserve">Study compound structures, granzyme B PBMC ELIspot and initial testing of T-cell clones from patient 6. </w:t>
      </w:r>
      <w:r w:rsidR="00A06E7C" w:rsidRPr="00A06E7C">
        <w:rPr>
          <w:rFonts w:asciiTheme="minorHAnsi" w:hAnsiTheme="minorHAnsi" w:cstheme="minorHAnsi"/>
          <w:b w:val="0"/>
          <w:bCs/>
        </w:rPr>
        <w:t xml:space="preserve">(A) Structure of atabecestat and its metabolic conversion to DIAT and atabecestat epoxide. (B) </w:t>
      </w:r>
      <w:r w:rsidR="002303F6" w:rsidRPr="002303F6">
        <w:rPr>
          <w:rFonts w:asciiTheme="minorHAnsi" w:hAnsiTheme="minorHAnsi" w:cstheme="minorHAnsi"/>
          <w:b w:val="0"/>
        </w:rPr>
        <w:t>PBMCs were incubated in a</w:t>
      </w:r>
      <w:r w:rsidR="000C6731">
        <w:rPr>
          <w:rFonts w:asciiTheme="minorHAnsi" w:hAnsiTheme="minorHAnsi" w:cstheme="minorHAnsi"/>
          <w:b w:val="0"/>
        </w:rPr>
        <w:t xml:space="preserve"> granzyme B</w:t>
      </w:r>
      <w:r w:rsidR="002303F6" w:rsidRPr="002303F6">
        <w:rPr>
          <w:rFonts w:asciiTheme="minorHAnsi" w:hAnsiTheme="minorHAnsi" w:cstheme="minorHAnsi"/>
          <w:b w:val="0"/>
        </w:rPr>
        <w:t>ELIspot plate with atabecestat, DIAT, acetyl DIAT and atabecestat epoxide for a period of 48 hours. The ELIspot plate was developed and counted using ELIspot AID reader. (</w:t>
      </w:r>
      <w:r w:rsidR="00A06E7C">
        <w:rPr>
          <w:rFonts w:asciiTheme="minorHAnsi" w:hAnsiTheme="minorHAnsi" w:cstheme="minorHAnsi"/>
          <w:b w:val="0"/>
        </w:rPr>
        <w:t>C</w:t>
      </w:r>
      <w:r w:rsidR="002303F6" w:rsidRPr="002303F6">
        <w:rPr>
          <w:rFonts w:asciiTheme="minorHAnsi" w:hAnsiTheme="minorHAnsi" w:cstheme="minorHAnsi"/>
          <w:b w:val="0"/>
        </w:rPr>
        <w:t>) T-cell clones</w:t>
      </w:r>
      <w:r w:rsidR="002B4642">
        <w:rPr>
          <w:rFonts w:asciiTheme="minorHAnsi" w:hAnsiTheme="minorHAnsi" w:cstheme="minorHAnsi"/>
          <w:b w:val="0"/>
        </w:rPr>
        <w:t xml:space="preserve"> from atabecestat-, DIAT-, acetyl DIAT- and atabecestat epoxide-derived</w:t>
      </w:r>
      <w:r w:rsidR="002303F6" w:rsidRPr="002303F6">
        <w:rPr>
          <w:rFonts w:asciiTheme="minorHAnsi" w:hAnsiTheme="minorHAnsi" w:cstheme="minorHAnsi"/>
          <w:b w:val="0"/>
        </w:rPr>
        <w:t xml:space="preserve"> </w:t>
      </w:r>
      <w:r w:rsidR="002B4642">
        <w:rPr>
          <w:rFonts w:asciiTheme="minorHAnsi" w:hAnsiTheme="minorHAnsi" w:cstheme="minorHAnsi"/>
          <w:b w:val="0"/>
        </w:rPr>
        <w:t xml:space="preserve"> T-cell lines (i.e., each figure panel shows separate clones)</w:t>
      </w:r>
      <w:r w:rsidR="002303F6" w:rsidRPr="002303F6">
        <w:rPr>
          <w:rFonts w:asciiTheme="minorHAnsi" w:hAnsiTheme="minorHAnsi" w:cstheme="minorHAnsi"/>
          <w:b w:val="0"/>
        </w:rPr>
        <w:t xml:space="preserve">were co-incubated with autologous antigen presenting cells in the presence and absence of atabecestat (10 </w:t>
      </w:r>
      <w:r w:rsidR="005A2DF4">
        <w:rPr>
          <w:rFonts w:asciiTheme="minorHAnsi" w:hAnsiTheme="minorHAnsi" w:cstheme="minorHAnsi"/>
          <w:b w:val="0"/>
        </w:rPr>
        <w:t>μM), DIAT (25 μM)</w:t>
      </w:r>
      <w:r w:rsidR="002303F6" w:rsidRPr="002303F6">
        <w:rPr>
          <w:rFonts w:asciiTheme="minorHAnsi" w:hAnsiTheme="minorHAnsi" w:cstheme="minorHAnsi"/>
          <w:b w:val="0"/>
        </w:rPr>
        <w:t>, acetyl DIAT (25μM) and atabecestat epoxide (10μM). Cells were incubated for 48 hours. [</w:t>
      </w:r>
      <w:r w:rsidR="002303F6" w:rsidRPr="002303F6">
        <w:rPr>
          <w:rFonts w:asciiTheme="minorHAnsi" w:hAnsiTheme="minorHAnsi" w:cstheme="minorHAnsi"/>
          <w:b w:val="0"/>
          <w:vertAlign w:val="superscript"/>
        </w:rPr>
        <w:t>3</w:t>
      </w:r>
      <w:r w:rsidR="002303F6" w:rsidRPr="002303F6">
        <w:rPr>
          <w:rFonts w:asciiTheme="minorHAnsi" w:hAnsiTheme="minorHAnsi" w:cstheme="minorHAnsi"/>
          <w:b w:val="0"/>
        </w:rPr>
        <w:t>H] thymidine was then added for an additional 16 hour incubation and T-cell proliferation was assessed using scintillation counting. Clones with a stimulation index of 1.5 or greater were selected and expanded for further analysis.</w:t>
      </w:r>
      <w:r w:rsidR="002B4642">
        <w:rPr>
          <w:rFonts w:asciiTheme="minorHAnsi" w:hAnsiTheme="minorHAnsi" w:cstheme="minorHAnsi"/>
          <w:b w:val="0"/>
        </w:rPr>
        <w:t xml:space="preserve"> Cross-reactivity was not possible at this early phase of the analysis.</w:t>
      </w:r>
    </w:p>
    <w:p w14:paraId="56A07567" w14:textId="5A26C674" w:rsidR="009C0C8B" w:rsidRPr="009C0C8B" w:rsidRDefault="009C0C8B" w:rsidP="00875CA2">
      <w:pPr>
        <w:spacing w:line="480" w:lineRule="auto"/>
        <w:jc w:val="both"/>
        <w:rPr>
          <w:rFonts w:cstheme="minorHAnsi"/>
        </w:rPr>
      </w:pPr>
      <w:r w:rsidRPr="009C0C8B">
        <w:rPr>
          <w:rFonts w:cstheme="minorHAnsi"/>
          <w:b/>
          <w:bCs/>
        </w:rPr>
        <w:t xml:space="preserve">Figure </w:t>
      </w:r>
      <w:r w:rsidR="00A61ED9">
        <w:rPr>
          <w:rFonts w:cstheme="minorHAnsi"/>
          <w:b/>
          <w:bCs/>
        </w:rPr>
        <w:t>2</w:t>
      </w:r>
      <w:r w:rsidRPr="009C0C8B">
        <w:rPr>
          <w:rFonts w:cstheme="minorHAnsi"/>
          <w:b/>
          <w:bCs/>
        </w:rPr>
        <w:t xml:space="preserve">. Analysis of cytokine </w:t>
      </w:r>
      <w:r w:rsidR="00186B12">
        <w:rPr>
          <w:rFonts w:cstheme="minorHAnsi"/>
          <w:b/>
          <w:bCs/>
        </w:rPr>
        <w:t xml:space="preserve">and cytolytic molecule </w:t>
      </w:r>
      <w:r w:rsidRPr="009C0C8B">
        <w:rPr>
          <w:rFonts w:cstheme="minorHAnsi"/>
          <w:b/>
          <w:bCs/>
        </w:rPr>
        <w:t xml:space="preserve">secretion from atabecestat- and DIAT-responsive T-cell clones. </w:t>
      </w:r>
      <w:r w:rsidRPr="009C0C8B">
        <w:rPr>
          <w:rFonts w:cstheme="minorHAnsi"/>
        </w:rPr>
        <w:t>T-cell clones were co-incubated with</w:t>
      </w:r>
      <w:r w:rsidR="00AB4228">
        <w:rPr>
          <w:rFonts w:cstheme="minorHAnsi"/>
        </w:rPr>
        <w:t xml:space="preserve"> autologous EBV-</w:t>
      </w:r>
      <w:r w:rsidRPr="009C0C8B">
        <w:rPr>
          <w:rFonts w:cstheme="minorHAnsi"/>
        </w:rPr>
        <w:t xml:space="preserve">transformed antigen presenting cells in the presence and absence of atabecestat (25µM) or DIAT (100µM) in an ELIspot plate coated </w:t>
      </w:r>
      <w:r w:rsidR="0016176F">
        <w:rPr>
          <w:rFonts w:cstheme="minorHAnsi"/>
        </w:rPr>
        <w:t xml:space="preserve">with antibodies </w:t>
      </w:r>
      <w:r w:rsidRPr="009C0C8B">
        <w:rPr>
          <w:rFonts w:cstheme="minorHAnsi"/>
        </w:rPr>
        <w:t>for IFN-</w:t>
      </w:r>
      <w:r w:rsidRPr="009C0C8B">
        <w:rPr>
          <w:rFonts w:cstheme="minorHAnsi"/>
          <w:lang w:val="el-GR"/>
        </w:rPr>
        <w:t>γ</w:t>
      </w:r>
      <w:r w:rsidRPr="009C0C8B">
        <w:rPr>
          <w:rFonts w:cstheme="minorHAnsi"/>
        </w:rPr>
        <w:t>, granzyme B (GrB), IL-5, IL-13, IL-10, IL-17, IL-22 and perforin for 48 hours. Following incubation, the ELIspot plate was developed for the respective cytokines.</w:t>
      </w:r>
    </w:p>
    <w:p w14:paraId="36BF2D46" w14:textId="30F04C8D" w:rsidR="00D37934" w:rsidRDefault="00D37934" w:rsidP="00D37934">
      <w:pPr>
        <w:spacing w:line="480" w:lineRule="auto"/>
        <w:jc w:val="both"/>
      </w:pPr>
      <w:r>
        <w:rPr>
          <w:b/>
          <w:bCs/>
        </w:rPr>
        <w:t>Figure 3</w:t>
      </w:r>
      <w:r w:rsidRPr="00875CA2">
        <w:rPr>
          <w:b/>
          <w:bCs/>
        </w:rPr>
        <w:t xml:space="preserve">. HLA-DR restriction of atabecestat and DIAT-responsive CD4+ T-cell clones. </w:t>
      </w:r>
      <w:r w:rsidRPr="00875CA2">
        <w:t>T-cell clones were co-inc</w:t>
      </w:r>
      <w:r>
        <w:t>ubated with autologous EBV-</w:t>
      </w:r>
      <w:r w:rsidRPr="00875CA2">
        <w:t>transformed antigen presenting cells in the presence and absence of atabecestat (25µM) or DIAT (100µM) for 48 hours. Prior to addition of the drugs, blocking antibodies; Isotype I, Isotype II, HLA Class I and HLA Class II were co-incubated with antigen presenting cells and T-cell clones for 1 hour. The assay was also conducted using HLA Class II sub-class-specific antibodies HLA-DP, DQ and DR. T-cell responses were quantified via analysis of (A) proliferation using [</w:t>
      </w:r>
      <w:r w:rsidRPr="00875CA2">
        <w:rPr>
          <w:vertAlign w:val="superscript"/>
        </w:rPr>
        <w:t>3</w:t>
      </w:r>
      <w:r w:rsidRPr="00875CA2">
        <w:t>H] thymidine and scintillation counting or IFN-</w:t>
      </w:r>
      <w:r w:rsidRPr="00875CA2">
        <w:rPr>
          <w:lang w:val="el-GR"/>
        </w:rPr>
        <w:t>γ</w:t>
      </w:r>
      <w:r w:rsidRPr="00875CA2">
        <w:t xml:space="preserve"> secretion by way of ELIspot.</w:t>
      </w:r>
    </w:p>
    <w:p w14:paraId="06BA698A" w14:textId="13798A49" w:rsidR="00875CA2" w:rsidRPr="00875CA2" w:rsidRDefault="00875CA2" w:rsidP="00875CA2">
      <w:pPr>
        <w:spacing w:line="480" w:lineRule="auto"/>
        <w:jc w:val="both"/>
        <w:rPr>
          <w:bCs/>
        </w:rPr>
      </w:pPr>
      <w:r w:rsidRPr="00875CA2">
        <w:rPr>
          <w:b/>
          <w:bCs/>
        </w:rPr>
        <w:lastRenderedPageBreak/>
        <w:t xml:space="preserve">Figure </w:t>
      </w:r>
      <w:r w:rsidR="00D37934">
        <w:rPr>
          <w:b/>
          <w:bCs/>
        </w:rPr>
        <w:t>4</w:t>
      </w:r>
      <w:r w:rsidRPr="00875CA2">
        <w:rPr>
          <w:b/>
          <w:bCs/>
        </w:rPr>
        <w:t xml:space="preserve">. Direct activation of CD4+ T-cell clones with atabecestat and DIAT. </w:t>
      </w:r>
      <w:r w:rsidRPr="00875CA2">
        <w:rPr>
          <w:bCs/>
        </w:rPr>
        <w:t>(A) T-cell clones were c</w:t>
      </w:r>
      <w:r w:rsidR="00AB4228">
        <w:rPr>
          <w:bCs/>
        </w:rPr>
        <w:t>o-incubated with autologous EBV-</w:t>
      </w:r>
      <w:r w:rsidRPr="00875CA2">
        <w:rPr>
          <w:bCs/>
        </w:rPr>
        <w:t>transformed B-cells pre-pulsed with atabecestat (25µM) or DIAT (100µM) for 1 or 16 hours</w:t>
      </w:r>
      <w:r w:rsidR="00AB4228">
        <w:rPr>
          <w:bCs/>
        </w:rPr>
        <w:t>. The study compound-pulsed EBV-</w:t>
      </w:r>
      <w:r w:rsidRPr="00875CA2">
        <w:rPr>
          <w:bCs/>
        </w:rPr>
        <w:t xml:space="preserve">transformed B-cells were washed repeatedly to remove free compound prior to culturing with T-cells. (B) T-cell clones were incubated with atabecestat (25µM) or DIAT (100µM) in the presence or absence </w:t>
      </w:r>
      <w:r w:rsidR="00AB4228">
        <w:rPr>
          <w:bCs/>
        </w:rPr>
        <w:t>of autologous EBV-</w:t>
      </w:r>
      <w:r w:rsidRPr="00875CA2">
        <w:rPr>
          <w:bCs/>
        </w:rPr>
        <w:t xml:space="preserve">transformed B-cells </w:t>
      </w:r>
      <w:r w:rsidR="006210DA">
        <w:rPr>
          <w:bCs/>
        </w:rPr>
        <w:t xml:space="preserve">(APC) </w:t>
      </w:r>
      <w:r w:rsidRPr="00875CA2">
        <w:rPr>
          <w:bCs/>
        </w:rPr>
        <w:t>fixed with glutaraldehyde to prevent protein processing. T-cell responses were measured either via analysis of proliferation through addition of [</w:t>
      </w:r>
      <w:r w:rsidRPr="00875CA2">
        <w:rPr>
          <w:bCs/>
          <w:vertAlign w:val="superscript"/>
        </w:rPr>
        <w:t>3</w:t>
      </w:r>
      <w:r w:rsidRPr="00875CA2">
        <w:rPr>
          <w:bCs/>
        </w:rPr>
        <w:t>H] thymidine and scintillation counting or through secretion of IFN-</w:t>
      </w:r>
      <w:r w:rsidRPr="00875CA2">
        <w:rPr>
          <w:bCs/>
          <w:lang w:val="el-GR"/>
        </w:rPr>
        <w:t>γ</w:t>
      </w:r>
      <w:r w:rsidRPr="00875CA2">
        <w:rPr>
          <w:bCs/>
        </w:rPr>
        <w:t xml:space="preserve"> via ELIspot.</w:t>
      </w:r>
    </w:p>
    <w:p w14:paraId="1FB7A10C" w14:textId="4110DCA8" w:rsidR="003F3F85" w:rsidRPr="003F3F85" w:rsidRDefault="003F3F85" w:rsidP="00450609">
      <w:pPr>
        <w:spacing w:line="480" w:lineRule="auto"/>
        <w:jc w:val="both"/>
      </w:pPr>
      <w:r w:rsidRPr="003F3F85">
        <w:rPr>
          <w:b/>
          <w:bCs/>
        </w:rPr>
        <w:t xml:space="preserve">Figure </w:t>
      </w:r>
      <w:r w:rsidR="00D37934">
        <w:rPr>
          <w:b/>
          <w:bCs/>
        </w:rPr>
        <w:t>5</w:t>
      </w:r>
      <w:r w:rsidRPr="003F3F85">
        <w:rPr>
          <w:b/>
          <w:bCs/>
        </w:rPr>
        <w:t>. Cross</w:t>
      </w:r>
      <w:r w:rsidR="0007504A">
        <w:rPr>
          <w:b/>
          <w:bCs/>
        </w:rPr>
        <w:t>-</w:t>
      </w:r>
      <w:r w:rsidRPr="003F3F85">
        <w:rPr>
          <w:b/>
          <w:bCs/>
        </w:rPr>
        <w:t xml:space="preserve">reactivity of study compound-specific T-cell clones. </w:t>
      </w:r>
      <w:r w:rsidRPr="003F3F85">
        <w:t>(A)</w:t>
      </w:r>
      <w:r w:rsidRPr="00450609">
        <w:t xml:space="preserve"> </w:t>
      </w:r>
      <w:r w:rsidR="00450609" w:rsidRPr="00450609">
        <w:rPr>
          <w:rFonts w:ascii="Calibri" w:hAnsi="Calibri" w:cs="Calibri"/>
          <w:lang w:eastAsia="zh-CN"/>
        </w:rPr>
        <w:t>Energy minimized 3D-structures of study compounds.</w:t>
      </w:r>
      <w:r w:rsidR="00450609" w:rsidRPr="00450609">
        <w:t xml:space="preserve"> </w:t>
      </w:r>
      <w:r w:rsidRPr="003F3F85">
        <w:t>(B) Proliferation of representative T-cell clones in the presence of study compounds. T-cell clones were co</w:t>
      </w:r>
      <w:r w:rsidR="00AB4228">
        <w:t>-incubated with autologous EBV-</w:t>
      </w:r>
      <w:r w:rsidRPr="003F3F85">
        <w:t xml:space="preserve">transformed B-cells in the presence and absence atabecestat, DIAT, atabecestat </w:t>
      </w:r>
      <w:r>
        <w:t>e</w:t>
      </w:r>
      <w:r w:rsidRPr="003F3F85">
        <w:t>poxide and acetyl DIAT for 48 hours. [</w:t>
      </w:r>
      <w:r w:rsidRPr="003F3F85">
        <w:rPr>
          <w:vertAlign w:val="superscript"/>
        </w:rPr>
        <w:t>3</w:t>
      </w:r>
      <w:r w:rsidRPr="003F3F85">
        <w:t>H] thymidine was added for an additional 16 hours and proliferation was measured via scintillation counting. Error bars denote ± SEM. (C) IFN-</w:t>
      </w:r>
      <w:r w:rsidRPr="003F3F85">
        <w:sym w:font="Symbol" w:char="F067"/>
      </w:r>
      <w:r w:rsidRPr="003F3F85">
        <w:t xml:space="preserve"> secretion from study compound stimulated T-cell clones. T-cell clones were c</w:t>
      </w:r>
      <w:r w:rsidR="00AB4228">
        <w:t>o-incubated with autologous EBV-</w:t>
      </w:r>
      <w:r w:rsidRPr="003F3F85">
        <w:t>transformed B-cells in the presence and absence of atabecestat, DIAT, atabecestat epoxide and acetyl DIAT in a ELIspot plate for 48 hours. Following incubation, the ELIspot was developed for IFN-γ.</w:t>
      </w:r>
    </w:p>
    <w:p w14:paraId="23E62B7A" w14:textId="501EB864" w:rsidR="002303F6" w:rsidRDefault="002303F6" w:rsidP="002303F6"/>
    <w:p w14:paraId="61A6E201" w14:textId="50DDDDBB" w:rsidR="007F488C" w:rsidRPr="006D1E32" w:rsidRDefault="00FB1975" w:rsidP="006D1E32">
      <w:r>
        <w:br w:type="page"/>
      </w:r>
      <w:bookmarkEnd w:id="0"/>
    </w:p>
    <w:p w14:paraId="061CDABB" w14:textId="77777777" w:rsidR="00FB1975" w:rsidRPr="00FB1975" w:rsidRDefault="00FB1975" w:rsidP="00FB1975">
      <w:pPr>
        <w:rPr>
          <w:b/>
        </w:rPr>
        <w:sectPr w:rsidR="00FB1975" w:rsidRPr="00FB1975" w:rsidSect="00E7156C">
          <w:headerReference w:type="default" r:id="rId12"/>
          <w:pgSz w:w="11906" w:h="16838"/>
          <w:pgMar w:top="1440" w:right="1440" w:bottom="1440" w:left="1440" w:header="708" w:footer="708" w:gutter="0"/>
          <w:lnNumType w:countBy="1" w:restart="continuous"/>
          <w:cols w:space="708"/>
          <w:docGrid w:linePitch="360"/>
        </w:sectPr>
      </w:pPr>
    </w:p>
    <w:p w14:paraId="3352D699" w14:textId="62C7F7BB" w:rsidR="00997C64" w:rsidRPr="00CA4746" w:rsidRDefault="00997C64" w:rsidP="00997C64">
      <w:pPr>
        <w:pStyle w:val="Heading2"/>
        <w:rPr>
          <w:rFonts w:asciiTheme="minorHAnsi" w:hAnsiTheme="minorHAnsi" w:cstheme="minorHAnsi"/>
        </w:rPr>
      </w:pPr>
      <w:r>
        <w:rPr>
          <w:rFonts w:asciiTheme="minorHAnsi" w:hAnsiTheme="minorHAnsi" w:cstheme="minorHAnsi"/>
        </w:rPr>
        <w:lastRenderedPageBreak/>
        <w:t>Tables</w:t>
      </w:r>
    </w:p>
    <w:p w14:paraId="00FA5178" w14:textId="77777777" w:rsidR="00997C64" w:rsidRDefault="00997C64" w:rsidP="00A41161">
      <w:pPr>
        <w:rPr>
          <w:rFonts w:cstheme="minorHAnsi"/>
        </w:rPr>
      </w:pPr>
    </w:p>
    <w:p w14:paraId="06EFA9D4" w14:textId="754F5EF2" w:rsidR="00997C64" w:rsidRPr="00997C64" w:rsidRDefault="00997C64" w:rsidP="00A41161">
      <w:pPr>
        <w:rPr>
          <w:rFonts w:cstheme="minorHAnsi"/>
          <w:b/>
        </w:rPr>
      </w:pPr>
      <w:r w:rsidRPr="00997C64">
        <w:rPr>
          <w:rFonts w:cstheme="minorHAnsi"/>
          <w:b/>
        </w:rPr>
        <w:t>Table 1. Patient demographics and details of the adverse events</w:t>
      </w:r>
    </w:p>
    <w:p w14:paraId="2823826D" w14:textId="77777777" w:rsidR="00997C64" w:rsidRDefault="00997C64" w:rsidP="00A41161">
      <w:pPr>
        <w:rPr>
          <w:rFonts w:cstheme="minorHAnsi"/>
        </w:rPr>
      </w:pPr>
    </w:p>
    <w:tbl>
      <w:tblPr>
        <w:tblW w:w="12687" w:type="dxa"/>
        <w:tblInd w:w="-30" w:type="dxa"/>
        <w:tblLayout w:type="fixed"/>
        <w:tblCellMar>
          <w:left w:w="30" w:type="dxa"/>
          <w:right w:w="30" w:type="dxa"/>
        </w:tblCellMar>
        <w:tblLook w:val="0000" w:firstRow="0" w:lastRow="0" w:firstColumn="0" w:lastColumn="0" w:noHBand="0" w:noVBand="0"/>
      </w:tblPr>
      <w:tblGrid>
        <w:gridCol w:w="1484"/>
        <w:gridCol w:w="1057"/>
        <w:gridCol w:w="836"/>
        <w:gridCol w:w="1256"/>
        <w:gridCol w:w="1395"/>
        <w:gridCol w:w="1255"/>
        <w:gridCol w:w="1116"/>
        <w:gridCol w:w="1417"/>
        <w:gridCol w:w="1276"/>
        <w:gridCol w:w="797"/>
        <w:gridCol w:w="798"/>
      </w:tblGrid>
      <w:tr w:rsidR="00583547" w14:paraId="60E32A62" w14:textId="77777777" w:rsidTr="00583547">
        <w:trPr>
          <w:trHeight w:val="325"/>
        </w:trPr>
        <w:tc>
          <w:tcPr>
            <w:tcW w:w="1484" w:type="dxa"/>
            <w:vMerge w:val="restart"/>
            <w:tcBorders>
              <w:top w:val="single" w:sz="12" w:space="0" w:color="auto"/>
              <w:left w:val="nil"/>
              <w:right w:val="nil"/>
            </w:tcBorders>
          </w:tcPr>
          <w:p w14:paraId="63DD511C" w14:textId="0096C362" w:rsidR="00583547" w:rsidRPr="00583547" w:rsidRDefault="00583547" w:rsidP="00997C64">
            <w:pPr>
              <w:autoSpaceDE w:val="0"/>
              <w:autoSpaceDN w:val="0"/>
              <w:adjustRightInd w:val="0"/>
              <w:spacing w:after="0" w:line="240" w:lineRule="auto"/>
              <w:jc w:val="center"/>
              <w:rPr>
                <w:rFonts w:cstheme="minorHAnsi"/>
                <w:b/>
                <w:color w:val="000000"/>
              </w:rPr>
            </w:pPr>
            <w:r w:rsidRPr="00583547">
              <w:rPr>
                <w:rFonts w:cstheme="minorHAnsi"/>
                <w:b/>
                <w:color w:val="000000"/>
              </w:rPr>
              <w:t>Patient id</w:t>
            </w:r>
          </w:p>
          <w:p w14:paraId="350574D9" w14:textId="77777777" w:rsidR="00583547" w:rsidRPr="00583547" w:rsidRDefault="00583547" w:rsidP="00997C64">
            <w:pPr>
              <w:autoSpaceDE w:val="0"/>
              <w:autoSpaceDN w:val="0"/>
              <w:adjustRightInd w:val="0"/>
              <w:spacing w:after="0" w:line="240" w:lineRule="auto"/>
              <w:jc w:val="center"/>
              <w:rPr>
                <w:rFonts w:cstheme="minorHAnsi"/>
                <w:color w:val="000000"/>
              </w:rPr>
            </w:pPr>
          </w:p>
          <w:p w14:paraId="69F7D85D" w14:textId="77777777" w:rsidR="00583547" w:rsidRPr="00583547" w:rsidRDefault="00583547" w:rsidP="00997C64">
            <w:pPr>
              <w:autoSpaceDE w:val="0"/>
              <w:autoSpaceDN w:val="0"/>
              <w:adjustRightInd w:val="0"/>
              <w:spacing w:after="0" w:line="240" w:lineRule="auto"/>
              <w:jc w:val="center"/>
              <w:rPr>
                <w:rFonts w:cstheme="minorHAnsi"/>
                <w:color w:val="000000"/>
              </w:rPr>
            </w:pPr>
          </w:p>
          <w:p w14:paraId="5F5889F8" w14:textId="39291EC7" w:rsidR="00583547" w:rsidRPr="00583547" w:rsidRDefault="00583547" w:rsidP="00997C64">
            <w:pPr>
              <w:autoSpaceDE w:val="0"/>
              <w:autoSpaceDN w:val="0"/>
              <w:adjustRightInd w:val="0"/>
              <w:spacing w:after="0" w:line="240" w:lineRule="auto"/>
              <w:rPr>
                <w:rFonts w:cstheme="minorHAnsi"/>
                <w:color w:val="000000"/>
              </w:rPr>
            </w:pPr>
          </w:p>
        </w:tc>
        <w:tc>
          <w:tcPr>
            <w:tcW w:w="1057" w:type="dxa"/>
            <w:vMerge w:val="restart"/>
            <w:tcBorders>
              <w:top w:val="single" w:sz="12" w:space="0" w:color="auto"/>
              <w:left w:val="nil"/>
              <w:right w:val="nil"/>
            </w:tcBorders>
          </w:tcPr>
          <w:p w14:paraId="62B1D286" w14:textId="77777777" w:rsidR="00583547" w:rsidRPr="00583547" w:rsidRDefault="00583547" w:rsidP="00997C64">
            <w:pPr>
              <w:autoSpaceDE w:val="0"/>
              <w:autoSpaceDN w:val="0"/>
              <w:adjustRightInd w:val="0"/>
              <w:spacing w:after="0" w:line="240" w:lineRule="auto"/>
              <w:jc w:val="center"/>
              <w:rPr>
                <w:rFonts w:cstheme="minorHAnsi"/>
                <w:b/>
                <w:color w:val="000000"/>
              </w:rPr>
            </w:pPr>
            <w:r w:rsidRPr="00583547">
              <w:rPr>
                <w:rFonts w:cstheme="minorHAnsi"/>
                <w:b/>
                <w:color w:val="000000"/>
              </w:rPr>
              <w:t>Gender</w:t>
            </w:r>
          </w:p>
        </w:tc>
        <w:tc>
          <w:tcPr>
            <w:tcW w:w="836" w:type="dxa"/>
            <w:vMerge w:val="restart"/>
            <w:tcBorders>
              <w:top w:val="single" w:sz="12" w:space="0" w:color="auto"/>
              <w:left w:val="nil"/>
              <w:right w:val="nil"/>
            </w:tcBorders>
          </w:tcPr>
          <w:p w14:paraId="5AE639F1" w14:textId="77777777" w:rsidR="00583547" w:rsidRPr="00583547" w:rsidRDefault="00583547" w:rsidP="00997C64">
            <w:pPr>
              <w:autoSpaceDE w:val="0"/>
              <w:autoSpaceDN w:val="0"/>
              <w:adjustRightInd w:val="0"/>
              <w:spacing w:after="0" w:line="240" w:lineRule="auto"/>
              <w:jc w:val="center"/>
              <w:rPr>
                <w:rFonts w:cstheme="minorHAnsi"/>
                <w:b/>
                <w:color w:val="000000"/>
              </w:rPr>
            </w:pPr>
            <w:r w:rsidRPr="00583547">
              <w:rPr>
                <w:rFonts w:cstheme="minorHAnsi"/>
                <w:b/>
                <w:color w:val="000000"/>
              </w:rPr>
              <w:t>Age</w:t>
            </w:r>
          </w:p>
        </w:tc>
        <w:tc>
          <w:tcPr>
            <w:tcW w:w="1256" w:type="dxa"/>
            <w:vMerge w:val="restart"/>
            <w:tcBorders>
              <w:top w:val="single" w:sz="12" w:space="0" w:color="auto"/>
              <w:left w:val="nil"/>
              <w:right w:val="nil"/>
            </w:tcBorders>
          </w:tcPr>
          <w:p w14:paraId="4D49B588" w14:textId="131DC59A" w:rsidR="00583547" w:rsidRPr="00583547" w:rsidRDefault="00583547" w:rsidP="00997C64">
            <w:pPr>
              <w:autoSpaceDE w:val="0"/>
              <w:autoSpaceDN w:val="0"/>
              <w:adjustRightInd w:val="0"/>
              <w:spacing w:after="0" w:line="240" w:lineRule="auto"/>
              <w:jc w:val="center"/>
              <w:rPr>
                <w:rFonts w:cstheme="minorHAnsi"/>
                <w:b/>
                <w:color w:val="000000"/>
              </w:rPr>
            </w:pPr>
            <w:r w:rsidRPr="00583547">
              <w:rPr>
                <w:rFonts w:cstheme="minorHAnsi"/>
                <w:b/>
                <w:color w:val="000000"/>
              </w:rPr>
              <w:t>Country of origin</w:t>
            </w:r>
          </w:p>
        </w:tc>
        <w:tc>
          <w:tcPr>
            <w:tcW w:w="1395" w:type="dxa"/>
            <w:vMerge w:val="restart"/>
            <w:tcBorders>
              <w:top w:val="single" w:sz="12" w:space="0" w:color="auto"/>
              <w:left w:val="nil"/>
              <w:right w:val="nil"/>
            </w:tcBorders>
          </w:tcPr>
          <w:p w14:paraId="1FC5FA39" w14:textId="4250EC8C" w:rsidR="00583547" w:rsidRPr="00583547" w:rsidRDefault="00583547" w:rsidP="00997C64">
            <w:pPr>
              <w:autoSpaceDE w:val="0"/>
              <w:autoSpaceDN w:val="0"/>
              <w:adjustRightInd w:val="0"/>
              <w:spacing w:after="0" w:line="240" w:lineRule="auto"/>
              <w:jc w:val="center"/>
              <w:rPr>
                <w:rFonts w:cstheme="minorHAnsi"/>
                <w:b/>
                <w:color w:val="000000"/>
              </w:rPr>
            </w:pPr>
            <w:r w:rsidRPr="00583547">
              <w:rPr>
                <w:rFonts w:cstheme="minorHAnsi"/>
                <w:b/>
                <w:color w:val="000000"/>
              </w:rPr>
              <w:t xml:space="preserve">First study day ALT &gt;3xULN </w:t>
            </w:r>
          </w:p>
        </w:tc>
        <w:tc>
          <w:tcPr>
            <w:tcW w:w="1255" w:type="dxa"/>
            <w:vMerge w:val="restart"/>
            <w:tcBorders>
              <w:top w:val="single" w:sz="12" w:space="0" w:color="auto"/>
              <w:left w:val="nil"/>
              <w:right w:val="nil"/>
            </w:tcBorders>
          </w:tcPr>
          <w:p w14:paraId="091D320E" w14:textId="358F963E" w:rsidR="00583547" w:rsidRPr="00583547" w:rsidRDefault="00583547" w:rsidP="00997C64">
            <w:pPr>
              <w:autoSpaceDE w:val="0"/>
              <w:autoSpaceDN w:val="0"/>
              <w:adjustRightInd w:val="0"/>
              <w:spacing w:after="0" w:line="240" w:lineRule="auto"/>
              <w:jc w:val="center"/>
              <w:rPr>
                <w:rFonts w:cstheme="minorHAnsi"/>
                <w:b/>
                <w:color w:val="000000"/>
              </w:rPr>
            </w:pPr>
            <w:r w:rsidRPr="00583547">
              <w:rPr>
                <w:rFonts w:cstheme="minorHAnsi"/>
                <w:b/>
                <w:color w:val="000000"/>
              </w:rPr>
              <w:t>Maximum ALT increase (xULN)</w:t>
            </w:r>
          </w:p>
        </w:tc>
        <w:tc>
          <w:tcPr>
            <w:tcW w:w="1116" w:type="dxa"/>
            <w:vMerge w:val="restart"/>
            <w:tcBorders>
              <w:top w:val="single" w:sz="12" w:space="0" w:color="auto"/>
              <w:left w:val="nil"/>
              <w:right w:val="nil"/>
            </w:tcBorders>
          </w:tcPr>
          <w:p w14:paraId="4015F24B" w14:textId="77777777" w:rsidR="00583547" w:rsidRPr="00583547" w:rsidRDefault="00583547" w:rsidP="00997C64">
            <w:pPr>
              <w:autoSpaceDE w:val="0"/>
              <w:autoSpaceDN w:val="0"/>
              <w:adjustRightInd w:val="0"/>
              <w:spacing w:after="0" w:line="240" w:lineRule="auto"/>
              <w:jc w:val="center"/>
              <w:rPr>
                <w:rFonts w:cstheme="minorHAnsi"/>
                <w:b/>
                <w:color w:val="000000"/>
              </w:rPr>
            </w:pPr>
            <w:r w:rsidRPr="00583547">
              <w:rPr>
                <w:rFonts w:cstheme="minorHAnsi"/>
                <w:b/>
                <w:color w:val="000000"/>
              </w:rPr>
              <w:t>Dose at time of reaction</w:t>
            </w:r>
          </w:p>
        </w:tc>
        <w:tc>
          <w:tcPr>
            <w:tcW w:w="1417" w:type="dxa"/>
            <w:vMerge w:val="restart"/>
            <w:tcBorders>
              <w:top w:val="single" w:sz="12" w:space="0" w:color="auto"/>
              <w:left w:val="nil"/>
              <w:right w:val="nil"/>
            </w:tcBorders>
          </w:tcPr>
          <w:p w14:paraId="68A6963A" w14:textId="6083AB21" w:rsidR="00583547" w:rsidRPr="00583547" w:rsidRDefault="00583547" w:rsidP="00997C64">
            <w:pPr>
              <w:autoSpaceDE w:val="0"/>
              <w:autoSpaceDN w:val="0"/>
              <w:adjustRightInd w:val="0"/>
              <w:spacing w:after="0" w:line="240" w:lineRule="auto"/>
              <w:jc w:val="center"/>
              <w:rPr>
                <w:rFonts w:cstheme="minorHAnsi"/>
                <w:b/>
                <w:color w:val="000000"/>
              </w:rPr>
            </w:pPr>
            <w:r w:rsidRPr="00583547">
              <w:rPr>
                <w:rFonts w:cstheme="minorHAnsi"/>
                <w:b/>
                <w:color w:val="000000"/>
              </w:rPr>
              <w:t>Time to study blood sampling following 1st ALT &gt; 3X ULN</w:t>
            </w:r>
          </w:p>
        </w:tc>
        <w:tc>
          <w:tcPr>
            <w:tcW w:w="1276" w:type="dxa"/>
            <w:vMerge w:val="restart"/>
            <w:tcBorders>
              <w:top w:val="single" w:sz="12" w:space="0" w:color="auto"/>
              <w:left w:val="nil"/>
              <w:right w:val="nil"/>
            </w:tcBorders>
          </w:tcPr>
          <w:p w14:paraId="59DE12CC" w14:textId="728FBC3D" w:rsidR="00583547" w:rsidRPr="00583547" w:rsidRDefault="00583547" w:rsidP="00ED34C4">
            <w:pPr>
              <w:autoSpaceDE w:val="0"/>
              <w:autoSpaceDN w:val="0"/>
              <w:adjustRightInd w:val="0"/>
              <w:spacing w:after="0" w:line="240" w:lineRule="auto"/>
              <w:jc w:val="center"/>
              <w:rPr>
                <w:rFonts w:cstheme="minorHAnsi"/>
                <w:b/>
                <w:color w:val="000000"/>
              </w:rPr>
            </w:pPr>
            <w:r w:rsidRPr="00583547">
              <w:rPr>
                <w:rFonts w:cstheme="minorHAnsi"/>
                <w:b/>
                <w:color w:val="000000"/>
              </w:rPr>
              <w:t xml:space="preserve">PBMC proliferation assay </w:t>
            </w:r>
          </w:p>
        </w:tc>
        <w:tc>
          <w:tcPr>
            <w:tcW w:w="1595" w:type="dxa"/>
            <w:gridSpan w:val="2"/>
            <w:tcBorders>
              <w:top w:val="single" w:sz="12" w:space="0" w:color="auto"/>
              <w:left w:val="nil"/>
              <w:bottom w:val="single" w:sz="6" w:space="0" w:color="auto"/>
              <w:right w:val="nil"/>
            </w:tcBorders>
          </w:tcPr>
          <w:p w14:paraId="3784133F" w14:textId="0F356833" w:rsidR="00583547" w:rsidRPr="00583547" w:rsidRDefault="00583547" w:rsidP="00ED34C4">
            <w:pPr>
              <w:autoSpaceDE w:val="0"/>
              <w:autoSpaceDN w:val="0"/>
              <w:adjustRightInd w:val="0"/>
              <w:spacing w:after="0" w:line="240" w:lineRule="auto"/>
              <w:jc w:val="center"/>
              <w:rPr>
                <w:rFonts w:cstheme="minorHAnsi"/>
                <w:b/>
                <w:color w:val="000000"/>
              </w:rPr>
            </w:pPr>
            <w:r w:rsidRPr="00583547">
              <w:rPr>
                <w:rFonts w:cstheme="minorHAnsi"/>
                <w:b/>
                <w:color w:val="000000"/>
              </w:rPr>
              <w:t xml:space="preserve">PBMC ELIspot </w:t>
            </w:r>
          </w:p>
        </w:tc>
      </w:tr>
      <w:tr w:rsidR="00583547" w14:paraId="7F4B764C" w14:textId="77777777" w:rsidTr="00583547">
        <w:trPr>
          <w:trHeight w:val="324"/>
        </w:trPr>
        <w:tc>
          <w:tcPr>
            <w:tcW w:w="1484" w:type="dxa"/>
            <w:vMerge/>
            <w:tcBorders>
              <w:left w:val="nil"/>
              <w:bottom w:val="single" w:sz="6" w:space="0" w:color="auto"/>
              <w:right w:val="nil"/>
            </w:tcBorders>
          </w:tcPr>
          <w:p w14:paraId="66E35929" w14:textId="77777777" w:rsidR="00583547" w:rsidRPr="00583547" w:rsidRDefault="00583547" w:rsidP="00997C64">
            <w:pPr>
              <w:autoSpaceDE w:val="0"/>
              <w:autoSpaceDN w:val="0"/>
              <w:adjustRightInd w:val="0"/>
              <w:spacing w:after="0" w:line="240" w:lineRule="auto"/>
              <w:jc w:val="center"/>
              <w:rPr>
                <w:rFonts w:cstheme="minorHAnsi"/>
                <w:color w:val="000000"/>
              </w:rPr>
            </w:pPr>
          </w:p>
        </w:tc>
        <w:tc>
          <w:tcPr>
            <w:tcW w:w="1057" w:type="dxa"/>
            <w:vMerge/>
            <w:tcBorders>
              <w:left w:val="nil"/>
              <w:bottom w:val="single" w:sz="6" w:space="0" w:color="auto"/>
              <w:right w:val="nil"/>
            </w:tcBorders>
          </w:tcPr>
          <w:p w14:paraId="3AE0723B" w14:textId="77777777" w:rsidR="00583547" w:rsidRPr="00583547" w:rsidRDefault="00583547" w:rsidP="00997C64">
            <w:pPr>
              <w:autoSpaceDE w:val="0"/>
              <w:autoSpaceDN w:val="0"/>
              <w:adjustRightInd w:val="0"/>
              <w:spacing w:after="0" w:line="240" w:lineRule="auto"/>
              <w:jc w:val="center"/>
              <w:rPr>
                <w:rFonts w:cstheme="minorHAnsi"/>
                <w:b/>
                <w:color w:val="000000"/>
              </w:rPr>
            </w:pPr>
          </w:p>
        </w:tc>
        <w:tc>
          <w:tcPr>
            <w:tcW w:w="836" w:type="dxa"/>
            <w:vMerge/>
            <w:tcBorders>
              <w:left w:val="nil"/>
              <w:bottom w:val="single" w:sz="6" w:space="0" w:color="auto"/>
              <w:right w:val="nil"/>
            </w:tcBorders>
          </w:tcPr>
          <w:p w14:paraId="4F8B1055" w14:textId="77777777" w:rsidR="00583547" w:rsidRPr="00583547" w:rsidRDefault="00583547" w:rsidP="00997C64">
            <w:pPr>
              <w:autoSpaceDE w:val="0"/>
              <w:autoSpaceDN w:val="0"/>
              <w:adjustRightInd w:val="0"/>
              <w:spacing w:after="0" w:line="240" w:lineRule="auto"/>
              <w:jc w:val="center"/>
              <w:rPr>
                <w:rFonts w:cstheme="minorHAnsi"/>
                <w:b/>
                <w:color w:val="000000"/>
              </w:rPr>
            </w:pPr>
          </w:p>
        </w:tc>
        <w:tc>
          <w:tcPr>
            <w:tcW w:w="1256" w:type="dxa"/>
            <w:vMerge/>
            <w:tcBorders>
              <w:left w:val="nil"/>
              <w:bottom w:val="single" w:sz="6" w:space="0" w:color="auto"/>
              <w:right w:val="nil"/>
            </w:tcBorders>
          </w:tcPr>
          <w:p w14:paraId="24FE70FC" w14:textId="77777777" w:rsidR="00583547" w:rsidRPr="00583547" w:rsidRDefault="00583547" w:rsidP="00997C64">
            <w:pPr>
              <w:autoSpaceDE w:val="0"/>
              <w:autoSpaceDN w:val="0"/>
              <w:adjustRightInd w:val="0"/>
              <w:spacing w:after="0" w:line="240" w:lineRule="auto"/>
              <w:jc w:val="center"/>
              <w:rPr>
                <w:rFonts w:cstheme="minorHAnsi"/>
                <w:b/>
                <w:color w:val="000000"/>
              </w:rPr>
            </w:pPr>
          </w:p>
        </w:tc>
        <w:tc>
          <w:tcPr>
            <w:tcW w:w="1395" w:type="dxa"/>
            <w:vMerge/>
            <w:tcBorders>
              <w:left w:val="nil"/>
              <w:bottom w:val="single" w:sz="6" w:space="0" w:color="auto"/>
              <w:right w:val="nil"/>
            </w:tcBorders>
          </w:tcPr>
          <w:p w14:paraId="504140CC" w14:textId="77777777" w:rsidR="00583547" w:rsidRPr="00583547" w:rsidRDefault="00583547" w:rsidP="00997C64">
            <w:pPr>
              <w:autoSpaceDE w:val="0"/>
              <w:autoSpaceDN w:val="0"/>
              <w:adjustRightInd w:val="0"/>
              <w:spacing w:after="0" w:line="240" w:lineRule="auto"/>
              <w:jc w:val="center"/>
              <w:rPr>
                <w:rFonts w:cstheme="minorHAnsi"/>
                <w:b/>
                <w:color w:val="000000"/>
              </w:rPr>
            </w:pPr>
          </w:p>
        </w:tc>
        <w:tc>
          <w:tcPr>
            <w:tcW w:w="1255" w:type="dxa"/>
            <w:vMerge/>
            <w:tcBorders>
              <w:left w:val="nil"/>
              <w:bottom w:val="single" w:sz="6" w:space="0" w:color="auto"/>
              <w:right w:val="nil"/>
            </w:tcBorders>
          </w:tcPr>
          <w:p w14:paraId="725FB65C" w14:textId="77777777" w:rsidR="00583547" w:rsidRPr="00583547" w:rsidRDefault="00583547" w:rsidP="00997C64">
            <w:pPr>
              <w:autoSpaceDE w:val="0"/>
              <w:autoSpaceDN w:val="0"/>
              <w:adjustRightInd w:val="0"/>
              <w:spacing w:after="0" w:line="240" w:lineRule="auto"/>
              <w:jc w:val="center"/>
              <w:rPr>
                <w:rFonts w:cstheme="minorHAnsi"/>
                <w:b/>
                <w:color w:val="000000"/>
              </w:rPr>
            </w:pPr>
          </w:p>
        </w:tc>
        <w:tc>
          <w:tcPr>
            <w:tcW w:w="1116" w:type="dxa"/>
            <w:vMerge/>
            <w:tcBorders>
              <w:left w:val="nil"/>
              <w:bottom w:val="single" w:sz="6" w:space="0" w:color="auto"/>
              <w:right w:val="nil"/>
            </w:tcBorders>
          </w:tcPr>
          <w:p w14:paraId="5CE3E8F9" w14:textId="77777777" w:rsidR="00583547" w:rsidRPr="00583547" w:rsidRDefault="00583547" w:rsidP="00997C64">
            <w:pPr>
              <w:autoSpaceDE w:val="0"/>
              <w:autoSpaceDN w:val="0"/>
              <w:adjustRightInd w:val="0"/>
              <w:spacing w:after="0" w:line="240" w:lineRule="auto"/>
              <w:jc w:val="center"/>
              <w:rPr>
                <w:rFonts w:cstheme="minorHAnsi"/>
                <w:b/>
                <w:color w:val="000000"/>
              </w:rPr>
            </w:pPr>
          </w:p>
        </w:tc>
        <w:tc>
          <w:tcPr>
            <w:tcW w:w="1417" w:type="dxa"/>
            <w:vMerge/>
            <w:tcBorders>
              <w:left w:val="nil"/>
              <w:bottom w:val="single" w:sz="6" w:space="0" w:color="auto"/>
              <w:right w:val="nil"/>
            </w:tcBorders>
          </w:tcPr>
          <w:p w14:paraId="67313D2A" w14:textId="77777777" w:rsidR="00583547" w:rsidRPr="00583547" w:rsidRDefault="00583547" w:rsidP="00997C64">
            <w:pPr>
              <w:autoSpaceDE w:val="0"/>
              <w:autoSpaceDN w:val="0"/>
              <w:adjustRightInd w:val="0"/>
              <w:spacing w:after="0" w:line="240" w:lineRule="auto"/>
              <w:jc w:val="center"/>
              <w:rPr>
                <w:rFonts w:cstheme="minorHAnsi"/>
                <w:b/>
                <w:color w:val="000000"/>
              </w:rPr>
            </w:pPr>
          </w:p>
        </w:tc>
        <w:tc>
          <w:tcPr>
            <w:tcW w:w="1276" w:type="dxa"/>
            <w:vMerge/>
            <w:tcBorders>
              <w:left w:val="nil"/>
              <w:bottom w:val="single" w:sz="6" w:space="0" w:color="auto"/>
              <w:right w:val="nil"/>
            </w:tcBorders>
          </w:tcPr>
          <w:p w14:paraId="67046FD0" w14:textId="77777777" w:rsidR="00583547" w:rsidRPr="00583547" w:rsidRDefault="00583547" w:rsidP="00ED34C4">
            <w:pPr>
              <w:autoSpaceDE w:val="0"/>
              <w:autoSpaceDN w:val="0"/>
              <w:adjustRightInd w:val="0"/>
              <w:spacing w:after="0" w:line="240" w:lineRule="auto"/>
              <w:jc w:val="center"/>
              <w:rPr>
                <w:rFonts w:cstheme="minorHAnsi"/>
                <w:b/>
                <w:color w:val="000000"/>
              </w:rPr>
            </w:pPr>
          </w:p>
        </w:tc>
        <w:tc>
          <w:tcPr>
            <w:tcW w:w="797" w:type="dxa"/>
            <w:tcBorders>
              <w:top w:val="single" w:sz="12" w:space="0" w:color="auto"/>
              <w:left w:val="nil"/>
              <w:bottom w:val="single" w:sz="6" w:space="0" w:color="auto"/>
              <w:right w:val="nil"/>
            </w:tcBorders>
          </w:tcPr>
          <w:p w14:paraId="58832496" w14:textId="6226A01F" w:rsidR="00583547" w:rsidRPr="00583547" w:rsidRDefault="00583547" w:rsidP="00ED34C4">
            <w:pPr>
              <w:autoSpaceDE w:val="0"/>
              <w:autoSpaceDN w:val="0"/>
              <w:adjustRightInd w:val="0"/>
              <w:spacing w:after="0" w:line="240" w:lineRule="auto"/>
              <w:jc w:val="center"/>
              <w:rPr>
                <w:rFonts w:cstheme="minorHAnsi"/>
                <w:b/>
                <w:color w:val="000000"/>
              </w:rPr>
            </w:pPr>
            <w:r w:rsidRPr="00583547">
              <w:rPr>
                <w:rFonts w:cstheme="minorHAnsi"/>
                <w:b/>
                <w:color w:val="000000"/>
              </w:rPr>
              <w:t>IFN-</w:t>
            </w:r>
            <w:r w:rsidRPr="00583547">
              <w:rPr>
                <w:rFonts w:cstheme="minorHAnsi"/>
                <w:b/>
                <w:color w:val="000000"/>
              </w:rPr>
              <w:sym w:font="Symbol" w:char="F067"/>
            </w:r>
          </w:p>
        </w:tc>
        <w:tc>
          <w:tcPr>
            <w:tcW w:w="798" w:type="dxa"/>
            <w:tcBorders>
              <w:top w:val="single" w:sz="12" w:space="0" w:color="auto"/>
              <w:left w:val="nil"/>
              <w:bottom w:val="single" w:sz="6" w:space="0" w:color="auto"/>
              <w:right w:val="nil"/>
            </w:tcBorders>
          </w:tcPr>
          <w:p w14:paraId="30426C8F" w14:textId="06FBFFE4" w:rsidR="00583547" w:rsidRPr="00583547" w:rsidRDefault="00583547" w:rsidP="00ED34C4">
            <w:pPr>
              <w:autoSpaceDE w:val="0"/>
              <w:autoSpaceDN w:val="0"/>
              <w:adjustRightInd w:val="0"/>
              <w:spacing w:after="0" w:line="240" w:lineRule="auto"/>
              <w:jc w:val="center"/>
              <w:rPr>
                <w:rFonts w:cstheme="minorHAnsi"/>
                <w:b/>
                <w:color w:val="000000"/>
              </w:rPr>
            </w:pPr>
            <w:r w:rsidRPr="00583547">
              <w:rPr>
                <w:rFonts w:cstheme="minorHAnsi"/>
                <w:b/>
                <w:color w:val="000000"/>
              </w:rPr>
              <w:t>Granzyme B</w:t>
            </w:r>
          </w:p>
        </w:tc>
      </w:tr>
      <w:tr w:rsidR="00583547" w14:paraId="3EEB2791" w14:textId="77777777" w:rsidTr="00583547">
        <w:trPr>
          <w:trHeight w:val="293"/>
        </w:trPr>
        <w:tc>
          <w:tcPr>
            <w:tcW w:w="1484" w:type="dxa"/>
            <w:tcBorders>
              <w:top w:val="nil"/>
              <w:left w:val="nil"/>
              <w:bottom w:val="nil"/>
              <w:right w:val="nil"/>
            </w:tcBorders>
          </w:tcPr>
          <w:p w14:paraId="05DDCAEC" w14:textId="77777777"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Patient 1</w:t>
            </w:r>
          </w:p>
        </w:tc>
        <w:tc>
          <w:tcPr>
            <w:tcW w:w="1057" w:type="dxa"/>
            <w:tcBorders>
              <w:top w:val="nil"/>
              <w:left w:val="nil"/>
              <w:bottom w:val="nil"/>
              <w:right w:val="nil"/>
            </w:tcBorders>
          </w:tcPr>
          <w:p w14:paraId="28BE60A1" w14:textId="7FE6E4EB"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F</w:t>
            </w:r>
          </w:p>
        </w:tc>
        <w:tc>
          <w:tcPr>
            <w:tcW w:w="836" w:type="dxa"/>
            <w:tcBorders>
              <w:top w:val="nil"/>
              <w:left w:val="nil"/>
              <w:bottom w:val="nil"/>
              <w:right w:val="nil"/>
            </w:tcBorders>
          </w:tcPr>
          <w:p w14:paraId="2A8DD05D" w14:textId="57E90654"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71</w:t>
            </w:r>
          </w:p>
        </w:tc>
        <w:tc>
          <w:tcPr>
            <w:tcW w:w="1256" w:type="dxa"/>
            <w:tcBorders>
              <w:top w:val="nil"/>
              <w:left w:val="nil"/>
              <w:bottom w:val="nil"/>
              <w:right w:val="nil"/>
            </w:tcBorders>
          </w:tcPr>
          <w:p w14:paraId="1D7F4B64" w14:textId="0B9D5CDD"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Belgium</w:t>
            </w:r>
          </w:p>
        </w:tc>
        <w:tc>
          <w:tcPr>
            <w:tcW w:w="1395" w:type="dxa"/>
            <w:tcBorders>
              <w:top w:val="nil"/>
              <w:left w:val="nil"/>
              <w:bottom w:val="nil"/>
              <w:right w:val="nil"/>
            </w:tcBorders>
          </w:tcPr>
          <w:p w14:paraId="377BF95F" w14:textId="21A4A134"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D 260</w:t>
            </w:r>
          </w:p>
        </w:tc>
        <w:tc>
          <w:tcPr>
            <w:tcW w:w="1255" w:type="dxa"/>
            <w:tcBorders>
              <w:top w:val="nil"/>
              <w:left w:val="nil"/>
              <w:bottom w:val="nil"/>
              <w:right w:val="nil"/>
            </w:tcBorders>
          </w:tcPr>
          <w:p w14:paraId="2A1A7446" w14:textId="25542D0E"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4.9</w:t>
            </w:r>
          </w:p>
        </w:tc>
        <w:tc>
          <w:tcPr>
            <w:tcW w:w="1116" w:type="dxa"/>
            <w:tcBorders>
              <w:top w:val="nil"/>
              <w:left w:val="nil"/>
              <w:bottom w:val="nil"/>
              <w:right w:val="nil"/>
            </w:tcBorders>
          </w:tcPr>
          <w:p w14:paraId="53EB7533" w14:textId="60705315"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10 mg</w:t>
            </w:r>
          </w:p>
        </w:tc>
        <w:tc>
          <w:tcPr>
            <w:tcW w:w="1417" w:type="dxa"/>
            <w:tcBorders>
              <w:top w:val="nil"/>
              <w:left w:val="nil"/>
              <w:bottom w:val="nil"/>
              <w:right w:val="nil"/>
            </w:tcBorders>
            <w:vAlign w:val="bottom"/>
          </w:tcPr>
          <w:p w14:paraId="4C689024" w14:textId="1E1828F0"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758</w:t>
            </w:r>
          </w:p>
        </w:tc>
        <w:tc>
          <w:tcPr>
            <w:tcW w:w="1276" w:type="dxa"/>
            <w:tcBorders>
              <w:top w:val="nil"/>
              <w:left w:val="nil"/>
              <w:bottom w:val="nil"/>
              <w:right w:val="nil"/>
            </w:tcBorders>
          </w:tcPr>
          <w:p w14:paraId="626E9FED" w14:textId="0E50F1AC" w:rsidR="00583547" w:rsidRPr="00583547" w:rsidRDefault="00583547" w:rsidP="00052E06">
            <w:pPr>
              <w:autoSpaceDE w:val="0"/>
              <w:autoSpaceDN w:val="0"/>
              <w:adjustRightInd w:val="0"/>
              <w:spacing w:after="0" w:line="240" w:lineRule="auto"/>
              <w:jc w:val="center"/>
              <w:rPr>
                <w:rFonts w:cstheme="minorHAnsi"/>
                <w:color w:val="000000"/>
                <w:vertAlign w:val="superscript"/>
              </w:rPr>
            </w:pPr>
            <w:r w:rsidRPr="00583547">
              <w:rPr>
                <w:rFonts w:cstheme="minorHAnsi"/>
                <w:color w:val="000000"/>
              </w:rPr>
              <w:t>-ve</w:t>
            </w:r>
            <w:r w:rsidRPr="00583547">
              <w:rPr>
                <w:rFonts w:cstheme="minorHAnsi"/>
                <w:color w:val="000000"/>
                <w:vertAlign w:val="superscript"/>
              </w:rPr>
              <w:t>1</w:t>
            </w:r>
          </w:p>
        </w:tc>
        <w:tc>
          <w:tcPr>
            <w:tcW w:w="797" w:type="dxa"/>
            <w:tcBorders>
              <w:top w:val="nil"/>
              <w:left w:val="nil"/>
              <w:right w:val="nil"/>
            </w:tcBorders>
          </w:tcPr>
          <w:p w14:paraId="552D60DB" w14:textId="14CD6541"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-ve</w:t>
            </w:r>
          </w:p>
        </w:tc>
        <w:tc>
          <w:tcPr>
            <w:tcW w:w="798" w:type="dxa"/>
            <w:tcBorders>
              <w:top w:val="nil"/>
              <w:left w:val="nil"/>
              <w:right w:val="nil"/>
            </w:tcBorders>
          </w:tcPr>
          <w:p w14:paraId="48FA21B0" w14:textId="55FFD663"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-ve</w:t>
            </w:r>
          </w:p>
        </w:tc>
      </w:tr>
      <w:tr w:rsidR="00583547" w14:paraId="37ADBBEF" w14:textId="77777777" w:rsidTr="00583547">
        <w:trPr>
          <w:trHeight w:val="293"/>
        </w:trPr>
        <w:tc>
          <w:tcPr>
            <w:tcW w:w="1484" w:type="dxa"/>
            <w:tcBorders>
              <w:top w:val="nil"/>
              <w:left w:val="nil"/>
              <w:bottom w:val="nil"/>
              <w:right w:val="nil"/>
            </w:tcBorders>
          </w:tcPr>
          <w:p w14:paraId="5E59BC37" w14:textId="77777777"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Patient 2</w:t>
            </w:r>
          </w:p>
        </w:tc>
        <w:tc>
          <w:tcPr>
            <w:tcW w:w="1057" w:type="dxa"/>
            <w:tcBorders>
              <w:top w:val="nil"/>
              <w:left w:val="nil"/>
              <w:bottom w:val="nil"/>
              <w:right w:val="nil"/>
            </w:tcBorders>
          </w:tcPr>
          <w:p w14:paraId="33968251" w14:textId="43EBF500"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F</w:t>
            </w:r>
          </w:p>
        </w:tc>
        <w:tc>
          <w:tcPr>
            <w:tcW w:w="836" w:type="dxa"/>
            <w:tcBorders>
              <w:top w:val="nil"/>
              <w:left w:val="nil"/>
              <w:bottom w:val="nil"/>
              <w:right w:val="nil"/>
            </w:tcBorders>
          </w:tcPr>
          <w:p w14:paraId="30122C54" w14:textId="4E22EAF3"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66</w:t>
            </w:r>
          </w:p>
        </w:tc>
        <w:tc>
          <w:tcPr>
            <w:tcW w:w="1256" w:type="dxa"/>
            <w:tcBorders>
              <w:top w:val="nil"/>
              <w:left w:val="nil"/>
              <w:bottom w:val="nil"/>
              <w:right w:val="nil"/>
            </w:tcBorders>
          </w:tcPr>
          <w:p w14:paraId="443B5042" w14:textId="6D24D489"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Belgium</w:t>
            </w:r>
          </w:p>
        </w:tc>
        <w:tc>
          <w:tcPr>
            <w:tcW w:w="1395" w:type="dxa"/>
            <w:tcBorders>
              <w:top w:val="nil"/>
              <w:left w:val="nil"/>
              <w:bottom w:val="nil"/>
              <w:right w:val="nil"/>
            </w:tcBorders>
          </w:tcPr>
          <w:p w14:paraId="3282C13B" w14:textId="2C9C3FF9"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w:t>
            </w:r>
          </w:p>
        </w:tc>
        <w:tc>
          <w:tcPr>
            <w:tcW w:w="1255" w:type="dxa"/>
            <w:tcBorders>
              <w:top w:val="nil"/>
              <w:left w:val="nil"/>
              <w:bottom w:val="nil"/>
              <w:right w:val="nil"/>
            </w:tcBorders>
          </w:tcPr>
          <w:p w14:paraId="5D3BB253" w14:textId="014F092E"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w:t>
            </w:r>
          </w:p>
        </w:tc>
        <w:tc>
          <w:tcPr>
            <w:tcW w:w="1116" w:type="dxa"/>
            <w:tcBorders>
              <w:top w:val="nil"/>
              <w:left w:val="nil"/>
              <w:bottom w:val="nil"/>
              <w:right w:val="nil"/>
            </w:tcBorders>
          </w:tcPr>
          <w:p w14:paraId="5634F557" w14:textId="501FD565"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5 mg</w:t>
            </w:r>
          </w:p>
        </w:tc>
        <w:tc>
          <w:tcPr>
            <w:tcW w:w="1417" w:type="dxa"/>
            <w:tcBorders>
              <w:top w:val="nil"/>
              <w:left w:val="nil"/>
              <w:bottom w:val="nil"/>
              <w:right w:val="nil"/>
            </w:tcBorders>
            <w:vAlign w:val="bottom"/>
          </w:tcPr>
          <w:p w14:paraId="15C9D7B6" w14:textId="388204B0"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w:t>
            </w:r>
          </w:p>
        </w:tc>
        <w:tc>
          <w:tcPr>
            <w:tcW w:w="1276" w:type="dxa"/>
            <w:tcBorders>
              <w:top w:val="nil"/>
              <w:left w:val="nil"/>
              <w:bottom w:val="nil"/>
              <w:right w:val="nil"/>
            </w:tcBorders>
          </w:tcPr>
          <w:p w14:paraId="7B651377" w14:textId="21857495"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-ve</w:t>
            </w:r>
          </w:p>
        </w:tc>
        <w:tc>
          <w:tcPr>
            <w:tcW w:w="797" w:type="dxa"/>
            <w:tcBorders>
              <w:left w:val="nil"/>
              <w:right w:val="nil"/>
            </w:tcBorders>
          </w:tcPr>
          <w:p w14:paraId="35810422" w14:textId="1F918709"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-ve</w:t>
            </w:r>
          </w:p>
        </w:tc>
        <w:tc>
          <w:tcPr>
            <w:tcW w:w="798" w:type="dxa"/>
            <w:tcBorders>
              <w:left w:val="nil"/>
              <w:right w:val="nil"/>
            </w:tcBorders>
          </w:tcPr>
          <w:p w14:paraId="6FA8BED4" w14:textId="52D07C0A"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-ve</w:t>
            </w:r>
          </w:p>
        </w:tc>
      </w:tr>
      <w:tr w:rsidR="00583547" w14:paraId="07A39484" w14:textId="77777777" w:rsidTr="00583547">
        <w:trPr>
          <w:trHeight w:val="293"/>
        </w:trPr>
        <w:tc>
          <w:tcPr>
            <w:tcW w:w="1484" w:type="dxa"/>
            <w:tcBorders>
              <w:top w:val="nil"/>
              <w:left w:val="nil"/>
              <w:bottom w:val="nil"/>
              <w:right w:val="nil"/>
            </w:tcBorders>
          </w:tcPr>
          <w:p w14:paraId="1F0F8F7A" w14:textId="77777777"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Patient 3</w:t>
            </w:r>
          </w:p>
        </w:tc>
        <w:tc>
          <w:tcPr>
            <w:tcW w:w="1057" w:type="dxa"/>
            <w:tcBorders>
              <w:top w:val="nil"/>
              <w:left w:val="nil"/>
              <w:bottom w:val="nil"/>
              <w:right w:val="nil"/>
            </w:tcBorders>
          </w:tcPr>
          <w:p w14:paraId="32FFF205" w14:textId="704A598F"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M</w:t>
            </w:r>
          </w:p>
        </w:tc>
        <w:tc>
          <w:tcPr>
            <w:tcW w:w="836" w:type="dxa"/>
            <w:tcBorders>
              <w:top w:val="nil"/>
              <w:left w:val="nil"/>
              <w:bottom w:val="nil"/>
              <w:right w:val="nil"/>
            </w:tcBorders>
          </w:tcPr>
          <w:p w14:paraId="1FF47439" w14:textId="6F5AAE65"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68</w:t>
            </w:r>
          </w:p>
        </w:tc>
        <w:tc>
          <w:tcPr>
            <w:tcW w:w="1256" w:type="dxa"/>
            <w:tcBorders>
              <w:top w:val="nil"/>
              <w:left w:val="nil"/>
              <w:bottom w:val="nil"/>
              <w:right w:val="nil"/>
            </w:tcBorders>
          </w:tcPr>
          <w:p w14:paraId="001B7059" w14:textId="38FA6B4E"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Belgium</w:t>
            </w:r>
          </w:p>
        </w:tc>
        <w:tc>
          <w:tcPr>
            <w:tcW w:w="1395" w:type="dxa"/>
            <w:tcBorders>
              <w:top w:val="nil"/>
              <w:left w:val="nil"/>
              <w:bottom w:val="nil"/>
              <w:right w:val="nil"/>
            </w:tcBorders>
          </w:tcPr>
          <w:p w14:paraId="37B1BE4E" w14:textId="04E144D1"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D 168</w:t>
            </w:r>
          </w:p>
        </w:tc>
        <w:tc>
          <w:tcPr>
            <w:tcW w:w="1255" w:type="dxa"/>
            <w:tcBorders>
              <w:top w:val="nil"/>
              <w:left w:val="nil"/>
              <w:bottom w:val="nil"/>
              <w:right w:val="nil"/>
            </w:tcBorders>
          </w:tcPr>
          <w:p w14:paraId="38DE841D" w14:textId="5119BD99"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4.5</w:t>
            </w:r>
          </w:p>
        </w:tc>
        <w:tc>
          <w:tcPr>
            <w:tcW w:w="1116" w:type="dxa"/>
            <w:tcBorders>
              <w:top w:val="nil"/>
              <w:left w:val="nil"/>
              <w:bottom w:val="nil"/>
              <w:right w:val="nil"/>
            </w:tcBorders>
          </w:tcPr>
          <w:p w14:paraId="4B7F233A" w14:textId="638B6ED9"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10 mg</w:t>
            </w:r>
          </w:p>
        </w:tc>
        <w:tc>
          <w:tcPr>
            <w:tcW w:w="1417" w:type="dxa"/>
            <w:tcBorders>
              <w:top w:val="nil"/>
              <w:left w:val="nil"/>
              <w:bottom w:val="nil"/>
              <w:right w:val="nil"/>
            </w:tcBorders>
            <w:vAlign w:val="bottom"/>
          </w:tcPr>
          <w:p w14:paraId="512FED93" w14:textId="1FE74672"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1024</w:t>
            </w:r>
          </w:p>
        </w:tc>
        <w:tc>
          <w:tcPr>
            <w:tcW w:w="1276" w:type="dxa"/>
            <w:tcBorders>
              <w:top w:val="nil"/>
              <w:left w:val="nil"/>
              <w:bottom w:val="nil"/>
              <w:right w:val="nil"/>
            </w:tcBorders>
          </w:tcPr>
          <w:p w14:paraId="36BA01CF" w14:textId="17D6314D"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-ve</w:t>
            </w:r>
          </w:p>
        </w:tc>
        <w:tc>
          <w:tcPr>
            <w:tcW w:w="797" w:type="dxa"/>
            <w:tcBorders>
              <w:left w:val="nil"/>
              <w:right w:val="nil"/>
            </w:tcBorders>
          </w:tcPr>
          <w:p w14:paraId="68FF08FC" w14:textId="73DDC673" w:rsidR="00583547" w:rsidRPr="00583547" w:rsidRDefault="00583547" w:rsidP="00052E06">
            <w:pPr>
              <w:autoSpaceDE w:val="0"/>
              <w:autoSpaceDN w:val="0"/>
              <w:adjustRightInd w:val="0"/>
              <w:spacing w:after="0" w:line="240" w:lineRule="auto"/>
              <w:jc w:val="center"/>
              <w:rPr>
                <w:rFonts w:cstheme="minorHAnsi"/>
                <w:color w:val="000000"/>
                <w:vertAlign w:val="superscript"/>
              </w:rPr>
            </w:pPr>
            <w:r w:rsidRPr="00583547">
              <w:rPr>
                <w:rFonts w:cstheme="minorHAnsi"/>
                <w:color w:val="000000"/>
              </w:rPr>
              <w:t>n/a</w:t>
            </w:r>
            <w:r w:rsidRPr="00583547">
              <w:rPr>
                <w:rFonts w:cstheme="minorHAnsi"/>
                <w:color w:val="000000"/>
                <w:vertAlign w:val="superscript"/>
              </w:rPr>
              <w:t>2</w:t>
            </w:r>
          </w:p>
        </w:tc>
        <w:tc>
          <w:tcPr>
            <w:tcW w:w="798" w:type="dxa"/>
            <w:tcBorders>
              <w:left w:val="nil"/>
              <w:right w:val="nil"/>
            </w:tcBorders>
          </w:tcPr>
          <w:p w14:paraId="18E44123" w14:textId="2AC25BBA"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n/a</w:t>
            </w:r>
          </w:p>
        </w:tc>
      </w:tr>
      <w:tr w:rsidR="00583547" w14:paraId="361B2C05" w14:textId="77777777" w:rsidTr="00583547">
        <w:trPr>
          <w:trHeight w:val="293"/>
        </w:trPr>
        <w:tc>
          <w:tcPr>
            <w:tcW w:w="1484" w:type="dxa"/>
            <w:tcBorders>
              <w:top w:val="nil"/>
              <w:left w:val="nil"/>
              <w:bottom w:val="nil"/>
              <w:right w:val="nil"/>
            </w:tcBorders>
          </w:tcPr>
          <w:p w14:paraId="2985334B" w14:textId="77777777"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Patient 4</w:t>
            </w:r>
          </w:p>
        </w:tc>
        <w:tc>
          <w:tcPr>
            <w:tcW w:w="1057" w:type="dxa"/>
            <w:tcBorders>
              <w:top w:val="nil"/>
              <w:left w:val="nil"/>
              <w:bottom w:val="nil"/>
              <w:right w:val="nil"/>
            </w:tcBorders>
          </w:tcPr>
          <w:p w14:paraId="760D8595" w14:textId="57B4E01F"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F</w:t>
            </w:r>
          </w:p>
        </w:tc>
        <w:tc>
          <w:tcPr>
            <w:tcW w:w="836" w:type="dxa"/>
            <w:tcBorders>
              <w:top w:val="nil"/>
              <w:left w:val="nil"/>
              <w:bottom w:val="nil"/>
              <w:right w:val="nil"/>
            </w:tcBorders>
          </w:tcPr>
          <w:p w14:paraId="7FCA8DF3" w14:textId="5106DBF4"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75</w:t>
            </w:r>
          </w:p>
        </w:tc>
        <w:tc>
          <w:tcPr>
            <w:tcW w:w="1256" w:type="dxa"/>
            <w:tcBorders>
              <w:top w:val="nil"/>
              <w:left w:val="nil"/>
              <w:bottom w:val="nil"/>
              <w:right w:val="nil"/>
            </w:tcBorders>
          </w:tcPr>
          <w:p w14:paraId="18B4A7FA" w14:textId="66D37A9E"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France</w:t>
            </w:r>
          </w:p>
        </w:tc>
        <w:tc>
          <w:tcPr>
            <w:tcW w:w="1395" w:type="dxa"/>
            <w:tcBorders>
              <w:top w:val="nil"/>
              <w:left w:val="nil"/>
              <w:bottom w:val="nil"/>
              <w:right w:val="nil"/>
            </w:tcBorders>
          </w:tcPr>
          <w:p w14:paraId="659CEFAB" w14:textId="0F30FF8D"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D 155</w:t>
            </w:r>
          </w:p>
        </w:tc>
        <w:tc>
          <w:tcPr>
            <w:tcW w:w="1255" w:type="dxa"/>
            <w:tcBorders>
              <w:top w:val="nil"/>
              <w:left w:val="nil"/>
              <w:bottom w:val="nil"/>
              <w:right w:val="nil"/>
            </w:tcBorders>
          </w:tcPr>
          <w:p w14:paraId="50A368C2" w14:textId="65C88AE1"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8.4</w:t>
            </w:r>
          </w:p>
        </w:tc>
        <w:tc>
          <w:tcPr>
            <w:tcW w:w="1116" w:type="dxa"/>
            <w:tcBorders>
              <w:top w:val="nil"/>
              <w:left w:val="nil"/>
              <w:bottom w:val="nil"/>
              <w:right w:val="nil"/>
            </w:tcBorders>
          </w:tcPr>
          <w:p w14:paraId="27F6BB10" w14:textId="5984BE97"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5 mg</w:t>
            </w:r>
          </w:p>
        </w:tc>
        <w:tc>
          <w:tcPr>
            <w:tcW w:w="1417" w:type="dxa"/>
            <w:tcBorders>
              <w:top w:val="nil"/>
              <w:left w:val="nil"/>
              <w:bottom w:val="nil"/>
              <w:right w:val="nil"/>
            </w:tcBorders>
            <w:vAlign w:val="bottom"/>
          </w:tcPr>
          <w:p w14:paraId="2275D30A" w14:textId="0686534B"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468</w:t>
            </w:r>
          </w:p>
        </w:tc>
        <w:tc>
          <w:tcPr>
            <w:tcW w:w="1276" w:type="dxa"/>
            <w:tcBorders>
              <w:top w:val="nil"/>
              <w:left w:val="nil"/>
              <w:bottom w:val="nil"/>
              <w:right w:val="nil"/>
            </w:tcBorders>
          </w:tcPr>
          <w:p w14:paraId="1D2DE5A6" w14:textId="0F2E2128"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-ve</w:t>
            </w:r>
          </w:p>
        </w:tc>
        <w:tc>
          <w:tcPr>
            <w:tcW w:w="797" w:type="dxa"/>
            <w:tcBorders>
              <w:left w:val="nil"/>
              <w:right w:val="nil"/>
            </w:tcBorders>
          </w:tcPr>
          <w:p w14:paraId="0A7F7957" w14:textId="2CF621F0"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-ve</w:t>
            </w:r>
          </w:p>
        </w:tc>
        <w:tc>
          <w:tcPr>
            <w:tcW w:w="798" w:type="dxa"/>
            <w:tcBorders>
              <w:left w:val="nil"/>
              <w:right w:val="nil"/>
            </w:tcBorders>
          </w:tcPr>
          <w:p w14:paraId="04CFE1EE" w14:textId="233370F0"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-ve</w:t>
            </w:r>
          </w:p>
        </w:tc>
      </w:tr>
      <w:tr w:rsidR="00583547" w14:paraId="778DB486" w14:textId="77777777" w:rsidTr="00583547">
        <w:trPr>
          <w:trHeight w:val="293"/>
        </w:trPr>
        <w:tc>
          <w:tcPr>
            <w:tcW w:w="1484" w:type="dxa"/>
            <w:tcBorders>
              <w:top w:val="nil"/>
              <w:left w:val="nil"/>
              <w:bottom w:val="nil"/>
              <w:right w:val="nil"/>
            </w:tcBorders>
          </w:tcPr>
          <w:p w14:paraId="4B749D5F" w14:textId="77777777"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Patient 5</w:t>
            </w:r>
          </w:p>
        </w:tc>
        <w:tc>
          <w:tcPr>
            <w:tcW w:w="1057" w:type="dxa"/>
            <w:tcBorders>
              <w:top w:val="nil"/>
              <w:left w:val="nil"/>
              <w:bottom w:val="nil"/>
              <w:right w:val="nil"/>
            </w:tcBorders>
          </w:tcPr>
          <w:p w14:paraId="53C63262" w14:textId="19DE6B4D"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M</w:t>
            </w:r>
          </w:p>
        </w:tc>
        <w:tc>
          <w:tcPr>
            <w:tcW w:w="836" w:type="dxa"/>
            <w:tcBorders>
              <w:top w:val="nil"/>
              <w:left w:val="nil"/>
              <w:bottom w:val="nil"/>
              <w:right w:val="nil"/>
            </w:tcBorders>
          </w:tcPr>
          <w:p w14:paraId="7587B084" w14:textId="04C721C6"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63</w:t>
            </w:r>
          </w:p>
        </w:tc>
        <w:tc>
          <w:tcPr>
            <w:tcW w:w="1256" w:type="dxa"/>
            <w:tcBorders>
              <w:top w:val="nil"/>
              <w:left w:val="nil"/>
              <w:bottom w:val="nil"/>
              <w:right w:val="nil"/>
            </w:tcBorders>
          </w:tcPr>
          <w:p w14:paraId="718BACC3" w14:textId="1E6FD263"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Sweden</w:t>
            </w:r>
          </w:p>
        </w:tc>
        <w:tc>
          <w:tcPr>
            <w:tcW w:w="1395" w:type="dxa"/>
            <w:tcBorders>
              <w:top w:val="nil"/>
              <w:left w:val="nil"/>
              <w:bottom w:val="nil"/>
              <w:right w:val="nil"/>
            </w:tcBorders>
          </w:tcPr>
          <w:p w14:paraId="166FBBF0" w14:textId="66675044"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D 288</w:t>
            </w:r>
          </w:p>
        </w:tc>
        <w:tc>
          <w:tcPr>
            <w:tcW w:w="1255" w:type="dxa"/>
            <w:tcBorders>
              <w:top w:val="nil"/>
              <w:left w:val="nil"/>
              <w:bottom w:val="nil"/>
              <w:right w:val="nil"/>
            </w:tcBorders>
          </w:tcPr>
          <w:p w14:paraId="5789ACD8" w14:textId="247F2868"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7.5</w:t>
            </w:r>
          </w:p>
        </w:tc>
        <w:tc>
          <w:tcPr>
            <w:tcW w:w="1116" w:type="dxa"/>
            <w:tcBorders>
              <w:top w:val="nil"/>
              <w:left w:val="nil"/>
              <w:bottom w:val="nil"/>
              <w:right w:val="nil"/>
            </w:tcBorders>
          </w:tcPr>
          <w:p w14:paraId="57B8BF52" w14:textId="4A1E53E9"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50 mg</w:t>
            </w:r>
          </w:p>
        </w:tc>
        <w:tc>
          <w:tcPr>
            <w:tcW w:w="1417" w:type="dxa"/>
            <w:tcBorders>
              <w:top w:val="nil"/>
              <w:left w:val="nil"/>
              <w:bottom w:val="nil"/>
              <w:right w:val="nil"/>
            </w:tcBorders>
            <w:vAlign w:val="bottom"/>
          </w:tcPr>
          <w:p w14:paraId="7666F782" w14:textId="6A36097C"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691</w:t>
            </w:r>
          </w:p>
        </w:tc>
        <w:tc>
          <w:tcPr>
            <w:tcW w:w="1276" w:type="dxa"/>
            <w:tcBorders>
              <w:top w:val="nil"/>
              <w:left w:val="nil"/>
              <w:bottom w:val="nil"/>
              <w:right w:val="nil"/>
            </w:tcBorders>
          </w:tcPr>
          <w:p w14:paraId="67323142" w14:textId="77BAA843"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-ve</w:t>
            </w:r>
          </w:p>
        </w:tc>
        <w:tc>
          <w:tcPr>
            <w:tcW w:w="797" w:type="dxa"/>
            <w:tcBorders>
              <w:left w:val="nil"/>
              <w:right w:val="nil"/>
            </w:tcBorders>
          </w:tcPr>
          <w:p w14:paraId="62251530" w14:textId="7980BA78"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-ve</w:t>
            </w:r>
          </w:p>
        </w:tc>
        <w:tc>
          <w:tcPr>
            <w:tcW w:w="798" w:type="dxa"/>
            <w:tcBorders>
              <w:left w:val="nil"/>
              <w:right w:val="nil"/>
            </w:tcBorders>
          </w:tcPr>
          <w:p w14:paraId="0B9894B6" w14:textId="078070D9"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-ve</w:t>
            </w:r>
          </w:p>
        </w:tc>
      </w:tr>
      <w:tr w:rsidR="00583547" w14:paraId="29CDE223" w14:textId="77777777" w:rsidTr="00583547">
        <w:trPr>
          <w:trHeight w:val="293"/>
        </w:trPr>
        <w:tc>
          <w:tcPr>
            <w:tcW w:w="1484" w:type="dxa"/>
            <w:tcBorders>
              <w:top w:val="nil"/>
              <w:left w:val="nil"/>
              <w:bottom w:val="nil"/>
              <w:right w:val="nil"/>
            </w:tcBorders>
          </w:tcPr>
          <w:p w14:paraId="1253718B" w14:textId="77777777"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Patient 6</w:t>
            </w:r>
          </w:p>
        </w:tc>
        <w:tc>
          <w:tcPr>
            <w:tcW w:w="1057" w:type="dxa"/>
            <w:tcBorders>
              <w:top w:val="nil"/>
              <w:left w:val="nil"/>
              <w:bottom w:val="nil"/>
              <w:right w:val="nil"/>
            </w:tcBorders>
          </w:tcPr>
          <w:p w14:paraId="26379486" w14:textId="09D088C9"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F</w:t>
            </w:r>
          </w:p>
        </w:tc>
        <w:tc>
          <w:tcPr>
            <w:tcW w:w="836" w:type="dxa"/>
            <w:tcBorders>
              <w:top w:val="nil"/>
              <w:left w:val="nil"/>
              <w:bottom w:val="nil"/>
              <w:right w:val="nil"/>
            </w:tcBorders>
          </w:tcPr>
          <w:p w14:paraId="3D49A6E8" w14:textId="498963DD"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76</w:t>
            </w:r>
          </w:p>
        </w:tc>
        <w:tc>
          <w:tcPr>
            <w:tcW w:w="1256" w:type="dxa"/>
            <w:tcBorders>
              <w:top w:val="nil"/>
              <w:left w:val="nil"/>
              <w:bottom w:val="nil"/>
              <w:right w:val="nil"/>
            </w:tcBorders>
          </w:tcPr>
          <w:p w14:paraId="4D94DE09" w14:textId="0DBC05CE"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UK</w:t>
            </w:r>
          </w:p>
        </w:tc>
        <w:tc>
          <w:tcPr>
            <w:tcW w:w="1395" w:type="dxa"/>
            <w:tcBorders>
              <w:top w:val="nil"/>
              <w:left w:val="nil"/>
              <w:bottom w:val="nil"/>
              <w:right w:val="nil"/>
            </w:tcBorders>
          </w:tcPr>
          <w:p w14:paraId="6316CB3F" w14:textId="201C4DD4"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D 32</w:t>
            </w:r>
          </w:p>
        </w:tc>
        <w:tc>
          <w:tcPr>
            <w:tcW w:w="1255" w:type="dxa"/>
            <w:tcBorders>
              <w:top w:val="nil"/>
              <w:left w:val="nil"/>
              <w:bottom w:val="nil"/>
              <w:right w:val="nil"/>
            </w:tcBorders>
          </w:tcPr>
          <w:p w14:paraId="7C8010C4" w14:textId="78E28A70"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28.8</w:t>
            </w:r>
          </w:p>
        </w:tc>
        <w:tc>
          <w:tcPr>
            <w:tcW w:w="1116" w:type="dxa"/>
            <w:tcBorders>
              <w:top w:val="nil"/>
              <w:left w:val="nil"/>
              <w:bottom w:val="nil"/>
              <w:right w:val="nil"/>
            </w:tcBorders>
          </w:tcPr>
          <w:p w14:paraId="58102A16" w14:textId="25E5F562"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5 mg</w:t>
            </w:r>
          </w:p>
        </w:tc>
        <w:tc>
          <w:tcPr>
            <w:tcW w:w="1417" w:type="dxa"/>
            <w:tcBorders>
              <w:top w:val="nil"/>
              <w:left w:val="nil"/>
              <w:bottom w:val="nil"/>
              <w:right w:val="nil"/>
            </w:tcBorders>
            <w:vAlign w:val="bottom"/>
          </w:tcPr>
          <w:p w14:paraId="1307DF26" w14:textId="3616BE74"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544</w:t>
            </w:r>
          </w:p>
        </w:tc>
        <w:tc>
          <w:tcPr>
            <w:tcW w:w="1276" w:type="dxa"/>
            <w:tcBorders>
              <w:top w:val="nil"/>
              <w:left w:val="nil"/>
              <w:bottom w:val="nil"/>
              <w:right w:val="nil"/>
            </w:tcBorders>
          </w:tcPr>
          <w:p w14:paraId="30087DB6" w14:textId="4ED5FD0A"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-ve</w:t>
            </w:r>
          </w:p>
        </w:tc>
        <w:tc>
          <w:tcPr>
            <w:tcW w:w="797" w:type="dxa"/>
            <w:tcBorders>
              <w:left w:val="nil"/>
              <w:right w:val="nil"/>
            </w:tcBorders>
          </w:tcPr>
          <w:p w14:paraId="79592873" w14:textId="5A7E75F8"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-ve</w:t>
            </w:r>
          </w:p>
        </w:tc>
        <w:tc>
          <w:tcPr>
            <w:tcW w:w="798" w:type="dxa"/>
            <w:tcBorders>
              <w:left w:val="nil"/>
              <w:right w:val="nil"/>
            </w:tcBorders>
          </w:tcPr>
          <w:p w14:paraId="50CB7ED7" w14:textId="390BA1F4" w:rsidR="00583547" w:rsidRPr="00583547" w:rsidRDefault="00583547" w:rsidP="00052E06">
            <w:pPr>
              <w:autoSpaceDE w:val="0"/>
              <w:autoSpaceDN w:val="0"/>
              <w:adjustRightInd w:val="0"/>
              <w:spacing w:after="0" w:line="240" w:lineRule="auto"/>
              <w:jc w:val="center"/>
              <w:rPr>
                <w:rFonts w:cstheme="minorHAnsi"/>
                <w:b/>
                <w:color w:val="000000"/>
              </w:rPr>
            </w:pPr>
            <w:r w:rsidRPr="00583547">
              <w:rPr>
                <w:rFonts w:cstheme="minorHAnsi"/>
                <w:b/>
                <w:color w:val="000000"/>
              </w:rPr>
              <w:t>+ve</w:t>
            </w:r>
          </w:p>
        </w:tc>
      </w:tr>
      <w:tr w:rsidR="00583547" w14:paraId="61B00BF7" w14:textId="77777777" w:rsidTr="00583547">
        <w:trPr>
          <w:trHeight w:val="293"/>
        </w:trPr>
        <w:tc>
          <w:tcPr>
            <w:tcW w:w="1484" w:type="dxa"/>
            <w:tcBorders>
              <w:top w:val="nil"/>
              <w:left w:val="nil"/>
              <w:bottom w:val="nil"/>
              <w:right w:val="nil"/>
            </w:tcBorders>
          </w:tcPr>
          <w:p w14:paraId="5A691EFF" w14:textId="77777777"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Patient 7</w:t>
            </w:r>
          </w:p>
        </w:tc>
        <w:tc>
          <w:tcPr>
            <w:tcW w:w="1057" w:type="dxa"/>
            <w:tcBorders>
              <w:top w:val="nil"/>
              <w:left w:val="nil"/>
              <w:bottom w:val="nil"/>
              <w:right w:val="nil"/>
            </w:tcBorders>
          </w:tcPr>
          <w:p w14:paraId="0DD70504" w14:textId="02036C79"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M</w:t>
            </w:r>
          </w:p>
        </w:tc>
        <w:tc>
          <w:tcPr>
            <w:tcW w:w="836" w:type="dxa"/>
            <w:tcBorders>
              <w:top w:val="nil"/>
              <w:left w:val="nil"/>
              <w:bottom w:val="nil"/>
              <w:right w:val="nil"/>
            </w:tcBorders>
          </w:tcPr>
          <w:p w14:paraId="0CE81EE8" w14:textId="58651674"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73</w:t>
            </w:r>
          </w:p>
        </w:tc>
        <w:tc>
          <w:tcPr>
            <w:tcW w:w="1256" w:type="dxa"/>
            <w:tcBorders>
              <w:top w:val="nil"/>
              <w:left w:val="nil"/>
              <w:bottom w:val="nil"/>
              <w:right w:val="nil"/>
            </w:tcBorders>
          </w:tcPr>
          <w:p w14:paraId="3FF66374" w14:textId="57945AFD"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Spain</w:t>
            </w:r>
          </w:p>
        </w:tc>
        <w:tc>
          <w:tcPr>
            <w:tcW w:w="1395" w:type="dxa"/>
            <w:tcBorders>
              <w:top w:val="nil"/>
              <w:left w:val="nil"/>
              <w:bottom w:val="nil"/>
              <w:right w:val="nil"/>
            </w:tcBorders>
          </w:tcPr>
          <w:p w14:paraId="6A522351" w14:textId="391B3856"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 xml:space="preserve">D </w:t>
            </w:r>
            <w:r w:rsidRPr="00583547">
              <w:rPr>
                <w:rFonts w:cstheme="minorHAnsi"/>
                <w:color w:val="000000"/>
                <w:lang w:val="en-AU"/>
              </w:rPr>
              <w:t>344</w:t>
            </w:r>
          </w:p>
        </w:tc>
        <w:tc>
          <w:tcPr>
            <w:tcW w:w="1255" w:type="dxa"/>
            <w:tcBorders>
              <w:top w:val="nil"/>
              <w:left w:val="nil"/>
              <w:bottom w:val="nil"/>
              <w:right w:val="nil"/>
            </w:tcBorders>
          </w:tcPr>
          <w:p w14:paraId="6C21D3E2" w14:textId="644CFDB4"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6.5</w:t>
            </w:r>
          </w:p>
        </w:tc>
        <w:tc>
          <w:tcPr>
            <w:tcW w:w="1116" w:type="dxa"/>
            <w:tcBorders>
              <w:top w:val="nil"/>
              <w:left w:val="nil"/>
              <w:bottom w:val="nil"/>
              <w:right w:val="nil"/>
            </w:tcBorders>
          </w:tcPr>
          <w:p w14:paraId="68CA6FCC" w14:textId="2CAED496"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10 mg</w:t>
            </w:r>
          </w:p>
        </w:tc>
        <w:tc>
          <w:tcPr>
            <w:tcW w:w="1417" w:type="dxa"/>
            <w:tcBorders>
              <w:top w:val="nil"/>
              <w:left w:val="nil"/>
              <w:bottom w:val="nil"/>
              <w:right w:val="nil"/>
            </w:tcBorders>
            <w:vAlign w:val="bottom"/>
          </w:tcPr>
          <w:p w14:paraId="5BBC128D" w14:textId="21952AE7"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750</w:t>
            </w:r>
          </w:p>
        </w:tc>
        <w:tc>
          <w:tcPr>
            <w:tcW w:w="1276" w:type="dxa"/>
            <w:tcBorders>
              <w:top w:val="nil"/>
              <w:left w:val="nil"/>
              <w:bottom w:val="nil"/>
              <w:right w:val="nil"/>
            </w:tcBorders>
          </w:tcPr>
          <w:p w14:paraId="59208403" w14:textId="0259354A"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-ve</w:t>
            </w:r>
          </w:p>
        </w:tc>
        <w:tc>
          <w:tcPr>
            <w:tcW w:w="797" w:type="dxa"/>
            <w:tcBorders>
              <w:left w:val="nil"/>
              <w:right w:val="nil"/>
            </w:tcBorders>
          </w:tcPr>
          <w:p w14:paraId="68856B0A" w14:textId="408085FB"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-ve</w:t>
            </w:r>
          </w:p>
        </w:tc>
        <w:tc>
          <w:tcPr>
            <w:tcW w:w="798" w:type="dxa"/>
            <w:tcBorders>
              <w:left w:val="nil"/>
              <w:right w:val="nil"/>
            </w:tcBorders>
          </w:tcPr>
          <w:p w14:paraId="4F754A4B" w14:textId="6575D726"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-ve</w:t>
            </w:r>
          </w:p>
        </w:tc>
      </w:tr>
      <w:tr w:rsidR="00583547" w14:paraId="3A9A96D0" w14:textId="77777777" w:rsidTr="00583547">
        <w:trPr>
          <w:trHeight w:val="293"/>
        </w:trPr>
        <w:tc>
          <w:tcPr>
            <w:tcW w:w="1484" w:type="dxa"/>
            <w:tcBorders>
              <w:top w:val="nil"/>
              <w:left w:val="nil"/>
              <w:bottom w:val="nil"/>
              <w:right w:val="nil"/>
            </w:tcBorders>
          </w:tcPr>
          <w:p w14:paraId="39C7F213" w14:textId="77777777"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Patient 8</w:t>
            </w:r>
          </w:p>
        </w:tc>
        <w:tc>
          <w:tcPr>
            <w:tcW w:w="1057" w:type="dxa"/>
            <w:tcBorders>
              <w:top w:val="nil"/>
              <w:left w:val="nil"/>
              <w:bottom w:val="nil"/>
              <w:right w:val="nil"/>
            </w:tcBorders>
          </w:tcPr>
          <w:p w14:paraId="469E9998" w14:textId="17DA5C97"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M</w:t>
            </w:r>
          </w:p>
        </w:tc>
        <w:tc>
          <w:tcPr>
            <w:tcW w:w="836" w:type="dxa"/>
            <w:tcBorders>
              <w:top w:val="nil"/>
              <w:left w:val="nil"/>
              <w:bottom w:val="nil"/>
              <w:right w:val="nil"/>
            </w:tcBorders>
          </w:tcPr>
          <w:p w14:paraId="4D773C20" w14:textId="2F1EC487"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75</w:t>
            </w:r>
          </w:p>
        </w:tc>
        <w:tc>
          <w:tcPr>
            <w:tcW w:w="1256" w:type="dxa"/>
            <w:tcBorders>
              <w:top w:val="nil"/>
              <w:left w:val="nil"/>
              <w:bottom w:val="nil"/>
              <w:right w:val="nil"/>
            </w:tcBorders>
          </w:tcPr>
          <w:p w14:paraId="724A84A5" w14:textId="79F35996"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Belgium</w:t>
            </w:r>
          </w:p>
        </w:tc>
        <w:tc>
          <w:tcPr>
            <w:tcW w:w="1395" w:type="dxa"/>
            <w:tcBorders>
              <w:top w:val="nil"/>
              <w:left w:val="nil"/>
              <w:bottom w:val="nil"/>
              <w:right w:val="nil"/>
            </w:tcBorders>
          </w:tcPr>
          <w:p w14:paraId="2FCF92CC" w14:textId="4A66474F"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w:t>
            </w:r>
          </w:p>
        </w:tc>
        <w:tc>
          <w:tcPr>
            <w:tcW w:w="1255" w:type="dxa"/>
            <w:tcBorders>
              <w:top w:val="nil"/>
              <w:left w:val="nil"/>
              <w:bottom w:val="nil"/>
              <w:right w:val="nil"/>
            </w:tcBorders>
          </w:tcPr>
          <w:p w14:paraId="493F6278" w14:textId="50CA7A7D"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w:t>
            </w:r>
          </w:p>
        </w:tc>
        <w:tc>
          <w:tcPr>
            <w:tcW w:w="1116" w:type="dxa"/>
            <w:tcBorders>
              <w:top w:val="nil"/>
              <w:left w:val="nil"/>
              <w:bottom w:val="nil"/>
              <w:right w:val="nil"/>
            </w:tcBorders>
          </w:tcPr>
          <w:p w14:paraId="1FB15E94" w14:textId="02C9F09F"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50 mg</w:t>
            </w:r>
          </w:p>
        </w:tc>
        <w:tc>
          <w:tcPr>
            <w:tcW w:w="1417" w:type="dxa"/>
            <w:tcBorders>
              <w:top w:val="nil"/>
              <w:left w:val="nil"/>
              <w:bottom w:val="nil"/>
              <w:right w:val="nil"/>
            </w:tcBorders>
            <w:vAlign w:val="bottom"/>
          </w:tcPr>
          <w:p w14:paraId="1E08A74C" w14:textId="6EFA944C"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w:t>
            </w:r>
          </w:p>
        </w:tc>
        <w:tc>
          <w:tcPr>
            <w:tcW w:w="1276" w:type="dxa"/>
            <w:tcBorders>
              <w:top w:val="nil"/>
              <w:left w:val="nil"/>
              <w:bottom w:val="nil"/>
              <w:right w:val="nil"/>
            </w:tcBorders>
          </w:tcPr>
          <w:p w14:paraId="4D06D4D1" w14:textId="37A9E921"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n/a</w:t>
            </w:r>
          </w:p>
        </w:tc>
        <w:tc>
          <w:tcPr>
            <w:tcW w:w="797" w:type="dxa"/>
            <w:tcBorders>
              <w:left w:val="nil"/>
              <w:right w:val="nil"/>
            </w:tcBorders>
          </w:tcPr>
          <w:p w14:paraId="15F19325" w14:textId="718648CF"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n/a</w:t>
            </w:r>
          </w:p>
        </w:tc>
        <w:tc>
          <w:tcPr>
            <w:tcW w:w="798" w:type="dxa"/>
            <w:tcBorders>
              <w:left w:val="nil"/>
              <w:right w:val="nil"/>
            </w:tcBorders>
          </w:tcPr>
          <w:p w14:paraId="1A1F3756" w14:textId="74A9A240"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n/a</w:t>
            </w:r>
          </w:p>
        </w:tc>
      </w:tr>
      <w:tr w:rsidR="00583547" w14:paraId="786A3AA0" w14:textId="77777777" w:rsidTr="00583547">
        <w:trPr>
          <w:trHeight w:val="293"/>
        </w:trPr>
        <w:tc>
          <w:tcPr>
            <w:tcW w:w="1484" w:type="dxa"/>
            <w:tcBorders>
              <w:top w:val="nil"/>
              <w:left w:val="nil"/>
              <w:bottom w:val="nil"/>
              <w:right w:val="nil"/>
            </w:tcBorders>
          </w:tcPr>
          <w:p w14:paraId="579888B8" w14:textId="77777777"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Patient 9</w:t>
            </w:r>
          </w:p>
        </w:tc>
        <w:tc>
          <w:tcPr>
            <w:tcW w:w="1057" w:type="dxa"/>
            <w:tcBorders>
              <w:top w:val="nil"/>
              <w:left w:val="nil"/>
              <w:bottom w:val="nil"/>
              <w:right w:val="nil"/>
            </w:tcBorders>
          </w:tcPr>
          <w:p w14:paraId="11C1EEE9" w14:textId="1820A3C2"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M</w:t>
            </w:r>
          </w:p>
        </w:tc>
        <w:tc>
          <w:tcPr>
            <w:tcW w:w="836" w:type="dxa"/>
            <w:tcBorders>
              <w:top w:val="nil"/>
              <w:left w:val="nil"/>
              <w:bottom w:val="nil"/>
              <w:right w:val="nil"/>
            </w:tcBorders>
          </w:tcPr>
          <w:p w14:paraId="57F721FB" w14:textId="37371276"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57</w:t>
            </w:r>
          </w:p>
        </w:tc>
        <w:tc>
          <w:tcPr>
            <w:tcW w:w="1256" w:type="dxa"/>
            <w:tcBorders>
              <w:top w:val="nil"/>
              <w:left w:val="nil"/>
              <w:bottom w:val="nil"/>
              <w:right w:val="nil"/>
            </w:tcBorders>
          </w:tcPr>
          <w:p w14:paraId="3EDF8302" w14:textId="6A447A09"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Germany</w:t>
            </w:r>
          </w:p>
        </w:tc>
        <w:tc>
          <w:tcPr>
            <w:tcW w:w="1395" w:type="dxa"/>
            <w:tcBorders>
              <w:top w:val="nil"/>
              <w:left w:val="nil"/>
              <w:bottom w:val="nil"/>
              <w:right w:val="nil"/>
            </w:tcBorders>
          </w:tcPr>
          <w:p w14:paraId="1FB1C1FD" w14:textId="56CC0033"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D 84</w:t>
            </w:r>
          </w:p>
        </w:tc>
        <w:tc>
          <w:tcPr>
            <w:tcW w:w="1255" w:type="dxa"/>
            <w:tcBorders>
              <w:top w:val="nil"/>
              <w:left w:val="nil"/>
              <w:bottom w:val="nil"/>
              <w:right w:val="nil"/>
            </w:tcBorders>
          </w:tcPr>
          <w:p w14:paraId="016BCDB9" w14:textId="6B307B5E"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15.7</w:t>
            </w:r>
          </w:p>
        </w:tc>
        <w:tc>
          <w:tcPr>
            <w:tcW w:w="1116" w:type="dxa"/>
            <w:tcBorders>
              <w:top w:val="nil"/>
              <w:left w:val="nil"/>
              <w:bottom w:val="nil"/>
              <w:right w:val="nil"/>
            </w:tcBorders>
          </w:tcPr>
          <w:p w14:paraId="1FBFD846" w14:textId="3DF9B2FE"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50 mg</w:t>
            </w:r>
          </w:p>
        </w:tc>
        <w:tc>
          <w:tcPr>
            <w:tcW w:w="1417" w:type="dxa"/>
            <w:tcBorders>
              <w:top w:val="nil"/>
              <w:left w:val="nil"/>
              <w:bottom w:val="nil"/>
              <w:right w:val="nil"/>
            </w:tcBorders>
            <w:vAlign w:val="bottom"/>
          </w:tcPr>
          <w:p w14:paraId="338A22BD" w14:textId="729BB3AF"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975</w:t>
            </w:r>
          </w:p>
        </w:tc>
        <w:tc>
          <w:tcPr>
            <w:tcW w:w="1276" w:type="dxa"/>
            <w:tcBorders>
              <w:top w:val="nil"/>
              <w:left w:val="nil"/>
              <w:bottom w:val="nil"/>
              <w:right w:val="nil"/>
            </w:tcBorders>
          </w:tcPr>
          <w:p w14:paraId="55636AE3" w14:textId="335E0464"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-ve</w:t>
            </w:r>
          </w:p>
        </w:tc>
        <w:tc>
          <w:tcPr>
            <w:tcW w:w="797" w:type="dxa"/>
            <w:tcBorders>
              <w:left w:val="nil"/>
              <w:right w:val="nil"/>
            </w:tcBorders>
          </w:tcPr>
          <w:p w14:paraId="5FC9664D" w14:textId="1DA0D4B0"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-ve</w:t>
            </w:r>
          </w:p>
        </w:tc>
        <w:tc>
          <w:tcPr>
            <w:tcW w:w="798" w:type="dxa"/>
            <w:tcBorders>
              <w:left w:val="nil"/>
              <w:right w:val="nil"/>
            </w:tcBorders>
          </w:tcPr>
          <w:p w14:paraId="62086DD4" w14:textId="74CBADFC"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-ve</w:t>
            </w:r>
          </w:p>
        </w:tc>
      </w:tr>
      <w:tr w:rsidR="00583547" w14:paraId="53FAD119" w14:textId="77777777" w:rsidTr="00583547">
        <w:trPr>
          <w:trHeight w:val="293"/>
        </w:trPr>
        <w:tc>
          <w:tcPr>
            <w:tcW w:w="1484" w:type="dxa"/>
            <w:tcBorders>
              <w:top w:val="nil"/>
              <w:left w:val="nil"/>
              <w:bottom w:val="nil"/>
              <w:right w:val="nil"/>
            </w:tcBorders>
          </w:tcPr>
          <w:p w14:paraId="1E57F973" w14:textId="77777777"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Patient 10</w:t>
            </w:r>
          </w:p>
        </w:tc>
        <w:tc>
          <w:tcPr>
            <w:tcW w:w="1057" w:type="dxa"/>
            <w:tcBorders>
              <w:top w:val="nil"/>
              <w:left w:val="nil"/>
              <w:bottom w:val="nil"/>
              <w:right w:val="nil"/>
            </w:tcBorders>
          </w:tcPr>
          <w:p w14:paraId="300964DB" w14:textId="2F549F34"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F</w:t>
            </w:r>
          </w:p>
        </w:tc>
        <w:tc>
          <w:tcPr>
            <w:tcW w:w="836" w:type="dxa"/>
            <w:tcBorders>
              <w:top w:val="nil"/>
              <w:left w:val="nil"/>
              <w:bottom w:val="nil"/>
              <w:right w:val="nil"/>
            </w:tcBorders>
          </w:tcPr>
          <w:p w14:paraId="736EE23F" w14:textId="5C6C5B11"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68</w:t>
            </w:r>
          </w:p>
        </w:tc>
        <w:tc>
          <w:tcPr>
            <w:tcW w:w="1256" w:type="dxa"/>
            <w:tcBorders>
              <w:top w:val="nil"/>
              <w:left w:val="nil"/>
              <w:bottom w:val="nil"/>
              <w:right w:val="nil"/>
            </w:tcBorders>
          </w:tcPr>
          <w:p w14:paraId="7FEA9008" w14:textId="16298241"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France</w:t>
            </w:r>
          </w:p>
        </w:tc>
        <w:tc>
          <w:tcPr>
            <w:tcW w:w="1395" w:type="dxa"/>
            <w:tcBorders>
              <w:top w:val="nil"/>
              <w:left w:val="nil"/>
              <w:bottom w:val="nil"/>
              <w:right w:val="nil"/>
            </w:tcBorders>
          </w:tcPr>
          <w:p w14:paraId="64A47A91" w14:textId="43EE7876"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D 260</w:t>
            </w:r>
          </w:p>
        </w:tc>
        <w:tc>
          <w:tcPr>
            <w:tcW w:w="1255" w:type="dxa"/>
            <w:tcBorders>
              <w:top w:val="nil"/>
              <w:left w:val="nil"/>
              <w:bottom w:val="nil"/>
              <w:right w:val="nil"/>
            </w:tcBorders>
          </w:tcPr>
          <w:p w14:paraId="14FEE9AA" w14:textId="2E90262D"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9.4</w:t>
            </w:r>
          </w:p>
        </w:tc>
        <w:tc>
          <w:tcPr>
            <w:tcW w:w="1116" w:type="dxa"/>
            <w:tcBorders>
              <w:top w:val="nil"/>
              <w:left w:val="nil"/>
              <w:bottom w:val="nil"/>
              <w:right w:val="nil"/>
            </w:tcBorders>
          </w:tcPr>
          <w:p w14:paraId="1256E232" w14:textId="6B1567FC"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25 mg</w:t>
            </w:r>
          </w:p>
        </w:tc>
        <w:tc>
          <w:tcPr>
            <w:tcW w:w="1417" w:type="dxa"/>
            <w:tcBorders>
              <w:top w:val="nil"/>
              <w:left w:val="nil"/>
              <w:bottom w:val="nil"/>
              <w:right w:val="nil"/>
            </w:tcBorders>
            <w:vAlign w:val="bottom"/>
          </w:tcPr>
          <w:p w14:paraId="111F4748" w14:textId="47B41F20"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377</w:t>
            </w:r>
          </w:p>
        </w:tc>
        <w:tc>
          <w:tcPr>
            <w:tcW w:w="1276" w:type="dxa"/>
            <w:tcBorders>
              <w:top w:val="nil"/>
              <w:left w:val="nil"/>
              <w:bottom w:val="nil"/>
              <w:right w:val="nil"/>
            </w:tcBorders>
          </w:tcPr>
          <w:p w14:paraId="77FE519F" w14:textId="0C615C27"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n/a</w:t>
            </w:r>
          </w:p>
        </w:tc>
        <w:tc>
          <w:tcPr>
            <w:tcW w:w="797" w:type="dxa"/>
            <w:tcBorders>
              <w:left w:val="nil"/>
              <w:right w:val="nil"/>
            </w:tcBorders>
          </w:tcPr>
          <w:p w14:paraId="172D4DDD" w14:textId="7C643073"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n/a</w:t>
            </w:r>
          </w:p>
        </w:tc>
        <w:tc>
          <w:tcPr>
            <w:tcW w:w="798" w:type="dxa"/>
            <w:tcBorders>
              <w:left w:val="nil"/>
              <w:right w:val="nil"/>
            </w:tcBorders>
          </w:tcPr>
          <w:p w14:paraId="728E3100" w14:textId="4291F67B"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n/a</w:t>
            </w:r>
          </w:p>
        </w:tc>
      </w:tr>
      <w:tr w:rsidR="00583547" w14:paraId="6F5ADD46" w14:textId="77777777" w:rsidTr="00583547">
        <w:trPr>
          <w:trHeight w:val="293"/>
        </w:trPr>
        <w:tc>
          <w:tcPr>
            <w:tcW w:w="1484" w:type="dxa"/>
            <w:tcBorders>
              <w:top w:val="nil"/>
              <w:left w:val="nil"/>
              <w:bottom w:val="nil"/>
              <w:right w:val="nil"/>
            </w:tcBorders>
          </w:tcPr>
          <w:p w14:paraId="58348EE9" w14:textId="77777777"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Patient 11</w:t>
            </w:r>
          </w:p>
        </w:tc>
        <w:tc>
          <w:tcPr>
            <w:tcW w:w="1057" w:type="dxa"/>
            <w:tcBorders>
              <w:top w:val="nil"/>
              <w:left w:val="nil"/>
              <w:bottom w:val="nil"/>
              <w:right w:val="nil"/>
            </w:tcBorders>
          </w:tcPr>
          <w:p w14:paraId="735B70E2" w14:textId="6E2AFF25"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F</w:t>
            </w:r>
          </w:p>
        </w:tc>
        <w:tc>
          <w:tcPr>
            <w:tcW w:w="836" w:type="dxa"/>
            <w:tcBorders>
              <w:top w:val="nil"/>
              <w:left w:val="nil"/>
              <w:bottom w:val="nil"/>
              <w:right w:val="nil"/>
            </w:tcBorders>
          </w:tcPr>
          <w:p w14:paraId="1606920E" w14:textId="028B1087"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67</w:t>
            </w:r>
          </w:p>
        </w:tc>
        <w:tc>
          <w:tcPr>
            <w:tcW w:w="1256" w:type="dxa"/>
            <w:tcBorders>
              <w:top w:val="nil"/>
              <w:left w:val="nil"/>
              <w:bottom w:val="nil"/>
              <w:right w:val="nil"/>
            </w:tcBorders>
          </w:tcPr>
          <w:p w14:paraId="151DD19F" w14:textId="514F1A85"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Australia</w:t>
            </w:r>
          </w:p>
        </w:tc>
        <w:tc>
          <w:tcPr>
            <w:tcW w:w="1395" w:type="dxa"/>
            <w:tcBorders>
              <w:top w:val="nil"/>
              <w:left w:val="nil"/>
              <w:bottom w:val="nil"/>
              <w:right w:val="nil"/>
            </w:tcBorders>
          </w:tcPr>
          <w:p w14:paraId="33FF6C85" w14:textId="2C05B5AE"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D 58</w:t>
            </w:r>
          </w:p>
        </w:tc>
        <w:tc>
          <w:tcPr>
            <w:tcW w:w="1255" w:type="dxa"/>
            <w:tcBorders>
              <w:top w:val="nil"/>
              <w:left w:val="nil"/>
              <w:bottom w:val="nil"/>
              <w:right w:val="nil"/>
            </w:tcBorders>
          </w:tcPr>
          <w:p w14:paraId="68F30726" w14:textId="72179540"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29.1</w:t>
            </w:r>
          </w:p>
        </w:tc>
        <w:tc>
          <w:tcPr>
            <w:tcW w:w="1116" w:type="dxa"/>
            <w:tcBorders>
              <w:top w:val="nil"/>
              <w:left w:val="nil"/>
              <w:bottom w:val="nil"/>
              <w:right w:val="nil"/>
            </w:tcBorders>
          </w:tcPr>
          <w:p w14:paraId="4E663F08" w14:textId="243DB20F"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25 mg</w:t>
            </w:r>
          </w:p>
        </w:tc>
        <w:tc>
          <w:tcPr>
            <w:tcW w:w="1417" w:type="dxa"/>
            <w:tcBorders>
              <w:top w:val="nil"/>
              <w:left w:val="nil"/>
              <w:bottom w:val="nil"/>
              <w:right w:val="nil"/>
            </w:tcBorders>
            <w:vAlign w:val="bottom"/>
          </w:tcPr>
          <w:p w14:paraId="488EA24B" w14:textId="641AEBD5"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306</w:t>
            </w:r>
          </w:p>
        </w:tc>
        <w:tc>
          <w:tcPr>
            <w:tcW w:w="1276" w:type="dxa"/>
            <w:tcBorders>
              <w:top w:val="nil"/>
              <w:left w:val="nil"/>
              <w:bottom w:val="nil"/>
              <w:right w:val="nil"/>
            </w:tcBorders>
          </w:tcPr>
          <w:p w14:paraId="22F4F67B" w14:textId="0E18EA63"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n/a</w:t>
            </w:r>
          </w:p>
        </w:tc>
        <w:tc>
          <w:tcPr>
            <w:tcW w:w="797" w:type="dxa"/>
            <w:tcBorders>
              <w:left w:val="nil"/>
              <w:right w:val="nil"/>
            </w:tcBorders>
          </w:tcPr>
          <w:p w14:paraId="0964B3DF" w14:textId="2AA3ADA1"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n/a</w:t>
            </w:r>
          </w:p>
        </w:tc>
        <w:tc>
          <w:tcPr>
            <w:tcW w:w="798" w:type="dxa"/>
            <w:tcBorders>
              <w:left w:val="nil"/>
              <w:right w:val="nil"/>
            </w:tcBorders>
          </w:tcPr>
          <w:p w14:paraId="2AA0A15B" w14:textId="38C6ED7F"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n/a</w:t>
            </w:r>
          </w:p>
        </w:tc>
      </w:tr>
      <w:tr w:rsidR="00583547" w14:paraId="30928121" w14:textId="77777777" w:rsidTr="00583547">
        <w:trPr>
          <w:trHeight w:val="293"/>
        </w:trPr>
        <w:tc>
          <w:tcPr>
            <w:tcW w:w="1484" w:type="dxa"/>
            <w:tcBorders>
              <w:top w:val="nil"/>
              <w:left w:val="nil"/>
              <w:bottom w:val="nil"/>
              <w:right w:val="nil"/>
            </w:tcBorders>
          </w:tcPr>
          <w:p w14:paraId="0BE7AFA2" w14:textId="77777777"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Patient 12</w:t>
            </w:r>
          </w:p>
        </w:tc>
        <w:tc>
          <w:tcPr>
            <w:tcW w:w="1057" w:type="dxa"/>
            <w:tcBorders>
              <w:top w:val="nil"/>
              <w:left w:val="nil"/>
              <w:bottom w:val="nil"/>
              <w:right w:val="nil"/>
            </w:tcBorders>
          </w:tcPr>
          <w:p w14:paraId="52498E3A" w14:textId="0DC59C35"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F</w:t>
            </w:r>
          </w:p>
        </w:tc>
        <w:tc>
          <w:tcPr>
            <w:tcW w:w="836" w:type="dxa"/>
            <w:tcBorders>
              <w:top w:val="nil"/>
              <w:left w:val="nil"/>
              <w:bottom w:val="nil"/>
              <w:right w:val="nil"/>
            </w:tcBorders>
          </w:tcPr>
          <w:p w14:paraId="6AE21FA2" w14:textId="71065CB7"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64</w:t>
            </w:r>
          </w:p>
        </w:tc>
        <w:tc>
          <w:tcPr>
            <w:tcW w:w="1256" w:type="dxa"/>
            <w:tcBorders>
              <w:top w:val="nil"/>
              <w:left w:val="nil"/>
              <w:bottom w:val="nil"/>
              <w:right w:val="nil"/>
            </w:tcBorders>
          </w:tcPr>
          <w:p w14:paraId="7FE47E83" w14:textId="77353F7C"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UK</w:t>
            </w:r>
          </w:p>
        </w:tc>
        <w:tc>
          <w:tcPr>
            <w:tcW w:w="1395" w:type="dxa"/>
            <w:tcBorders>
              <w:top w:val="nil"/>
              <w:left w:val="nil"/>
              <w:bottom w:val="nil"/>
              <w:right w:val="nil"/>
            </w:tcBorders>
          </w:tcPr>
          <w:p w14:paraId="7BD660BF" w14:textId="1C1FD2EA"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D 115</w:t>
            </w:r>
          </w:p>
        </w:tc>
        <w:tc>
          <w:tcPr>
            <w:tcW w:w="1255" w:type="dxa"/>
            <w:tcBorders>
              <w:top w:val="nil"/>
              <w:left w:val="nil"/>
              <w:bottom w:val="nil"/>
              <w:right w:val="nil"/>
            </w:tcBorders>
          </w:tcPr>
          <w:p w14:paraId="6A4A74A6" w14:textId="0BEB2D5C"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8.6</w:t>
            </w:r>
          </w:p>
        </w:tc>
        <w:tc>
          <w:tcPr>
            <w:tcW w:w="1116" w:type="dxa"/>
            <w:tcBorders>
              <w:top w:val="nil"/>
              <w:left w:val="nil"/>
              <w:bottom w:val="nil"/>
              <w:right w:val="nil"/>
            </w:tcBorders>
          </w:tcPr>
          <w:p w14:paraId="4569E87C" w14:textId="25A3E980"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25 mg</w:t>
            </w:r>
          </w:p>
        </w:tc>
        <w:tc>
          <w:tcPr>
            <w:tcW w:w="1417" w:type="dxa"/>
            <w:tcBorders>
              <w:top w:val="nil"/>
              <w:left w:val="nil"/>
              <w:bottom w:val="nil"/>
              <w:right w:val="nil"/>
            </w:tcBorders>
            <w:vAlign w:val="bottom"/>
          </w:tcPr>
          <w:p w14:paraId="45F7A6D4" w14:textId="77D64914"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152</w:t>
            </w:r>
          </w:p>
        </w:tc>
        <w:tc>
          <w:tcPr>
            <w:tcW w:w="1276" w:type="dxa"/>
            <w:tcBorders>
              <w:top w:val="nil"/>
              <w:left w:val="nil"/>
              <w:bottom w:val="nil"/>
              <w:right w:val="nil"/>
            </w:tcBorders>
          </w:tcPr>
          <w:p w14:paraId="48C7DA59" w14:textId="38DB4620"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-ve</w:t>
            </w:r>
          </w:p>
        </w:tc>
        <w:tc>
          <w:tcPr>
            <w:tcW w:w="797" w:type="dxa"/>
            <w:tcBorders>
              <w:left w:val="nil"/>
              <w:right w:val="nil"/>
            </w:tcBorders>
          </w:tcPr>
          <w:p w14:paraId="4FB5D24B" w14:textId="3E0C29FF"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-ve</w:t>
            </w:r>
          </w:p>
        </w:tc>
        <w:tc>
          <w:tcPr>
            <w:tcW w:w="798" w:type="dxa"/>
            <w:tcBorders>
              <w:left w:val="nil"/>
              <w:right w:val="nil"/>
            </w:tcBorders>
          </w:tcPr>
          <w:p w14:paraId="3610762E" w14:textId="44DE8CF0"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-ve</w:t>
            </w:r>
          </w:p>
        </w:tc>
      </w:tr>
      <w:tr w:rsidR="00583547" w14:paraId="45CC558E" w14:textId="77777777" w:rsidTr="00583547">
        <w:trPr>
          <w:trHeight w:val="293"/>
        </w:trPr>
        <w:tc>
          <w:tcPr>
            <w:tcW w:w="1484" w:type="dxa"/>
            <w:tcBorders>
              <w:top w:val="nil"/>
              <w:left w:val="nil"/>
              <w:right w:val="nil"/>
            </w:tcBorders>
          </w:tcPr>
          <w:p w14:paraId="3575F103" w14:textId="1074D6C9"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Patient 13</w:t>
            </w:r>
          </w:p>
        </w:tc>
        <w:tc>
          <w:tcPr>
            <w:tcW w:w="1057" w:type="dxa"/>
            <w:tcBorders>
              <w:top w:val="nil"/>
              <w:left w:val="nil"/>
              <w:right w:val="nil"/>
            </w:tcBorders>
          </w:tcPr>
          <w:p w14:paraId="08ABDD28" w14:textId="5837C76F"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F</w:t>
            </w:r>
          </w:p>
        </w:tc>
        <w:tc>
          <w:tcPr>
            <w:tcW w:w="836" w:type="dxa"/>
            <w:tcBorders>
              <w:top w:val="nil"/>
              <w:left w:val="nil"/>
              <w:right w:val="nil"/>
            </w:tcBorders>
          </w:tcPr>
          <w:p w14:paraId="44500293" w14:textId="6EEAE32F"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67</w:t>
            </w:r>
          </w:p>
        </w:tc>
        <w:tc>
          <w:tcPr>
            <w:tcW w:w="1256" w:type="dxa"/>
            <w:tcBorders>
              <w:top w:val="nil"/>
              <w:left w:val="nil"/>
              <w:right w:val="nil"/>
            </w:tcBorders>
          </w:tcPr>
          <w:p w14:paraId="4C7FA056" w14:textId="0D7532CB"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UK</w:t>
            </w:r>
          </w:p>
        </w:tc>
        <w:tc>
          <w:tcPr>
            <w:tcW w:w="1395" w:type="dxa"/>
            <w:tcBorders>
              <w:top w:val="nil"/>
              <w:left w:val="nil"/>
              <w:right w:val="nil"/>
            </w:tcBorders>
          </w:tcPr>
          <w:p w14:paraId="5736E266" w14:textId="441A7790"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D 150</w:t>
            </w:r>
          </w:p>
        </w:tc>
        <w:tc>
          <w:tcPr>
            <w:tcW w:w="1255" w:type="dxa"/>
            <w:tcBorders>
              <w:top w:val="nil"/>
              <w:left w:val="nil"/>
              <w:right w:val="nil"/>
            </w:tcBorders>
          </w:tcPr>
          <w:p w14:paraId="6F98571E" w14:textId="4669A1F5"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4.6</w:t>
            </w:r>
          </w:p>
        </w:tc>
        <w:tc>
          <w:tcPr>
            <w:tcW w:w="1116" w:type="dxa"/>
            <w:tcBorders>
              <w:top w:val="nil"/>
              <w:left w:val="nil"/>
              <w:right w:val="nil"/>
            </w:tcBorders>
          </w:tcPr>
          <w:p w14:paraId="42530199" w14:textId="259BF193"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5 mg</w:t>
            </w:r>
          </w:p>
        </w:tc>
        <w:tc>
          <w:tcPr>
            <w:tcW w:w="1417" w:type="dxa"/>
            <w:tcBorders>
              <w:top w:val="nil"/>
              <w:left w:val="nil"/>
              <w:right w:val="nil"/>
            </w:tcBorders>
            <w:vAlign w:val="bottom"/>
          </w:tcPr>
          <w:p w14:paraId="7E79FA42" w14:textId="72BE8A62"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141</w:t>
            </w:r>
          </w:p>
        </w:tc>
        <w:tc>
          <w:tcPr>
            <w:tcW w:w="1276" w:type="dxa"/>
            <w:tcBorders>
              <w:top w:val="nil"/>
              <w:left w:val="nil"/>
              <w:right w:val="nil"/>
            </w:tcBorders>
          </w:tcPr>
          <w:p w14:paraId="2882C0AC" w14:textId="4F1E0347"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-ve</w:t>
            </w:r>
          </w:p>
        </w:tc>
        <w:tc>
          <w:tcPr>
            <w:tcW w:w="797" w:type="dxa"/>
            <w:tcBorders>
              <w:left w:val="nil"/>
              <w:right w:val="nil"/>
            </w:tcBorders>
          </w:tcPr>
          <w:p w14:paraId="5A46E0B8" w14:textId="73B3EF1B"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-ve</w:t>
            </w:r>
          </w:p>
        </w:tc>
        <w:tc>
          <w:tcPr>
            <w:tcW w:w="798" w:type="dxa"/>
            <w:tcBorders>
              <w:left w:val="nil"/>
              <w:right w:val="nil"/>
            </w:tcBorders>
          </w:tcPr>
          <w:p w14:paraId="3B26425A" w14:textId="28D1BEB6"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-ve</w:t>
            </w:r>
          </w:p>
        </w:tc>
      </w:tr>
      <w:tr w:rsidR="00583547" w14:paraId="3D68144E" w14:textId="77777777" w:rsidTr="00583547">
        <w:trPr>
          <w:trHeight w:val="293"/>
        </w:trPr>
        <w:tc>
          <w:tcPr>
            <w:tcW w:w="1484" w:type="dxa"/>
            <w:tcBorders>
              <w:top w:val="nil"/>
              <w:left w:val="nil"/>
              <w:bottom w:val="single" w:sz="12" w:space="0" w:color="auto"/>
              <w:right w:val="nil"/>
            </w:tcBorders>
          </w:tcPr>
          <w:p w14:paraId="7F708E39" w14:textId="5308FD72"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Patient 14</w:t>
            </w:r>
          </w:p>
        </w:tc>
        <w:tc>
          <w:tcPr>
            <w:tcW w:w="1057" w:type="dxa"/>
            <w:tcBorders>
              <w:top w:val="nil"/>
              <w:left w:val="nil"/>
              <w:bottom w:val="single" w:sz="12" w:space="0" w:color="auto"/>
              <w:right w:val="nil"/>
            </w:tcBorders>
          </w:tcPr>
          <w:p w14:paraId="1C0D2C9A" w14:textId="5D771B41"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F</w:t>
            </w:r>
          </w:p>
        </w:tc>
        <w:tc>
          <w:tcPr>
            <w:tcW w:w="836" w:type="dxa"/>
            <w:tcBorders>
              <w:top w:val="nil"/>
              <w:left w:val="nil"/>
              <w:bottom w:val="single" w:sz="12" w:space="0" w:color="auto"/>
              <w:right w:val="nil"/>
            </w:tcBorders>
          </w:tcPr>
          <w:p w14:paraId="4074C837" w14:textId="3D5D71FE"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76</w:t>
            </w:r>
          </w:p>
        </w:tc>
        <w:tc>
          <w:tcPr>
            <w:tcW w:w="1256" w:type="dxa"/>
            <w:tcBorders>
              <w:top w:val="nil"/>
              <w:left w:val="nil"/>
              <w:bottom w:val="single" w:sz="12" w:space="0" w:color="auto"/>
              <w:right w:val="nil"/>
            </w:tcBorders>
          </w:tcPr>
          <w:p w14:paraId="5B31CFA1" w14:textId="053E99CE"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USA</w:t>
            </w:r>
          </w:p>
        </w:tc>
        <w:tc>
          <w:tcPr>
            <w:tcW w:w="1395" w:type="dxa"/>
            <w:tcBorders>
              <w:top w:val="nil"/>
              <w:left w:val="nil"/>
              <w:bottom w:val="single" w:sz="12" w:space="0" w:color="auto"/>
              <w:right w:val="nil"/>
            </w:tcBorders>
          </w:tcPr>
          <w:p w14:paraId="20F731AD" w14:textId="19E5C44C"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D 84</w:t>
            </w:r>
          </w:p>
        </w:tc>
        <w:tc>
          <w:tcPr>
            <w:tcW w:w="1255" w:type="dxa"/>
            <w:tcBorders>
              <w:top w:val="nil"/>
              <w:left w:val="nil"/>
              <w:bottom w:val="single" w:sz="12" w:space="0" w:color="auto"/>
              <w:right w:val="nil"/>
            </w:tcBorders>
          </w:tcPr>
          <w:p w14:paraId="463979B0" w14:textId="5DCA3259"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3.8</w:t>
            </w:r>
          </w:p>
        </w:tc>
        <w:tc>
          <w:tcPr>
            <w:tcW w:w="1116" w:type="dxa"/>
            <w:tcBorders>
              <w:top w:val="nil"/>
              <w:left w:val="nil"/>
              <w:bottom w:val="single" w:sz="12" w:space="0" w:color="auto"/>
              <w:right w:val="nil"/>
            </w:tcBorders>
          </w:tcPr>
          <w:p w14:paraId="25FE257D" w14:textId="1A14A8C9"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25 mg</w:t>
            </w:r>
          </w:p>
        </w:tc>
        <w:tc>
          <w:tcPr>
            <w:tcW w:w="1417" w:type="dxa"/>
            <w:tcBorders>
              <w:top w:val="nil"/>
              <w:left w:val="nil"/>
              <w:bottom w:val="single" w:sz="12" w:space="0" w:color="auto"/>
              <w:right w:val="nil"/>
            </w:tcBorders>
            <w:vAlign w:val="bottom"/>
          </w:tcPr>
          <w:p w14:paraId="18223E69" w14:textId="12CFD734"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84</w:t>
            </w:r>
          </w:p>
        </w:tc>
        <w:tc>
          <w:tcPr>
            <w:tcW w:w="1276" w:type="dxa"/>
            <w:tcBorders>
              <w:top w:val="nil"/>
              <w:left w:val="nil"/>
              <w:bottom w:val="single" w:sz="12" w:space="0" w:color="auto"/>
              <w:right w:val="nil"/>
            </w:tcBorders>
          </w:tcPr>
          <w:p w14:paraId="74C0FEE9" w14:textId="6CE47D80"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n/a</w:t>
            </w:r>
          </w:p>
        </w:tc>
        <w:tc>
          <w:tcPr>
            <w:tcW w:w="797" w:type="dxa"/>
            <w:tcBorders>
              <w:left w:val="nil"/>
              <w:bottom w:val="single" w:sz="12" w:space="0" w:color="auto"/>
              <w:right w:val="nil"/>
            </w:tcBorders>
          </w:tcPr>
          <w:p w14:paraId="1E8AEC81" w14:textId="6448CB15"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n/a</w:t>
            </w:r>
          </w:p>
        </w:tc>
        <w:tc>
          <w:tcPr>
            <w:tcW w:w="798" w:type="dxa"/>
            <w:tcBorders>
              <w:left w:val="nil"/>
              <w:bottom w:val="single" w:sz="12" w:space="0" w:color="auto"/>
              <w:right w:val="nil"/>
            </w:tcBorders>
          </w:tcPr>
          <w:p w14:paraId="2B001666" w14:textId="6C920496" w:rsidR="00583547" w:rsidRPr="00583547" w:rsidRDefault="00583547" w:rsidP="00052E06">
            <w:pPr>
              <w:autoSpaceDE w:val="0"/>
              <w:autoSpaceDN w:val="0"/>
              <w:adjustRightInd w:val="0"/>
              <w:spacing w:after="0" w:line="240" w:lineRule="auto"/>
              <w:jc w:val="center"/>
              <w:rPr>
                <w:rFonts w:cstheme="minorHAnsi"/>
                <w:color w:val="000000"/>
              </w:rPr>
            </w:pPr>
            <w:r w:rsidRPr="00583547">
              <w:rPr>
                <w:rFonts w:cstheme="minorHAnsi"/>
                <w:color w:val="000000"/>
              </w:rPr>
              <w:t>n/a</w:t>
            </w:r>
          </w:p>
        </w:tc>
      </w:tr>
    </w:tbl>
    <w:p w14:paraId="2904A224" w14:textId="31CCF52D" w:rsidR="00ED34C4" w:rsidRDefault="00ED34C4" w:rsidP="00997C64">
      <w:pPr>
        <w:rPr>
          <w:vertAlign w:val="superscript"/>
        </w:rPr>
      </w:pPr>
    </w:p>
    <w:p w14:paraId="1EE69EBC" w14:textId="78C89BE5" w:rsidR="00ED34C4" w:rsidRPr="00ED34C4" w:rsidRDefault="00ED34C4" w:rsidP="00593F37">
      <w:pPr>
        <w:spacing w:line="240" w:lineRule="auto"/>
      </w:pPr>
      <w:r>
        <w:rPr>
          <w:vertAlign w:val="superscript"/>
        </w:rPr>
        <w:t xml:space="preserve">1 </w:t>
      </w:r>
      <w:r>
        <w:t>result considered positive when stimulation index (response in drug treated/response in medium control) greater than 2.</w:t>
      </w:r>
    </w:p>
    <w:p w14:paraId="5CDFD897" w14:textId="31F9F47E" w:rsidR="00997C64" w:rsidRDefault="00ED34C4" w:rsidP="00593F37">
      <w:pPr>
        <w:spacing w:line="240" w:lineRule="auto"/>
      </w:pPr>
      <w:r>
        <w:rPr>
          <w:vertAlign w:val="superscript"/>
        </w:rPr>
        <w:t xml:space="preserve">2 </w:t>
      </w:r>
      <w:r w:rsidRPr="00ED34C4">
        <w:t>N/A – Assay not conducted due to low cell number/viability</w:t>
      </w:r>
    </w:p>
    <w:p w14:paraId="1B590F9D" w14:textId="2E3924AF" w:rsidR="00C2222D" w:rsidRDefault="00392EE7" w:rsidP="00CD718B">
      <w:pPr>
        <w:spacing w:line="240" w:lineRule="auto"/>
        <w:rPr>
          <w:rFonts w:cstheme="minorHAnsi"/>
        </w:rPr>
        <w:sectPr w:rsidR="00C2222D" w:rsidSect="00C2222D">
          <w:pgSz w:w="16838" w:h="11906" w:orient="landscape"/>
          <w:pgMar w:top="1440" w:right="1440" w:bottom="1440" w:left="1440" w:header="708" w:footer="708" w:gutter="0"/>
          <w:cols w:space="708"/>
          <w:docGrid w:linePitch="360"/>
        </w:sectPr>
      </w:pPr>
      <w:r>
        <w:t>/ not applicable because no ALT elevation</w:t>
      </w:r>
      <w:r w:rsidR="00E7156C">
        <w:br w:type="page"/>
      </w:r>
      <w:bookmarkStart w:id="1" w:name="_GoBack"/>
      <w:bookmarkEnd w:id="1"/>
    </w:p>
    <w:p w14:paraId="420B90CA" w14:textId="0CB19EAB" w:rsidR="00A61ED9" w:rsidRPr="009C0C8B" w:rsidRDefault="00A61ED9" w:rsidP="00A61ED9">
      <w:pPr>
        <w:spacing w:line="480" w:lineRule="auto"/>
        <w:jc w:val="both"/>
        <w:rPr>
          <w:rFonts w:cstheme="minorHAnsi"/>
        </w:rPr>
      </w:pPr>
      <w:r>
        <w:rPr>
          <w:b/>
          <w:bCs/>
        </w:rPr>
        <w:lastRenderedPageBreak/>
        <w:t xml:space="preserve">Supplementary </w:t>
      </w:r>
      <w:r w:rsidRPr="00450E6E">
        <w:rPr>
          <w:b/>
          <w:bCs/>
        </w:rPr>
        <w:t>F</w:t>
      </w:r>
      <w:r>
        <w:rPr>
          <w:b/>
          <w:bCs/>
        </w:rPr>
        <w:t>igure 1</w:t>
      </w:r>
      <w:r w:rsidRPr="00450E6E">
        <w:rPr>
          <w:b/>
          <w:bCs/>
        </w:rPr>
        <w:t xml:space="preserve">. Specificity of T-cell clones and characterisation of cellular surface phenotype. </w:t>
      </w:r>
      <w:r w:rsidRPr="00450E6E">
        <w:t>(A) T-cell clones were co</w:t>
      </w:r>
      <w:r>
        <w:t>-incubated with autologous EBV-</w:t>
      </w:r>
      <w:r w:rsidRPr="00450E6E">
        <w:t>transformed B-cells in the presence of either atabecestat, DIAT, or acetyl DIAT 48 hours. [</w:t>
      </w:r>
      <w:r w:rsidRPr="00450E6E">
        <w:rPr>
          <w:vertAlign w:val="superscript"/>
        </w:rPr>
        <w:t>3</w:t>
      </w:r>
      <w:r w:rsidRPr="00450E6E">
        <w:t>H] thymidine was added for an additional 16 hours and proliferation was measured via scintillation counting. Error bars denote ± SEM. (B) CD4/8 phenotype of T-cell clones. T-cells were stained with antibodies CD4-FITC/APC and CD8-PE and analyzed for phenotype using flow cytometry. CD4/CD8/DP (double positive) clones expressed high levels of CD4 and CD8. (C) T-cells were stained with T-cell V</w:t>
      </w:r>
      <w:r w:rsidRPr="00450E6E">
        <w:sym w:font="Symbol" w:char="F062"/>
      </w:r>
      <w:r w:rsidRPr="00450E6E">
        <w:t xml:space="preserve"> receptor antibodies. Cells were then washed and analysed for TCRVβ expression</w:t>
      </w:r>
      <w:r>
        <w:t xml:space="preserve"> </w:t>
      </w:r>
      <w:r w:rsidRPr="00450E6E">
        <w:t xml:space="preserve">using flow cytometry. Rare refers to clones where V </w:t>
      </w:r>
      <w:r w:rsidRPr="00450E6E">
        <w:sym w:font="Symbol" w:char="F062"/>
      </w:r>
      <w:r w:rsidRPr="00450E6E">
        <w:t xml:space="preserve"> receptor was not detected</w:t>
      </w:r>
      <w:r w:rsidR="00D428D5">
        <w:t>.</w:t>
      </w:r>
      <w:r w:rsidRPr="00450E6E">
        <w:t xml:space="preserve"> (d) Cells were stained with antibodies CCR2, CXCR3, CCR1, CCR8, CCR9,CXCR1, CLA, CCR6, CXCR6, CD69, E-cadherin and CCR4. Cells were then washed and analysed for </w:t>
      </w:r>
      <w:r w:rsidR="00781626">
        <w:t>surface</w:t>
      </w:r>
      <w:r w:rsidR="00781626" w:rsidRPr="00583547">
        <w:t xml:space="preserve"> </w:t>
      </w:r>
      <w:r w:rsidRPr="00583547">
        <w:t xml:space="preserve">receptor expression using flow cytometry. Receptor was deemed to be expressed if mean staining intensity </w:t>
      </w:r>
      <w:r w:rsidRPr="00583547">
        <w:rPr>
          <w:rFonts w:cstheme="minorHAnsi"/>
        </w:rPr>
        <w:t>exceeded twice the isotype control.</w:t>
      </w:r>
    </w:p>
    <w:p w14:paraId="6A387EE9" w14:textId="7D8154E4" w:rsidR="00C2222D" w:rsidRDefault="00A61ED9" w:rsidP="00C2222D">
      <w:pPr>
        <w:spacing w:line="480" w:lineRule="auto"/>
        <w:jc w:val="both"/>
      </w:pPr>
      <w:r>
        <w:rPr>
          <w:b/>
        </w:rPr>
        <w:t xml:space="preserve">Supplementary Figure </w:t>
      </w:r>
      <w:r w:rsidR="00D37934">
        <w:rPr>
          <w:b/>
        </w:rPr>
        <w:t>2</w:t>
      </w:r>
      <w:r w:rsidR="00C2222D">
        <w:rPr>
          <w:b/>
        </w:rPr>
        <w:t xml:space="preserve">. </w:t>
      </w:r>
      <w:r w:rsidR="00C2222D" w:rsidRPr="00D275D8">
        <w:rPr>
          <w:b/>
          <w:bCs/>
        </w:rPr>
        <w:t>IFN-</w:t>
      </w:r>
      <w:r w:rsidR="00C2222D" w:rsidRPr="00D275D8">
        <w:rPr>
          <w:b/>
          <w:bCs/>
        </w:rPr>
        <w:sym w:font="Symbol" w:char="F067"/>
      </w:r>
      <w:r w:rsidR="00C2222D">
        <w:rPr>
          <w:b/>
          <w:bCs/>
        </w:rPr>
        <w:t xml:space="preserve"> release from an acetyl DIAT-</w:t>
      </w:r>
      <w:r w:rsidR="00C2222D" w:rsidRPr="00D275D8">
        <w:rPr>
          <w:b/>
          <w:bCs/>
        </w:rPr>
        <w:t xml:space="preserve">responsive T-cell clone. </w:t>
      </w:r>
      <w:r w:rsidR="00C2222D" w:rsidRPr="00D275D8">
        <w:t>(a) The T-cell clone was c</w:t>
      </w:r>
      <w:r w:rsidR="00C2222D">
        <w:t>o-incubated with autologous EBV-</w:t>
      </w:r>
      <w:r w:rsidR="00C2222D" w:rsidRPr="00D275D8">
        <w:t>transformed antigen presenting cells in the presence and absence of atabecestat, DIAT, atabecestat epoxide and acetyl DIAT for 48 hours. Following incubation, the ELIspot was developed for IFN-γ.</w:t>
      </w:r>
    </w:p>
    <w:p w14:paraId="14699979" w14:textId="77777777" w:rsidR="00C2222D" w:rsidRDefault="00C2222D" w:rsidP="00C2222D">
      <w:pPr>
        <w:rPr>
          <w:b/>
        </w:rPr>
      </w:pPr>
    </w:p>
    <w:p w14:paraId="32316EDB" w14:textId="05527858" w:rsidR="00C2222D" w:rsidRDefault="00C2222D" w:rsidP="00C2222D">
      <w:pPr>
        <w:jc w:val="center"/>
      </w:pPr>
    </w:p>
    <w:p w14:paraId="44311FC0" w14:textId="77777777" w:rsidR="00565506" w:rsidRDefault="00565506">
      <w:r>
        <w:br w:type="page"/>
      </w:r>
    </w:p>
    <w:p w14:paraId="57245372" w14:textId="402988E3" w:rsidR="00C2222D" w:rsidRPr="00E17345" w:rsidRDefault="00C2222D" w:rsidP="00C2222D">
      <w:pPr>
        <w:pStyle w:val="Heading2"/>
        <w:spacing w:line="480" w:lineRule="auto"/>
        <w:jc w:val="both"/>
        <w:rPr>
          <w:rFonts w:asciiTheme="minorHAnsi" w:hAnsiTheme="minorHAnsi" w:cstheme="minorHAnsi"/>
          <w:szCs w:val="22"/>
        </w:rPr>
      </w:pPr>
      <w:r w:rsidRPr="00E17345">
        <w:rPr>
          <w:rFonts w:asciiTheme="minorHAnsi" w:hAnsiTheme="minorHAnsi" w:cstheme="minorHAnsi"/>
          <w:szCs w:val="22"/>
        </w:rPr>
        <w:lastRenderedPageBreak/>
        <w:t>References</w:t>
      </w:r>
    </w:p>
    <w:p w14:paraId="27A22E15" w14:textId="77777777" w:rsidR="00C2222D" w:rsidRPr="00E17345" w:rsidRDefault="00C2222D" w:rsidP="00C2222D">
      <w:pPr>
        <w:pStyle w:val="EndNoteBibliography"/>
        <w:spacing w:after="0" w:line="480" w:lineRule="auto"/>
        <w:jc w:val="both"/>
        <w:rPr>
          <w:rFonts w:asciiTheme="minorHAnsi" w:hAnsiTheme="minorHAnsi" w:cstheme="minorHAnsi"/>
          <w:sz w:val="22"/>
        </w:rPr>
      </w:pPr>
      <w:r w:rsidRPr="00E17345">
        <w:rPr>
          <w:rFonts w:asciiTheme="minorHAnsi" w:hAnsiTheme="minorHAnsi" w:cstheme="minorHAnsi"/>
          <w:sz w:val="22"/>
        </w:rPr>
        <w:t>1.</w:t>
      </w:r>
      <w:r w:rsidRPr="00E17345">
        <w:rPr>
          <w:rFonts w:asciiTheme="minorHAnsi" w:hAnsiTheme="minorHAnsi" w:cstheme="minorHAnsi"/>
          <w:sz w:val="22"/>
        </w:rPr>
        <w:tab/>
        <w:t>Sanabria-Castro A, Alvarado-Echeverria I, Monge-Bonilla C. Molecular Pathogenesis of Alzheimer's Disease: An Update. Ann Neurosci. 2017;24(1):46-54.</w:t>
      </w:r>
    </w:p>
    <w:p w14:paraId="13CEA42A" w14:textId="77777777" w:rsidR="00C2222D" w:rsidRPr="00E17345" w:rsidRDefault="00C2222D" w:rsidP="00C2222D">
      <w:pPr>
        <w:pStyle w:val="EndNoteBibliography"/>
        <w:spacing w:after="0" w:line="480" w:lineRule="auto"/>
        <w:jc w:val="both"/>
        <w:rPr>
          <w:rFonts w:asciiTheme="minorHAnsi" w:hAnsiTheme="minorHAnsi" w:cstheme="minorHAnsi"/>
          <w:sz w:val="22"/>
        </w:rPr>
      </w:pPr>
      <w:r w:rsidRPr="00E17345">
        <w:rPr>
          <w:rFonts w:asciiTheme="minorHAnsi" w:hAnsiTheme="minorHAnsi" w:cstheme="minorHAnsi"/>
          <w:sz w:val="22"/>
        </w:rPr>
        <w:t>2.</w:t>
      </w:r>
      <w:r w:rsidRPr="00E17345">
        <w:rPr>
          <w:rFonts w:asciiTheme="minorHAnsi" w:hAnsiTheme="minorHAnsi" w:cstheme="minorHAnsi"/>
          <w:sz w:val="22"/>
        </w:rPr>
        <w:tab/>
        <w:t>Henley D, Raghavan N, Sperling R, Aisen P, Raman R, Romano G. Preliminary Results of a Trial of Atabecestat in Preclinical Alzheimer's Disease. N Engl J Med. 2019;380(15):1483-5.</w:t>
      </w:r>
    </w:p>
    <w:p w14:paraId="797C8C23" w14:textId="77777777" w:rsidR="00C2222D" w:rsidRDefault="00C2222D" w:rsidP="00C2222D">
      <w:pPr>
        <w:spacing w:line="480" w:lineRule="auto"/>
        <w:jc w:val="both"/>
        <w:rPr>
          <w:rFonts w:cstheme="minorHAnsi"/>
        </w:rPr>
      </w:pPr>
      <w:r w:rsidRPr="00E17345">
        <w:rPr>
          <w:rFonts w:cstheme="minorHAnsi"/>
        </w:rPr>
        <w:t>3.</w:t>
      </w:r>
      <w:r w:rsidRPr="00E17345">
        <w:rPr>
          <w:rFonts w:cstheme="minorHAnsi"/>
        </w:rPr>
        <w:tab/>
      </w:r>
      <w:r w:rsidRPr="00E17345">
        <w:rPr>
          <w:rStyle w:val="labs-docsum-authors"/>
          <w:rFonts w:cstheme="minorHAnsi"/>
        </w:rPr>
        <w:t>De Jonghe S, Weinstock D, Aligo J, Washington K,</w:t>
      </w:r>
      <w:r w:rsidRPr="00E17345">
        <w:rPr>
          <w:rStyle w:val="labs-docsum-authors"/>
          <w:rFonts w:cstheme="minorHAnsi"/>
          <w:b/>
          <w:bCs/>
        </w:rPr>
        <w:t> </w:t>
      </w:r>
      <w:r w:rsidRPr="00E17345">
        <w:rPr>
          <w:rStyle w:val="labs-docsum-authors"/>
          <w:rFonts w:cstheme="minorHAnsi"/>
          <w:bCs/>
        </w:rPr>
        <w:t>Naisbitt D.</w:t>
      </w:r>
      <w:r w:rsidRPr="00E17345">
        <w:rPr>
          <w:rStyle w:val="labs-docsum-authors"/>
          <w:rFonts w:cstheme="minorHAnsi"/>
          <w:b/>
          <w:bCs/>
        </w:rPr>
        <w:t xml:space="preserve"> </w:t>
      </w:r>
      <w:r w:rsidRPr="00E17345">
        <w:rPr>
          <w:rFonts w:cstheme="minorHAnsi"/>
          <w:shd w:val="clear" w:color="auto" w:fill="FFFFFF"/>
        </w:rPr>
        <w:t xml:space="preserve">Biopsy pathology and immunohistochemistry of a case of immune-mediated drug-induced liver injury with </w:t>
      </w:r>
      <w:r>
        <w:rPr>
          <w:rFonts w:cstheme="minorHAnsi"/>
          <w:shd w:val="clear" w:color="auto" w:fill="FFFFFF"/>
        </w:rPr>
        <w:t>a</w:t>
      </w:r>
      <w:r w:rsidRPr="00E17345">
        <w:rPr>
          <w:rFonts w:cstheme="minorHAnsi"/>
          <w:shd w:val="clear" w:color="auto" w:fill="FFFFFF"/>
        </w:rPr>
        <w:t>tabecestat.</w:t>
      </w:r>
      <w:r w:rsidRPr="00E17345">
        <w:rPr>
          <w:rFonts w:cstheme="minorHAnsi"/>
        </w:rPr>
        <w:t xml:space="preserve"> </w:t>
      </w:r>
      <w:r>
        <w:rPr>
          <w:rStyle w:val="labs-docsum-journal-citation"/>
          <w:rFonts w:cstheme="minorHAnsi"/>
        </w:rPr>
        <w:t>Hepatology. 2020 [Epub ahead of print</w:t>
      </w:r>
      <w:r w:rsidRPr="00E17345">
        <w:rPr>
          <w:rStyle w:val="labs-docsum-journal-citation"/>
          <w:rFonts w:cstheme="minorHAnsi"/>
        </w:rPr>
        <w:t xml:space="preserve"> doi: 10.1002/hep.31403</w:t>
      </w:r>
      <w:r>
        <w:rPr>
          <w:rStyle w:val="labs-docsum-journal-citation"/>
          <w:rFonts w:cstheme="minorHAnsi"/>
        </w:rPr>
        <w:t>].</w:t>
      </w:r>
    </w:p>
    <w:p w14:paraId="3A19135A" w14:textId="77777777" w:rsidR="00C2222D" w:rsidRPr="00E17345" w:rsidRDefault="00C2222D" w:rsidP="00C2222D">
      <w:pPr>
        <w:pStyle w:val="EndNoteBibliography"/>
        <w:spacing w:after="0" w:line="480" w:lineRule="auto"/>
        <w:jc w:val="both"/>
        <w:rPr>
          <w:rFonts w:asciiTheme="minorHAnsi" w:hAnsiTheme="minorHAnsi" w:cstheme="minorHAnsi"/>
          <w:sz w:val="22"/>
        </w:rPr>
      </w:pPr>
      <w:r>
        <w:rPr>
          <w:rFonts w:asciiTheme="minorHAnsi" w:hAnsiTheme="minorHAnsi" w:cstheme="minorHAnsi"/>
          <w:sz w:val="22"/>
        </w:rPr>
        <w:t xml:space="preserve">4. </w:t>
      </w:r>
      <w:r>
        <w:rPr>
          <w:rFonts w:asciiTheme="minorHAnsi" w:hAnsiTheme="minorHAnsi" w:cstheme="minorHAnsi"/>
          <w:sz w:val="22"/>
        </w:rPr>
        <w:tab/>
      </w:r>
      <w:r w:rsidRPr="00E17345">
        <w:rPr>
          <w:rFonts w:asciiTheme="minorHAnsi" w:hAnsiTheme="minorHAnsi" w:cstheme="minorHAnsi"/>
          <w:sz w:val="22"/>
        </w:rPr>
        <w:t>Maria VA, Victorino RM. Diagnostic value of specific T cell reactivity to drugs in 95 cases of drug induced liver injury. Gut. 1997;41(4):534-40.</w:t>
      </w:r>
    </w:p>
    <w:p w14:paraId="6F082841" w14:textId="392C19D9" w:rsidR="00C2222D" w:rsidRPr="00E17345" w:rsidRDefault="00C2222D" w:rsidP="00C2222D">
      <w:pPr>
        <w:pStyle w:val="EndNoteBibliography"/>
        <w:spacing w:after="0" w:line="480" w:lineRule="auto"/>
        <w:jc w:val="both"/>
        <w:rPr>
          <w:rFonts w:asciiTheme="minorHAnsi" w:hAnsiTheme="minorHAnsi" w:cstheme="minorHAnsi"/>
          <w:sz w:val="22"/>
        </w:rPr>
      </w:pPr>
      <w:r>
        <w:rPr>
          <w:rFonts w:asciiTheme="minorHAnsi" w:hAnsiTheme="minorHAnsi" w:cstheme="minorHAnsi"/>
          <w:sz w:val="22"/>
        </w:rPr>
        <w:t>5</w:t>
      </w:r>
      <w:r w:rsidRPr="00E17345">
        <w:rPr>
          <w:rFonts w:asciiTheme="minorHAnsi" w:hAnsiTheme="minorHAnsi" w:cstheme="minorHAnsi"/>
          <w:sz w:val="22"/>
        </w:rPr>
        <w:t>.</w:t>
      </w:r>
      <w:r w:rsidRPr="00E17345">
        <w:rPr>
          <w:rFonts w:asciiTheme="minorHAnsi" w:hAnsiTheme="minorHAnsi" w:cstheme="minorHAnsi"/>
          <w:sz w:val="22"/>
        </w:rPr>
        <w:tab/>
        <w:t xml:space="preserve">Monshi MM, </w:t>
      </w:r>
      <w:r w:rsidRPr="00AF5529">
        <w:rPr>
          <w:rFonts w:asciiTheme="minorHAnsi" w:hAnsiTheme="minorHAnsi" w:cstheme="minorHAnsi"/>
          <w:sz w:val="22"/>
        </w:rPr>
        <w:t xml:space="preserve">Faulkner L, Gibson A, Jenkins RE, Farrell J, Earnshaw CJ, </w:t>
      </w:r>
      <w:r w:rsidR="00AF5529" w:rsidRPr="00AF5529">
        <w:rPr>
          <w:rFonts w:asciiTheme="minorHAnsi" w:hAnsiTheme="minorHAnsi" w:cstheme="minorHAnsi"/>
          <w:sz w:val="22"/>
          <w:shd w:val="clear" w:color="auto" w:fill="FFFFFF"/>
        </w:rPr>
        <w:t>Alfirevic A, Cederbrant K, Daly AK, French N, Pirmohamed M, Park BK, Naisbitt DJ</w:t>
      </w:r>
      <w:r w:rsidRPr="00AF5529">
        <w:rPr>
          <w:rFonts w:asciiTheme="minorHAnsi" w:hAnsiTheme="minorHAnsi" w:cstheme="minorHAnsi"/>
          <w:sz w:val="22"/>
        </w:rPr>
        <w:t xml:space="preserve">. Human leukocyte antigen (HLA)-B*57:01-restricted activation of drug-specific T cells provides the immunological </w:t>
      </w:r>
      <w:r w:rsidRPr="00E17345">
        <w:rPr>
          <w:rFonts w:asciiTheme="minorHAnsi" w:hAnsiTheme="minorHAnsi" w:cstheme="minorHAnsi"/>
          <w:sz w:val="22"/>
        </w:rPr>
        <w:t>basis for flucloxacillin-induced liver injury. Hepatology. 2013;57(2):727-39.</w:t>
      </w:r>
    </w:p>
    <w:p w14:paraId="26FD272C" w14:textId="01238DE7" w:rsidR="00C2222D" w:rsidRPr="00E17345" w:rsidRDefault="00C2222D" w:rsidP="00C2222D">
      <w:pPr>
        <w:pStyle w:val="EndNoteBibliography"/>
        <w:spacing w:after="0" w:line="480" w:lineRule="auto"/>
        <w:jc w:val="both"/>
        <w:rPr>
          <w:rFonts w:asciiTheme="minorHAnsi" w:hAnsiTheme="minorHAnsi" w:cstheme="minorHAnsi"/>
          <w:sz w:val="22"/>
        </w:rPr>
      </w:pPr>
      <w:r>
        <w:rPr>
          <w:rFonts w:asciiTheme="minorHAnsi" w:hAnsiTheme="minorHAnsi" w:cstheme="minorHAnsi"/>
          <w:sz w:val="22"/>
        </w:rPr>
        <w:t>6</w:t>
      </w:r>
      <w:r w:rsidRPr="00E17345">
        <w:rPr>
          <w:rFonts w:asciiTheme="minorHAnsi" w:hAnsiTheme="minorHAnsi" w:cstheme="minorHAnsi"/>
          <w:sz w:val="22"/>
        </w:rPr>
        <w:t>.</w:t>
      </w:r>
      <w:r w:rsidRPr="00E17345">
        <w:rPr>
          <w:rFonts w:asciiTheme="minorHAnsi" w:hAnsiTheme="minorHAnsi" w:cstheme="minorHAnsi"/>
          <w:sz w:val="22"/>
        </w:rPr>
        <w:tab/>
        <w:t xml:space="preserve">Kim SH, Saide K, Farrell J, Faulkner L, Tailor A, Ogese </w:t>
      </w:r>
      <w:r w:rsidRPr="00AF5529">
        <w:rPr>
          <w:rFonts w:asciiTheme="minorHAnsi" w:hAnsiTheme="minorHAnsi" w:cstheme="minorHAnsi"/>
          <w:sz w:val="22"/>
        </w:rPr>
        <w:t xml:space="preserve">M, </w:t>
      </w:r>
      <w:r w:rsidR="00AF5529" w:rsidRPr="00AF5529">
        <w:rPr>
          <w:rFonts w:asciiTheme="minorHAnsi" w:hAnsiTheme="minorHAnsi" w:cstheme="minorHAnsi"/>
          <w:sz w:val="22"/>
          <w:shd w:val="clear" w:color="auto" w:fill="FFFFFF"/>
        </w:rPr>
        <w:t>Daly AK, Pirmohamed M, Park BK, Naisbitt DJ</w:t>
      </w:r>
      <w:r w:rsidRPr="00AF5529">
        <w:rPr>
          <w:rFonts w:asciiTheme="minorHAnsi" w:hAnsiTheme="minorHAnsi" w:cstheme="minorHAnsi"/>
          <w:sz w:val="22"/>
        </w:rPr>
        <w:t xml:space="preserve">. </w:t>
      </w:r>
      <w:r w:rsidRPr="00E17345">
        <w:rPr>
          <w:rFonts w:asciiTheme="minorHAnsi" w:hAnsiTheme="minorHAnsi" w:cstheme="minorHAnsi"/>
          <w:sz w:val="22"/>
        </w:rPr>
        <w:t>Characterization of amoxicillin- and clavulanic acid-specific T cells in patients with amoxicillin-clavulanate-induced liver injury. Hepatology. 2015;62(3):887-99.</w:t>
      </w:r>
    </w:p>
    <w:p w14:paraId="58D489A4" w14:textId="35439466" w:rsidR="00C2222D" w:rsidRPr="00E17345" w:rsidRDefault="00C2222D" w:rsidP="00C2222D">
      <w:pPr>
        <w:pStyle w:val="EndNoteBibliography"/>
        <w:spacing w:after="0" w:line="480" w:lineRule="auto"/>
        <w:jc w:val="both"/>
        <w:rPr>
          <w:rFonts w:asciiTheme="minorHAnsi" w:hAnsiTheme="minorHAnsi" w:cstheme="minorHAnsi"/>
          <w:sz w:val="22"/>
        </w:rPr>
      </w:pPr>
      <w:r>
        <w:rPr>
          <w:rFonts w:asciiTheme="minorHAnsi" w:hAnsiTheme="minorHAnsi" w:cstheme="minorHAnsi"/>
          <w:sz w:val="22"/>
        </w:rPr>
        <w:t>7</w:t>
      </w:r>
      <w:r w:rsidRPr="00E17345">
        <w:rPr>
          <w:rFonts w:asciiTheme="minorHAnsi" w:hAnsiTheme="minorHAnsi" w:cstheme="minorHAnsi"/>
          <w:sz w:val="22"/>
        </w:rPr>
        <w:t>.</w:t>
      </w:r>
      <w:r w:rsidRPr="00E17345">
        <w:rPr>
          <w:rFonts w:asciiTheme="minorHAnsi" w:hAnsiTheme="minorHAnsi" w:cstheme="minorHAnsi"/>
          <w:sz w:val="22"/>
        </w:rPr>
        <w:tab/>
        <w:t>Usui T, Meng X, Saide K, Farrell J, Thomson P, Whitaker P</w:t>
      </w:r>
      <w:r w:rsidRPr="00CF24DF">
        <w:rPr>
          <w:rFonts w:asciiTheme="minorHAnsi" w:hAnsiTheme="minorHAnsi" w:cstheme="minorHAnsi"/>
          <w:sz w:val="22"/>
        </w:rPr>
        <w:t xml:space="preserve">, </w:t>
      </w:r>
      <w:r w:rsidR="00CF24DF" w:rsidRPr="00CF24DF">
        <w:rPr>
          <w:rFonts w:asciiTheme="minorHAnsi" w:hAnsiTheme="minorHAnsi" w:cstheme="minorHAnsi"/>
          <w:sz w:val="22"/>
          <w:shd w:val="clear" w:color="auto" w:fill="FFFFFF"/>
        </w:rPr>
        <w:t>Watson J, French NS, Kevin Park B, Naisbitt DJ</w:t>
      </w:r>
      <w:r w:rsidRPr="00CF24DF">
        <w:rPr>
          <w:rFonts w:asciiTheme="minorHAnsi" w:hAnsiTheme="minorHAnsi" w:cstheme="minorHAnsi"/>
          <w:sz w:val="22"/>
        </w:rPr>
        <w:t xml:space="preserve">. </w:t>
      </w:r>
      <w:r w:rsidRPr="00E17345">
        <w:rPr>
          <w:rFonts w:asciiTheme="minorHAnsi" w:hAnsiTheme="minorHAnsi" w:cstheme="minorHAnsi"/>
          <w:sz w:val="22"/>
        </w:rPr>
        <w:t>From the Cover: Characterization of Isoniazid-Specific T-Cell Clones in Patients with anti-Tuberculosis Drug-Related Liver and Skin Injury. Toxicol Sci. 2017;155(2):420-31.</w:t>
      </w:r>
    </w:p>
    <w:p w14:paraId="6CB13D6E" w14:textId="67936E5C" w:rsidR="00C2222D" w:rsidRPr="00E17345" w:rsidRDefault="00C2222D" w:rsidP="00C2222D">
      <w:pPr>
        <w:pStyle w:val="EndNoteBibliography"/>
        <w:spacing w:after="0" w:line="480" w:lineRule="auto"/>
        <w:jc w:val="both"/>
        <w:rPr>
          <w:rFonts w:asciiTheme="minorHAnsi" w:hAnsiTheme="minorHAnsi" w:cstheme="minorHAnsi"/>
          <w:sz w:val="22"/>
        </w:rPr>
      </w:pPr>
      <w:r>
        <w:rPr>
          <w:rFonts w:asciiTheme="minorHAnsi" w:hAnsiTheme="minorHAnsi" w:cstheme="minorHAnsi"/>
          <w:sz w:val="22"/>
        </w:rPr>
        <w:t>8</w:t>
      </w:r>
      <w:r w:rsidRPr="00E17345">
        <w:rPr>
          <w:rFonts w:asciiTheme="minorHAnsi" w:hAnsiTheme="minorHAnsi" w:cstheme="minorHAnsi"/>
          <w:sz w:val="22"/>
        </w:rPr>
        <w:t>.</w:t>
      </w:r>
      <w:r w:rsidRPr="00E17345">
        <w:rPr>
          <w:rFonts w:asciiTheme="minorHAnsi" w:hAnsiTheme="minorHAnsi" w:cstheme="minorHAnsi"/>
          <w:sz w:val="22"/>
        </w:rPr>
        <w:tab/>
        <w:t>Daly AK, Donaldson PT, Bhatnagar P, Shen Y, Pe'er I, Floratos A,</w:t>
      </w:r>
      <w:r w:rsidRPr="00CF24DF">
        <w:rPr>
          <w:rFonts w:asciiTheme="minorHAnsi" w:hAnsiTheme="minorHAnsi" w:cstheme="minorHAnsi"/>
          <w:sz w:val="22"/>
        </w:rPr>
        <w:t xml:space="preserve"> </w:t>
      </w:r>
      <w:r w:rsidR="00CF24DF" w:rsidRPr="00CF24DF">
        <w:rPr>
          <w:rFonts w:asciiTheme="minorHAnsi" w:hAnsiTheme="minorHAnsi" w:cstheme="minorHAnsi"/>
          <w:sz w:val="22"/>
          <w:shd w:val="clear" w:color="auto" w:fill="FFFFFF"/>
        </w:rPr>
        <w:t>Daly MJ, Goldstein DB, John S, Nelson MR, Graham J, Park BK, Dillon JF, Bernal W, Cordell HJ, Pirmohamed M, Aithal GP, Day CP</w:t>
      </w:r>
      <w:r w:rsidRPr="00E17345">
        <w:rPr>
          <w:rFonts w:asciiTheme="minorHAnsi" w:hAnsiTheme="minorHAnsi" w:cstheme="minorHAnsi"/>
          <w:sz w:val="22"/>
        </w:rPr>
        <w:t>. HLA-B*5701 genotype is a major determinant of drug-induced liver injury due to flucloxacillin. Nat Genet. 2009;41(7):816-9.</w:t>
      </w:r>
    </w:p>
    <w:p w14:paraId="668E9188" w14:textId="77777777" w:rsidR="00C2222D" w:rsidRPr="00E17345" w:rsidRDefault="00C2222D" w:rsidP="00C2222D">
      <w:pPr>
        <w:pStyle w:val="EndNoteBibliography"/>
        <w:spacing w:after="0" w:line="480" w:lineRule="auto"/>
        <w:jc w:val="both"/>
        <w:rPr>
          <w:rFonts w:asciiTheme="minorHAnsi" w:hAnsiTheme="minorHAnsi" w:cstheme="minorHAnsi"/>
          <w:sz w:val="22"/>
        </w:rPr>
      </w:pPr>
      <w:r>
        <w:rPr>
          <w:rFonts w:asciiTheme="minorHAnsi" w:hAnsiTheme="minorHAnsi" w:cstheme="minorHAnsi"/>
          <w:sz w:val="22"/>
        </w:rPr>
        <w:lastRenderedPageBreak/>
        <w:t>9</w:t>
      </w:r>
      <w:r w:rsidRPr="00E17345">
        <w:rPr>
          <w:rFonts w:asciiTheme="minorHAnsi" w:hAnsiTheme="minorHAnsi" w:cstheme="minorHAnsi"/>
          <w:sz w:val="22"/>
        </w:rPr>
        <w:t>.</w:t>
      </w:r>
      <w:r w:rsidRPr="00E17345">
        <w:rPr>
          <w:rFonts w:asciiTheme="minorHAnsi" w:hAnsiTheme="minorHAnsi" w:cstheme="minorHAnsi"/>
          <w:sz w:val="22"/>
        </w:rPr>
        <w:tab/>
        <w:t>Hirasawa M, Hagihara K, Abe K, Ando O, Hirayama N. In Silico and In Vitro Analysis of Interaction between Ximelagatran and Human Leukocyte Antigen (HLA)-DRB1*07:01. Int J Mol Sci. 2017;18(4).</w:t>
      </w:r>
    </w:p>
    <w:p w14:paraId="0671EFE4" w14:textId="11062C91" w:rsidR="00C2222D" w:rsidRPr="00E17345" w:rsidRDefault="00C2222D" w:rsidP="00C2222D">
      <w:pPr>
        <w:pStyle w:val="EndNoteBibliography"/>
        <w:spacing w:after="0" w:line="480" w:lineRule="auto"/>
        <w:jc w:val="both"/>
        <w:rPr>
          <w:rFonts w:asciiTheme="minorHAnsi" w:hAnsiTheme="minorHAnsi" w:cstheme="minorHAnsi"/>
          <w:sz w:val="22"/>
        </w:rPr>
      </w:pPr>
      <w:r>
        <w:rPr>
          <w:rFonts w:asciiTheme="minorHAnsi" w:hAnsiTheme="minorHAnsi" w:cstheme="minorHAnsi"/>
          <w:sz w:val="22"/>
        </w:rPr>
        <w:t>10</w:t>
      </w:r>
      <w:r w:rsidRPr="00E17345">
        <w:rPr>
          <w:rFonts w:asciiTheme="minorHAnsi" w:hAnsiTheme="minorHAnsi" w:cstheme="minorHAnsi"/>
          <w:sz w:val="22"/>
        </w:rPr>
        <w:t>.</w:t>
      </w:r>
      <w:r w:rsidRPr="00E17345">
        <w:rPr>
          <w:rFonts w:asciiTheme="minorHAnsi" w:hAnsiTheme="minorHAnsi" w:cstheme="minorHAnsi"/>
          <w:sz w:val="22"/>
        </w:rPr>
        <w:tab/>
        <w:t xml:space="preserve">Singer JB, Lewitzky S, Leroy E, Yang F, Zhao X, Klickstein L, </w:t>
      </w:r>
      <w:r w:rsidR="00CF24DF" w:rsidRPr="00CF24DF">
        <w:rPr>
          <w:rFonts w:asciiTheme="minorHAnsi" w:hAnsiTheme="minorHAnsi" w:cstheme="minorHAnsi"/>
          <w:sz w:val="22"/>
          <w:szCs w:val="21"/>
          <w:shd w:val="clear" w:color="auto" w:fill="FFFFFF"/>
        </w:rPr>
        <w:t>Wright TM, Meyer J, Paulding CA</w:t>
      </w:r>
      <w:r w:rsidRPr="00E17345">
        <w:rPr>
          <w:rFonts w:asciiTheme="minorHAnsi" w:hAnsiTheme="minorHAnsi" w:cstheme="minorHAnsi"/>
          <w:sz w:val="22"/>
        </w:rPr>
        <w:t>. A genome-wide study identifies HLA alleles associated with lumiracoxib-related liver injury. Nat Genet. 2010;42(8):711-4.</w:t>
      </w:r>
    </w:p>
    <w:p w14:paraId="5C0CBD5E" w14:textId="0B62144C" w:rsidR="00C2222D" w:rsidRPr="00E17345" w:rsidRDefault="00C2222D" w:rsidP="00C2222D">
      <w:pPr>
        <w:pStyle w:val="EndNoteBibliography"/>
        <w:spacing w:after="0" w:line="480" w:lineRule="auto"/>
        <w:jc w:val="both"/>
        <w:rPr>
          <w:rFonts w:asciiTheme="minorHAnsi" w:hAnsiTheme="minorHAnsi" w:cstheme="minorHAnsi"/>
          <w:sz w:val="22"/>
        </w:rPr>
      </w:pPr>
      <w:r>
        <w:rPr>
          <w:rFonts w:asciiTheme="minorHAnsi" w:hAnsiTheme="minorHAnsi" w:cstheme="minorHAnsi"/>
          <w:sz w:val="22"/>
        </w:rPr>
        <w:t>11</w:t>
      </w:r>
      <w:r w:rsidRPr="00E17345">
        <w:rPr>
          <w:rFonts w:asciiTheme="minorHAnsi" w:hAnsiTheme="minorHAnsi" w:cstheme="minorHAnsi"/>
          <w:sz w:val="22"/>
        </w:rPr>
        <w:t>.</w:t>
      </w:r>
      <w:r w:rsidRPr="00E17345">
        <w:rPr>
          <w:rFonts w:asciiTheme="minorHAnsi" w:hAnsiTheme="minorHAnsi" w:cstheme="minorHAnsi"/>
          <w:sz w:val="22"/>
        </w:rPr>
        <w:tab/>
        <w:t xml:space="preserve">Konvinse KC, Trubiano JA, Pavlos R, James I, Shaffer CM, Bejan CA, </w:t>
      </w:r>
      <w:r w:rsidR="00CF24DF" w:rsidRPr="00CF24DF">
        <w:rPr>
          <w:rFonts w:asciiTheme="minorHAnsi" w:hAnsiTheme="minorHAnsi" w:cstheme="minorHAnsi"/>
          <w:sz w:val="22"/>
          <w:shd w:val="clear" w:color="auto" w:fill="FFFFFF"/>
        </w:rPr>
        <w:t>Schutte RJ, Ostrov DA, Pilkinton MA, Rosenbach M, Zwerner JP, Williams KB, Bourke J, Martinez P, Rwandamuriye F, Chopra A, Watson M, Redwood AJ, White KD, Mallal SA,</w:t>
      </w:r>
      <w:r w:rsidR="00CF24DF" w:rsidRPr="00CF24DF">
        <w:rPr>
          <w:rFonts w:asciiTheme="minorHAnsi" w:hAnsiTheme="minorHAnsi" w:cstheme="minorHAnsi"/>
          <w:b/>
          <w:bCs/>
          <w:sz w:val="22"/>
          <w:shd w:val="clear" w:color="auto" w:fill="FFFFFF"/>
        </w:rPr>
        <w:t> </w:t>
      </w:r>
      <w:r w:rsidR="00CF24DF" w:rsidRPr="00CF24DF">
        <w:rPr>
          <w:rFonts w:asciiTheme="minorHAnsi" w:hAnsiTheme="minorHAnsi" w:cstheme="minorHAnsi"/>
          <w:bCs/>
          <w:sz w:val="22"/>
          <w:shd w:val="clear" w:color="auto" w:fill="FFFFFF"/>
        </w:rPr>
        <w:t>Phillips EJ.</w:t>
      </w:r>
      <w:r w:rsidR="00CF24DF">
        <w:rPr>
          <w:rFonts w:asciiTheme="minorHAnsi" w:hAnsiTheme="minorHAnsi" w:cstheme="minorHAnsi"/>
          <w:sz w:val="22"/>
        </w:rPr>
        <w:t xml:space="preserve"> </w:t>
      </w:r>
      <w:r w:rsidRPr="00E17345">
        <w:rPr>
          <w:rFonts w:asciiTheme="minorHAnsi" w:hAnsiTheme="minorHAnsi" w:cstheme="minorHAnsi"/>
          <w:sz w:val="22"/>
        </w:rPr>
        <w:t>HLA-A*32:01 is strongly associated with vancomycin-induced drug reaction with eosinophilia and systemic symptoms. J Allergy Clin Immunol. 2019;144(1):183-92.</w:t>
      </w:r>
    </w:p>
    <w:p w14:paraId="6FC99A2F" w14:textId="07A343C6" w:rsidR="00C2222D" w:rsidRPr="00E17345" w:rsidRDefault="00C2222D" w:rsidP="00C2222D">
      <w:pPr>
        <w:pStyle w:val="EndNoteBibliography"/>
        <w:spacing w:after="0" w:line="480" w:lineRule="auto"/>
        <w:jc w:val="both"/>
        <w:rPr>
          <w:rFonts w:asciiTheme="minorHAnsi" w:hAnsiTheme="minorHAnsi" w:cstheme="minorHAnsi"/>
          <w:sz w:val="22"/>
        </w:rPr>
      </w:pPr>
      <w:r w:rsidRPr="00E17345">
        <w:rPr>
          <w:rFonts w:asciiTheme="minorHAnsi" w:hAnsiTheme="minorHAnsi" w:cstheme="minorHAnsi"/>
          <w:sz w:val="22"/>
        </w:rPr>
        <w:t>1</w:t>
      </w:r>
      <w:r>
        <w:rPr>
          <w:rFonts w:asciiTheme="minorHAnsi" w:hAnsiTheme="minorHAnsi" w:cstheme="minorHAnsi"/>
          <w:sz w:val="22"/>
        </w:rPr>
        <w:t>2</w:t>
      </w:r>
      <w:r w:rsidRPr="00E17345">
        <w:rPr>
          <w:rFonts w:asciiTheme="minorHAnsi" w:hAnsiTheme="minorHAnsi" w:cstheme="minorHAnsi"/>
          <w:sz w:val="22"/>
        </w:rPr>
        <w:t>.</w:t>
      </w:r>
      <w:r w:rsidRPr="00E17345">
        <w:rPr>
          <w:rFonts w:asciiTheme="minorHAnsi" w:hAnsiTheme="minorHAnsi" w:cstheme="minorHAnsi"/>
          <w:sz w:val="22"/>
        </w:rPr>
        <w:tab/>
        <w:t xml:space="preserve">Zhang FR, Liu H, Irwanto A, Fu XA, Li Y, Yu GQ, </w:t>
      </w:r>
      <w:r w:rsidR="00CF24DF">
        <w:rPr>
          <w:rFonts w:ascii="Segoe UI" w:hAnsi="Segoe UI" w:cs="Segoe UI"/>
          <w:color w:val="212121"/>
          <w:sz w:val="21"/>
          <w:szCs w:val="21"/>
          <w:shd w:val="clear" w:color="auto" w:fill="FFFFFF"/>
        </w:rPr>
        <w:t>Yu YX,</w:t>
      </w:r>
      <w:r w:rsidR="00CF24DF" w:rsidRPr="00CF24DF">
        <w:rPr>
          <w:rFonts w:asciiTheme="minorHAnsi" w:hAnsiTheme="minorHAnsi" w:cstheme="minorHAnsi"/>
          <w:sz w:val="22"/>
          <w:shd w:val="clear" w:color="auto" w:fill="FFFFFF"/>
        </w:rPr>
        <w:t xml:space="preserve"> Chen MF, Low HQ, Li JH, Bao FF, Foo JN, Bei JX, Jia XM, Liu J, Liany H, Wang N, Niu GY, Wang ZZ, Shi BQ, Tian HQ, Liu HX, Ma SS, Zhou Y, You JB, Yang Q, Wang C, Chu TS, Liu DC, Yu XL, Sun YH, Ning Y, Wei ZH, Chen SL, Chen XC, Zhang ZX, Liu YX, Pulit SL, Wu WB, Zheng ZY, Yang RD, Long H, Liu ZS, Wang JQ, Li M, Zhang LH, Wang H, Wang LM, Xiao P, Li JL, Huang ZM, Huang JX, Li Z, Liu J, Xiong L, Yang J, Wang XD, Yu DB, Lu XM, Zhou GZ, Yan LB, Shen JP, Zhang GC, Zeng YX, de Bakker PI, Chen SM, Liu JJ.</w:t>
      </w:r>
      <w:r w:rsidRPr="00CF24DF">
        <w:rPr>
          <w:rFonts w:asciiTheme="minorHAnsi" w:hAnsiTheme="minorHAnsi" w:cstheme="minorHAnsi"/>
          <w:sz w:val="22"/>
        </w:rPr>
        <w:t xml:space="preserve">. </w:t>
      </w:r>
      <w:r w:rsidRPr="00E17345">
        <w:rPr>
          <w:rFonts w:asciiTheme="minorHAnsi" w:hAnsiTheme="minorHAnsi" w:cstheme="minorHAnsi"/>
          <w:sz w:val="22"/>
        </w:rPr>
        <w:t>HLA-B*13:01 and the dapsone hypersensitivity syndrome. N Engl J Med. 2013;369(17):1620-8.</w:t>
      </w:r>
    </w:p>
    <w:p w14:paraId="242CF184" w14:textId="78E4A905" w:rsidR="00C2222D" w:rsidRPr="00E17345" w:rsidRDefault="00C2222D" w:rsidP="00C2222D">
      <w:pPr>
        <w:pStyle w:val="EndNoteBibliography"/>
        <w:spacing w:after="0" w:line="480" w:lineRule="auto"/>
        <w:jc w:val="both"/>
        <w:rPr>
          <w:rFonts w:asciiTheme="minorHAnsi" w:hAnsiTheme="minorHAnsi" w:cstheme="minorHAnsi"/>
          <w:sz w:val="22"/>
        </w:rPr>
      </w:pPr>
      <w:r w:rsidRPr="00E17345">
        <w:rPr>
          <w:rFonts w:asciiTheme="minorHAnsi" w:hAnsiTheme="minorHAnsi" w:cstheme="minorHAnsi"/>
          <w:sz w:val="22"/>
        </w:rPr>
        <w:t>1</w:t>
      </w:r>
      <w:r>
        <w:rPr>
          <w:rFonts w:asciiTheme="minorHAnsi" w:hAnsiTheme="minorHAnsi" w:cstheme="minorHAnsi"/>
          <w:sz w:val="22"/>
        </w:rPr>
        <w:t>3</w:t>
      </w:r>
      <w:r w:rsidRPr="00E17345">
        <w:rPr>
          <w:rFonts w:asciiTheme="minorHAnsi" w:hAnsiTheme="minorHAnsi" w:cstheme="minorHAnsi"/>
          <w:sz w:val="22"/>
        </w:rPr>
        <w:t>.</w:t>
      </w:r>
      <w:r w:rsidRPr="00E17345">
        <w:rPr>
          <w:rFonts w:asciiTheme="minorHAnsi" w:hAnsiTheme="minorHAnsi" w:cstheme="minorHAnsi"/>
          <w:sz w:val="22"/>
        </w:rPr>
        <w:tab/>
        <w:t>Faulkner L, Gibson A, Sullivan A, Tailor A, Usui T, Alfirevic A,</w:t>
      </w:r>
      <w:r w:rsidRPr="00CF24DF">
        <w:rPr>
          <w:rFonts w:asciiTheme="minorHAnsi" w:hAnsiTheme="minorHAnsi" w:cstheme="minorHAnsi"/>
          <w:sz w:val="22"/>
        </w:rPr>
        <w:t xml:space="preserve"> </w:t>
      </w:r>
      <w:r w:rsidR="00CF24DF" w:rsidRPr="00CF24DF">
        <w:rPr>
          <w:rFonts w:asciiTheme="minorHAnsi" w:hAnsiTheme="minorHAnsi" w:cstheme="minorHAnsi"/>
          <w:sz w:val="22"/>
          <w:shd w:val="clear" w:color="auto" w:fill="FFFFFF"/>
        </w:rPr>
        <w:t>Pirmohamed M, Naisbitt DJ, Kevin Park B.</w:t>
      </w:r>
      <w:r w:rsidRPr="00CF24DF">
        <w:rPr>
          <w:rFonts w:asciiTheme="minorHAnsi" w:hAnsiTheme="minorHAnsi" w:cstheme="minorHAnsi"/>
          <w:sz w:val="22"/>
        </w:rPr>
        <w:t xml:space="preserve">. </w:t>
      </w:r>
      <w:r w:rsidRPr="00E17345">
        <w:rPr>
          <w:rFonts w:asciiTheme="minorHAnsi" w:hAnsiTheme="minorHAnsi" w:cstheme="minorHAnsi"/>
          <w:sz w:val="22"/>
        </w:rPr>
        <w:t>Detection of Primary T Cell Responses to Drugs and Chemicals in HLA-Typed Volunteers: Implications for the Prediction of Drug Immunogenicity. Toxicol Sci. 2016;154(2):416-29.</w:t>
      </w:r>
    </w:p>
    <w:p w14:paraId="086E33E9" w14:textId="0CE13DD8" w:rsidR="00781626" w:rsidRPr="00E17345" w:rsidRDefault="00781626" w:rsidP="00781626">
      <w:pPr>
        <w:pStyle w:val="EndNoteBibliography"/>
        <w:spacing w:after="0" w:line="480" w:lineRule="auto"/>
        <w:jc w:val="both"/>
        <w:rPr>
          <w:rFonts w:asciiTheme="minorHAnsi" w:hAnsiTheme="minorHAnsi" w:cstheme="minorHAnsi"/>
          <w:sz w:val="22"/>
        </w:rPr>
      </w:pPr>
      <w:r>
        <w:rPr>
          <w:rFonts w:asciiTheme="minorHAnsi" w:hAnsiTheme="minorHAnsi" w:cstheme="minorHAnsi"/>
          <w:sz w:val="22"/>
        </w:rPr>
        <w:t>14</w:t>
      </w:r>
      <w:r w:rsidRPr="00E17345">
        <w:rPr>
          <w:rFonts w:asciiTheme="minorHAnsi" w:hAnsiTheme="minorHAnsi" w:cstheme="minorHAnsi"/>
          <w:sz w:val="22"/>
        </w:rPr>
        <w:t>.</w:t>
      </w:r>
      <w:r w:rsidRPr="00E17345">
        <w:rPr>
          <w:rFonts w:asciiTheme="minorHAnsi" w:hAnsiTheme="minorHAnsi" w:cstheme="minorHAnsi"/>
          <w:sz w:val="22"/>
        </w:rPr>
        <w:tab/>
        <w:t xml:space="preserve">Sebastiani S, Allavena P, Albanesi C, Nasorri F, Bianchi G, Traidl C, </w:t>
      </w:r>
      <w:r>
        <w:rPr>
          <w:rFonts w:asciiTheme="minorHAnsi" w:hAnsiTheme="minorHAnsi" w:cstheme="minorHAnsi"/>
          <w:sz w:val="22"/>
        </w:rPr>
        <w:t>Sozzani S, Girolomoni G, Cavani A</w:t>
      </w:r>
      <w:r w:rsidRPr="00E17345">
        <w:rPr>
          <w:rFonts w:asciiTheme="minorHAnsi" w:hAnsiTheme="minorHAnsi" w:cstheme="minorHAnsi"/>
          <w:sz w:val="22"/>
        </w:rPr>
        <w:t>. Chemokine receptor expression and function in CD4+ T lymphocytes with regulatory activity. J Immunol. 2001;166(2):996-1002.</w:t>
      </w:r>
    </w:p>
    <w:p w14:paraId="06CA22F3" w14:textId="13180673" w:rsidR="00781626" w:rsidRPr="00E17345" w:rsidRDefault="00781626" w:rsidP="00781626">
      <w:pPr>
        <w:pStyle w:val="EndNoteBibliography"/>
        <w:spacing w:after="0" w:line="480" w:lineRule="auto"/>
        <w:jc w:val="both"/>
        <w:rPr>
          <w:rFonts w:asciiTheme="minorHAnsi" w:hAnsiTheme="minorHAnsi" w:cstheme="minorHAnsi"/>
          <w:sz w:val="22"/>
        </w:rPr>
      </w:pPr>
      <w:r>
        <w:rPr>
          <w:rFonts w:asciiTheme="minorHAnsi" w:hAnsiTheme="minorHAnsi" w:cstheme="minorHAnsi"/>
          <w:sz w:val="22"/>
        </w:rPr>
        <w:lastRenderedPageBreak/>
        <w:t>15</w:t>
      </w:r>
      <w:r w:rsidRPr="00E17345">
        <w:rPr>
          <w:rFonts w:asciiTheme="minorHAnsi" w:hAnsiTheme="minorHAnsi" w:cstheme="minorHAnsi"/>
          <w:sz w:val="22"/>
        </w:rPr>
        <w:t>.</w:t>
      </w:r>
      <w:r w:rsidRPr="00E17345">
        <w:rPr>
          <w:rFonts w:asciiTheme="minorHAnsi" w:hAnsiTheme="minorHAnsi" w:cstheme="minorHAnsi"/>
          <w:sz w:val="22"/>
        </w:rPr>
        <w:tab/>
        <w:t xml:space="preserve">Bonecchi R, Bianchi G, Bordignon PP, D'Ambrosio D, Lang R, Borsatti A, </w:t>
      </w:r>
      <w:r w:rsidRPr="00835A11">
        <w:rPr>
          <w:rFonts w:asciiTheme="minorHAnsi" w:hAnsiTheme="minorHAnsi" w:cstheme="minorHAnsi"/>
          <w:color w:val="212121"/>
          <w:sz w:val="22"/>
          <w:shd w:val="clear" w:color="auto" w:fill="FFFFFF"/>
        </w:rPr>
        <w:t>Sozzani S, Allavena P, Gray PA, Mantovani A, Sinigaglia F.</w:t>
      </w:r>
      <w:r w:rsidRPr="00E17345">
        <w:rPr>
          <w:rFonts w:asciiTheme="minorHAnsi" w:hAnsiTheme="minorHAnsi" w:cstheme="minorHAnsi"/>
          <w:sz w:val="22"/>
        </w:rPr>
        <w:t xml:space="preserve"> Differential expression of chemokine receptors and chemotactic responsiveness of type 1 T helper cells (Th1s) and Th2s. J Exp Med. 1998;187(1):129-34.</w:t>
      </w:r>
    </w:p>
    <w:p w14:paraId="6B3A12EB" w14:textId="6B52813B" w:rsidR="00C2222D" w:rsidRPr="00E17345" w:rsidRDefault="00C2222D" w:rsidP="00C2222D">
      <w:pPr>
        <w:pStyle w:val="EndNoteBibliography"/>
        <w:spacing w:after="0" w:line="480" w:lineRule="auto"/>
        <w:jc w:val="both"/>
        <w:rPr>
          <w:rFonts w:asciiTheme="minorHAnsi" w:hAnsiTheme="minorHAnsi" w:cstheme="minorHAnsi"/>
          <w:sz w:val="22"/>
        </w:rPr>
      </w:pPr>
      <w:r w:rsidRPr="00E17345">
        <w:rPr>
          <w:rFonts w:asciiTheme="minorHAnsi" w:hAnsiTheme="minorHAnsi" w:cstheme="minorHAnsi"/>
          <w:sz w:val="22"/>
        </w:rPr>
        <w:t>1</w:t>
      </w:r>
      <w:r w:rsidR="00781626">
        <w:rPr>
          <w:rFonts w:asciiTheme="minorHAnsi" w:hAnsiTheme="minorHAnsi" w:cstheme="minorHAnsi"/>
          <w:sz w:val="22"/>
        </w:rPr>
        <w:t>6</w:t>
      </w:r>
      <w:r w:rsidRPr="00E17345">
        <w:rPr>
          <w:rFonts w:asciiTheme="minorHAnsi" w:hAnsiTheme="minorHAnsi" w:cstheme="minorHAnsi"/>
          <w:sz w:val="22"/>
        </w:rPr>
        <w:t>.</w:t>
      </w:r>
      <w:r w:rsidRPr="00E17345">
        <w:rPr>
          <w:rFonts w:asciiTheme="minorHAnsi" w:hAnsiTheme="minorHAnsi" w:cstheme="minorHAnsi"/>
          <w:sz w:val="22"/>
        </w:rPr>
        <w:tab/>
        <w:t>Nicoletti P, Aithal GP, Bjornsson ES, Andrade RJ, Sawle A, Arrese M,</w:t>
      </w:r>
      <w:r w:rsidRPr="00CF24DF">
        <w:rPr>
          <w:rFonts w:asciiTheme="minorHAnsi" w:hAnsiTheme="minorHAnsi" w:cstheme="minorHAnsi"/>
          <w:sz w:val="24"/>
        </w:rPr>
        <w:t xml:space="preserve"> </w:t>
      </w:r>
      <w:r w:rsidR="00CF24DF" w:rsidRPr="00CF24DF">
        <w:rPr>
          <w:rFonts w:asciiTheme="minorHAnsi" w:hAnsiTheme="minorHAnsi" w:cstheme="minorHAnsi"/>
          <w:sz w:val="22"/>
          <w:szCs w:val="21"/>
          <w:shd w:val="clear" w:color="auto" w:fill="FFFFFF"/>
        </w:rPr>
        <w:t>Barnhart HX, Bondon-Guitton E, Hayashi PH, Bessone F, Carvajal A, Cascorbi I, Cirulli ET, Chalasani N, Conforti A, Coulthard SA, Daly MJ, Day CP, Dillon JF, Fontana RJ, Grove JI, Hallberg P, Hernández N, Ibáñez L, Kullak-Ublick GA, Laitinen T, Larrey D, Lucena MI, Maitland-van der Zee AH, Martin JH, Molokhia M, Pirmohamed M, Powell EE, Qin S, Serrano J, Stephens C, Stolz A, Wadelius M, Watkins PB, Floratos A, Shen Y, Nelson MR, Urban TJ, Daly AK</w:t>
      </w:r>
      <w:r w:rsidRPr="00E17345">
        <w:rPr>
          <w:rFonts w:asciiTheme="minorHAnsi" w:hAnsiTheme="minorHAnsi" w:cstheme="minorHAnsi"/>
          <w:sz w:val="22"/>
        </w:rPr>
        <w:t>. Association of Liver Injury From Specific Drugs, or Groups of Drugs, With Polymorphisms in HLA and Other Genes in a Genome-Wide Association Study. Gastroenterology. 2017;152(5):1078-89.</w:t>
      </w:r>
    </w:p>
    <w:p w14:paraId="2DF4A387" w14:textId="57CBF208" w:rsidR="00C2222D" w:rsidRPr="00E17345" w:rsidRDefault="00C2222D" w:rsidP="00C2222D">
      <w:pPr>
        <w:pStyle w:val="EndNoteBibliography"/>
        <w:spacing w:after="0" w:line="480" w:lineRule="auto"/>
        <w:jc w:val="both"/>
        <w:rPr>
          <w:rFonts w:asciiTheme="minorHAnsi" w:hAnsiTheme="minorHAnsi" w:cstheme="minorHAnsi"/>
          <w:sz w:val="22"/>
        </w:rPr>
      </w:pPr>
      <w:r w:rsidRPr="00E17345">
        <w:rPr>
          <w:rFonts w:asciiTheme="minorHAnsi" w:hAnsiTheme="minorHAnsi" w:cstheme="minorHAnsi"/>
          <w:sz w:val="22"/>
        </w:rPr>
        <w:t>1</w:t>
      </w:r>
      <w:r w:rsidR="00781626">
        <w:rPr>
          <w:rFonts w:asciiTheme="minorHAnsi" w:hAnsiTheme="minorHAnsi" w:cstheme="minorHAnsi"/>
          <w:sz w:val="22"/>
        </w:rPr>
        <w:t>7</w:t>
      </w:r>
      <w:r w:rsidRPr="00E17345">
        <w:rPr>
          <w:rFonts w:asciiTheme="minorHAnsi" w:hAnsiTheme="minorHAnsi" w:cstheme="minorHAnsi"/>
          <w:sz w:val="22"/>
        </w:rPr>
        <w:t>.</w:t>
      </w:r>
      <w:r w:rsidRPr="00E17345">
        <w:rPr>
          <w:rFonts w:asciiTheme="minorHAnsi" w:hAnsiTheme="minorHAnsi" w:cstheme="minorHAnsi"/>
          <w:sz w:val="22"/>
        </w:rPr>
        <w:tab/>
        <w:t xml:space="preserve">Lucena MI, Molokhia M, Shen Y, Urban TJ, Aithal GP, Andrade RJ, </w:t>
      </w:r>
      <w:r w:rsidR="00CF24DF" w:rsidRPr="00CF24DF">
        <w:rPr>
          <w:rFonts w:asciiTheme="minorHAnsi" w:hAnsiTheme="minorHAnsi" w:cstheme="minorHAnsi"/>
          <w:sz w:val="22"/>
          <w:szCs w:val="21"/>
          <w:shd w:val="clear" w:color="auto" w:fill="FFFFFF"/>
        </w:rPr>
        <w:t>Day CP, Ruiz-Cabello F, Donaldson PT, Stephens C, Pirmohamed M, Romero-Gomez M, Navarro JM, Fontana RJ, Miller M, Groome M, Bondon-Guitton E, Conforti A, Stricker BH, Carvajal A, Ibanez L, Yue QY, Eichelbaum M, Floratos A, Pe'er I, Daly MJ, Goldstein DB, Dillon JF, Nelson MR, Watkins PB, Daly AK</w:t>
      </w:r>
      <w:r w:rsidRPr="00E17345">
        <w:rPr>
          <w:rFonts w:asciiTheme="minorHAnsi" w:hAnsiTheme="minorHAnsi" w:cstheme="minorHAnsi"/>
          <w:sz w:val="22"/>
        </w:rPr>
        <w:t>. Susceptibility to amoxicillin-clavulanate-induced liver injury is influenced by multiple HLA class I and II alleles. Gastroenterology. 2011;141(1):338-47.</w:t>
      </w:r>
    </w:p>
    <w:p w14:paraId="1D324A16" w14:textId="0BAB8A77" w:rsidR="00C2222D" w:rsidRPr="00E17345" w:rsidRDefault="00C2222D" w:rsidP="00C2222D">
      <w:pPr>
        <w:pStyle w:val="EndNoteBibliography"/>
        <w:spacing w:after="0" w:line="480" w:lineRule="auto"/>
        <w:jc w:val="both"/>
        <w:rPr>
          <w:rFonts w:asciiTheme="minorHAnsi" w:hAnsiTheme="minorHAnsi" w:cstheme="minorHAnsi"/>
          <w:sz w:val="22"/>
        </w:rPr>
      </w:pPr>
      <w:r w:rsidRPr="00E17345">
        <w:rPr>
          <w:rFonts w:asciiTheme="minorHAnsi" w:hAnsiTheme="minorHAnsi" w:cstheme="minorHAnsi"/>
          <w:sz w:val="22"/>
        </w:rPr>
        <w:t>1</w:t>
      </w:r>
      <w:r w:rsidR="00781626">
        <w:rPr>
          <w:rFonts w:asciiTheme="minorHAnsi" w:hAnsiTheme="minorHAnsi" w:cstheme="minorHAnsi"/>
          <w:sz w:val="22"/>
        </w:rPr>
        <w:t>8</w:t>
      </w:r>
      <w:r w:rsidRPr="00E17345">
        <w:rPr>
          <w:rFonts w:asciiTheme="minorHAnsi" w:hAnsiTheme="minorHAnsi" w:cstheme="minorHAnsi"/>
          <w:sz w:val="22"/>
        </w:rPr>
        <w:t>.</w:t>
      </w:r>
      <w:r w:rsidRPr="00E17345">
        <w:rPr>
          <w:rFonts w:asciiTheme="minorHAnsi" w:hAnsiTheme="minorHAnsi" w:cstheme="minorHAnsi"/>
          <w:sz w:val="22"/>
        </w:rPr>
        <w:tab/>
        <w:t xml:space="preserve">Urban TJ, Nicoletti P, Chalasani N, Serrano J, Stolz A, Daly AK, </w:t>
      </w:r>
      <w:r w:rsidR="00CF24DF" w:rsidRPr="00CF24DF">
        <w:rPr>
          <w:rFonts w:asciiTheme="minorHAnsi" w:hAnsiTheme="minorHAnsi" w:cstheme="minorHAnsi"/>
          <w:sz w:val="22"/>
          <w:shd w:val="clear" w:color="auto" w:fill="FFFFFF"/>
        </w:rPr>
        <w:t>Aithal GP, Dillon J, Navarro V, Odin J, Barnhart H, Ostrov D, Long N, Cirulli ET, Watkins PB, Fontana RJ;</w:t>
      </w:r>
      <w:r w:rsidRPr="00CF24DF">
        <w:rPr>
          <w:rFonts w:asciiTheme="minorHAnsi" w:hAnsiTheme="minorHAnsi" w:cstheme="minorHAnsi"/>
          <w:sz w:val="22"/>
        </w:rPr>
        <w:t xml:space="preserve">. </w:t>
      </w:r>
      <w:r w:rsidRPr="00E17345">
        <w:rPr>
          <w:rFonts w:asciiTheme="minorHAnsi" w:hAnsiTheme="minorHAnsi" w:cstheme="minorHAnsi"/>
          <w:sz w:val="22"/>
        </w:rPr>
        <w:t>Minocycline hepatotoxicity: Clinical characterization and identification of HLA-B *35:02 as a risk factor. J Hepatol. 2017;67(1):137-44.</w:t>
      </w:r>
    </w:p>
    <w:p w14:paraId="2D50F1E1" w14:textId="36D9B60D" w:rsidR="00C2222D" w:rsidRPr="00E17345" w:rsidRDefault="00C2222D" w:rsidP="00C2222D">
      <w:pPr>
        <w:pStyle w:val="EndNoteBibliography"/>
        <w:spacing w:after="0" w:line="480" w:lineRule="auto"/>
        <w:jc w:val="both"/>
        <w:rPr>
          <w:rFonts w:asciiTheme="minorHAnsi" w:hAnsiTheme="minorHAnsi" w:cstheme="minorHAnsi"/>
          <w:sz w:val="22"/>
        </w:rPr>
      </w:pPr>
      <w:r>
        <w:rPr>
          <w:rFonts w:asciiTheme="minorHAnsi" w:hAnsiTheme="minorHAnsi" w:cstheme="minorHAnsi"/>
          <w:sz w:val="22"/>
        </w:rPr>
        <w:t>1</w:t>
      </w:r>
      <w:r w:rsidR="00781626">
        <w:rPr>
          <w:rFonts w:asciiTheme="minorHAnsi" w:hAnsiTheme="minorHAnsi" w:cstheme="minorHAnsi"/>
          <w:sz w:val="22"/>
        </w:rPr>
        <w:t>9</w:t>
      </w:r>
      <w:r w:rsidRPr="00E17345">
        <w:rPr>
          <w:rFonts w:asciiTheme="minorHAnsi" w:hAnsiTheme="minorHAnsi" w:cstheme="minorHAnsi"/>
          <w:sz w:val="22"/>
        </w:rPr>
        <w:t>.</w:t>
      </w:r>
      <w:r w:rsidRPr="00E17345">
        <w:rPr>
          <w:rFonts w:asciiTheme="minorHAnsi" w:hAnsiTheme="minorHAnsi" w:cstheme="minorHAnsi"/>
          <w:sz w:val="22"/>
        </w:rPr>
        <w:tab/>
        <w:t xml:space="preserve">Mennicke M, Zawodniak A, Keller M, Wilkens L, Yawalkar N, Stickel F, </w:t>
      </w:r>
      <w:r w:rsidR="00CF24DF" w:rsidRPr="00CF24DF">
        <w:rPr>
          <w:rFonts w:asciiTheme="minorHAnsi" w:hAnsiTheme="minorHAnsi" w:cstheme="minorHAnsi"/>
          <w:sz w:val="22"/>
          <w:shd w:val="clear" w:color="auto" w:fill="FFFFFF"/>
        </w:rPr>
        <w:t>Keogh A, Inderbitzin D, Candinas D,</w:t>
      </w:r>
      <w:r w:rsidR="00CF24DF" w:rsidRPr="00CF24DF">
        <w:rPr>
          <w:rFonts w:asciiTheme="minorHAnsi" w:hAnsiTheme="minorHAnsi" w:cstheme="minorHAnsi"/>
          <w:bCs/>
          <w:sz w:val="22"/>
          <w:shd w:val="clear" w:color="auto" w:fill="FFFFFF"/>
        </w:rPr>
        <w:t> Pichler WJ.</w:t>
      </w:r>
      <w:r w:rsidRPr="00CF24DF">
        <w:rPr>
          <w:rFonts w:asciiTheme="minorHAnsi" w:hAnsiTheme="minorHAnsi" w:cstheme="minorHAnsi"/>
          <w:sz w:val="22"/>
        </w:rPr>
        <w:t xml:space="preserve"> </w:t>
      </w:r>
      <w:r w:rsidRPr="00E17345">
        <w:rPr>
          <w:rFonts w:asciiTheme="minorHAnsi" w:hAnsiTheme="minorHAnsi" w:cstheme="minorHAnsi"/>
          <w:sz w:val="22"/>
        </w:rPr>
        <w:t>Fulminant liver failure after vancomycin in a sulfasalazine-induced DRESS syndrome: fatal recurrence after liver transplantation. Am J Transplant. 2009;9(9):2197-202.</w:t>
      </w:r>
    </w:p>
    <w:p w14:paraId="155C0DF2" w14:textId="25BE28EE" w:rsidR="00C2222D" w:rsidRPr="00E17345" w:rsidRDefault="00781626" w:rsidP="00C2222D">
      <w:pPr>
        <w:pStyle w:val="EndNoteBibliography"/>
        <w:spacing w:after="0" w:line="480" w:lineRule="auto"/>
        <w:jc w:val="both"/>
        <w:rPr>
          <w:rFonts w:asciiTheme="minorHAnsi" w:hAnsiTheme="minorHAnsi" w:cstheme="minorHAnsi"/>
          <w:sz w:val="22"/>
        </w:rPr>
      </w:pPr>
      <w:r>
        <w:rPr>
          <w:rFonts w:asciiTheme="minorHAnsi" w:hAnsiTheme="minorHAnsi" w:cstheme="minorHAnsi"/>
          <w:sz w:val="22"/>
        </w:rPr>
        <w:lastRenderedPageBreak/>
        <w:t>20</w:t>
      </w:r>
      <w:r w:rsidR="00C2222D" w:rsidRPr="00E17345">
        <w:rPr>
          <w:rFonts w:asciiTheme="minorHAnsi" w:hAnsiTheme="minorHAnsi" w:cstheme="minorHAnsi"/>
          <w:sz w:val="22"/>
        </w:rPr>
        <w:t>.</w:t>
      </w:r>
      <w:r w:rsidR="00C2222D" w:rsidRPr="00E17345">
        <w:rPr>
          <w:rFonts w:asciiTheme="minorHAnsi" w:hAnsiTheme="minorHAnsi" w:cstheme="minorHAnsi"/>
          <w:sz w:val="22"/>
        </w:rPr>
        <w:tab/>
        <w:t xml:space="preserve">Wuillemin N, Terracciano L, Beltraminelli H, Schlapbach C, Fontana S, Krahenbuhl S, </w:t>
      </w:r>
      <w:r w:rsidR="00CF24DF">
        <w:rPr>
          <w:rFonts w:asciiTheme="minorHAnsi" w:hAnsiTheme="minorHAnsi" w:cstheme="minorHAnsi"/>
          <w:sz w:val="22"/>
        </w:rPr>
        <w:t>Pichler WJ, Yerly D</w:t>
      </w:r>
      <w:r w:rsidR="00C2222D" w:rsidRPr="00E17345">
        <w:rPr>
          <w:rFonts w:asciiTheme="minorHAnsi" w:hAnsiTheme="minorHAnsi" w:cstheme="minorHAnsi"/>
          <w:sz w:val="22"/>
        </w:rPr>
        <w:t>. T Cells Infiltrate the Liver and Kill Hepatocytes in HLA-B(*)57:01-Associated Floxacillin-Induced Liver Injury. Am J Pathol. 2014;184(6):1677-82.</w:t>
      </w:r>
    </w:p>
    <w:p w14:paraId="00ABE77B" w14:textId="7969E604" w:rsidR="00C2222D" w:rsidRPr="00E17345" w:rsidRDefault="00C2222D" w:rsidP="00C2222D">
      <w:pPr>
        <w:pStyle w:val="EndNoteBibliography"/>
        <w:spacing w:after="0" w:line="480" w:lineRule="auto"/>
        <w:jc w:val="both"/>
        <w:rPr>
          <w:rFonts w:asciiTheme="minorHAnsi" w:hAnsiTheme="minorHAnsi" w:cstheme="minorHAnsi"/>
          <w:sz w:val="22"/>
        </w:rPr>
      </w:pPr>
      <w:r w:rsidRPr="00E17345">
        <w:rPr>
          <w:rFonts w:asciiTheme="minorHAnsi" w:hAnsiTheme="minorHAnsi" w:cstheme="minorHAnsi"/>
          <w:sz w:val="22"/>
        </w:rPr>
        <w:t>21.</w:t>
      </w:r>
      <w:r w:rsidRPr="00E17345">
        <w:rPr>
          <w:rFonts w:asciiTheme="minorHAnsi" w:hAnsiTheme="minorHAnsi" w:cstheme="minorHAnsi"/>
          <w:sz w:val="22"/>
        </w:rPr>
        <w:tab/>
        <w:t xml:space="preserve">Meng X, Al-Attar Z, Yaseen FS, Jenkins R, Earnshaw C, Whitaker P, </w:t>
      </w:r>
      <w:r w:rsidR="00CF24DF" w:rsidRPr="00CF24DF">
        <w:rPr>
          <w:rFonts w:asciiTheme="minorHAnsi" w:hAnsiTheme="minorHAnsi" w:cstheme="minorHAnsi"/>
          <w:sz w:val="22"/>
          <w:shd w:val="clear" w:color="auto" w:fill="FFFFFF"/>
        </w:rPr>
        <w:t>Peckham D, French NS, Naisbitt DJ, Park BK.</w:t>
      </w:r>
      <w:r w:rsidRPr="00CF24DF">
        <w:rPr>
          <w:rFonts w:asciiTheme="minorHAnsi" w:hAnsiTheme="minorHAnsi" w:cstheme="minorHAnsi"/>
          <w:sz w:val="22"/>
        </w:rPr>
        <w:t xml:space="preserve"> </w:t>
      </w:r>
      <w:r w:rsidRPr="00E17345">
        <w:rPr>
          <w:rFonts w:asciiTheme="minorHAnsi" w:hAnsiTheme="minorHAnsi" w:cstheme="minorHAnsi"/>
          <w:sz w:val="22"/>
        </w:rPr>
        <w:t>Definition of the Nature and Hapten Threshold of the beta-Lactam Antigen Required for T Cell Activation In Vitro and in Patients. J Immunol. 2017;198(11):4217-27.</w:t>
      </w:r>
    </w:p>
    <w:p w14:paraId="5DDC0D9B" w14:textId="2D5922F7" w:rsidR="00C2222D" w:rsidRPr="00E17345" w:rsidRDefault="00C2222D" w:rsidP="00C2222D">
      <w:pPr>
        <w:pStyle w:val="EndNoteBibliography"/>
        <w:spacing w:after="0" w:line="480" w:lineRule="auto"/>
        <w:jc w:val="both"/>
        <w:rPr>
          <w:rFonts w:asciiTheme="minorHAnsi" w:hAnsiTheme="minorHAnsi" w:cstheme="minorHAnsi"/>
          <w:sz w:val="22"/>
        </w:rPr>
      </w:pPr>
      <w:r w:rsidRPr="00E17345">
        <w:rPr>
          <w:rFonts w:asciiTheme="minorHAnsi" w:hAnsiTheme="minorHAnsi" w:cstheme="minorHAnsi"/>
          <w:sz w:val="22"/>
        </w:rPr>
        <w:t>22.</w:t>
      </w:r>
      <w:r w:rsidRPr="00E17345">
        <w:rPr>
          <w:rFonts w:asciiTheme="minorHAnsi" w:hAnsiTheme="minorHAnsi" w:cstheme="minorHAnsi"/>
          <w:sz w:val="22"/>
        </w:rPr>
        <w:tab/>
        <w:t>Jenkins RE, Meng X, Elliott VL, Kitteringham NR, Pirmohamed M, Park BK. Characterisation of flucloxacillin and 5-hydroxymethyl flucloxacillin haptenated HSA in vitro and in vivo. Proteomics Clin Appl. 2009;3(6):720-9.</w:t>
      </w:r>
    </w:p>
    <w:p w14:paraId="5E02EECA" w14:textId="51833A51" w:rsidR="00C2222D" w:rsidRPr="00E17345" w:rsidRDefault="00C2222D" w:rsidP="00C2222D">
      <w:pPr>
        <w:pStyle w:val="EndNoteBibliography"/>
        <w:spacing w:after="0" w:line="480" w:lineRule="auto"/>
        <w:jc w:val="both"/>
        <w:rPr>
          <w:rFonts w:asciiTheme="minorHAnsi" w:hAnsiTheme="minorHAnsi" w:cstheme="minorHAnsi"/>
          <w:sz w:val="22"/>
        </w:rPr>
      </w:pPr>
      <w:r w:rsidRPr="00E17345">
        <w:rPr>
          <w:rFonts w:asciiTheme="minorHAnsi" w:hAnsiTheme="minorHAnsi" w:cstheme="minorHAnsi"/>
          <w:sz w:val="22"/>
        </w:rPr>
        <w:t>23.</w:t>
      </w:r>
      <w:r w:rsidRPr="00E17345">
        <w:rPr>
          <w:rFonts w:asciiTheme="minorHAnsi" w:hAnsiTheme="minorHAnsi" w:cstheme="minorHAnsi"/>
          <w:sz w:val="22"/>
        </w:rPr>
        <w:tab/>
        <w:t>Bechara R, Maillere B, Joseph D, Weaver RJ, Pallardy M. Identification and characterization of a naive CD8+ T cell repertoire for benzylpenicillin. Clin Exp Allergy. 2019;49(5):636-43.</w:t>
      </w:r>
    </w:p>
    <w:p w14:paraId="318FADE0" w14:textId="0AB2AEB9" w:rsidR="00C2222D" w:rsidRPr="00E17345" w:rsidRDefault="00C2222D" w:rsidP="00C2222D">
      <w:pPr>
        <w:pStyle w:val="EndNoteBibliography"/>
        <w:spacing w:after="0" w:line="480" w:lineRule="auto"/>
        <w:jc w:val="both"/>
        <w:rPr>
          <w:rFonts w:asciiTheme="minorHAnsi" w:hAnsiTheme="minorHAnsi" w:cstheme="minorHAnsi"/>
          <w:sz w:val="22"/>
        </w:rPr>
      </w:pPr>
      <w:r w:rsidRPr="00E17345">
        <w:rPr>
          <w:rFonts w:asciiTheme="minorHAnsi" w:hAnsiTheme="minorHAnsi" w:cstheme="minorHAnsi"/>
          <w:sz w:val="22"/>
        </w:rPr>
        <w:t>24.</w:t>
      </w:r>
      <w:r w:rsidRPr="00E17345">
        <w:rPr>
          <w:rFonts w:asciiTheme="minorHAnsi" w:hAnsiTheme="minorHAnsi" w:cstheme="minorHAnsi"/>
          <w:sz w:val="22"/>
        </w:rPr>
        <w:tab/>
        <w:t>Azoury ME, Fili L, Bechara R, Scornet N, de Chaisemartin L, Weaver RJ,</w:t>
      </w:r>
      <w:r w:rsidRPr="00835A11">
        <w:rPr>
          <w:rFonts w:asciiTheme="minorHAnsi" w:hAnsiTheme="minorHAnsi" w:cstheme="minorHAnsi"/>
          <w:sz w:val="22"/>
        </w:rPr>
        <w:t xml:space="preserve"> </w:t>
      </w:r>
      <w:r w:rsidR="00835A11" w:rsidRPr="00835A11">
        <w:rPr>
          <w:rFonts w:asciiTheme="minorHAnsi" w:hAnsiTheme="minorHAnsi" w:cstheme="minorHAnsi"/>
          <w:sz w:val="22"/>
          <w:shd w:val="clear" w:color="auto" w:fill="FFFFFF"/>
        </w:rPr>
        <w:t>Claude N, Maillere B, Parronchi P, Joseph D, Pallardy M.</w:t>
      </w:r>
      <w:r w:rsidRPr="00835A11">
        <w:rPr>
          <w:rFonts w:asciiTheme="minorHAnsi" w:hAnsiTheme="minorHAnsi" w:cstheme="minorHAnsi"/>
          <w:sz w:val="22"/>
        </w:rPr>
        <w:t xml:space="preserve">. </w:t>
      </w:r>
      <w:r w:rsidRPr="00E17345">
        <w:rPr>
          <w:rFonts w:asciiTheme="minorHAnsi" w:hAnsiTheme="minorHAnsi" w:cstheme="minorHAnsi"/>
          <w:sz w:val="22"/>
        </w:rPr>
        <w:t>Identification of T-cell epitopes from benzylpenicillin conjugated to human serum albumin and implication in penicillin allergy. Allergy. 2018;73(8):1662-72.</w:t>
      </w:r>
    </w:p>
    <w:p w14:paraId="700E32D4" w14:textId="667B5728" w:rsidR="00C2222D" w:rsidRPr="00E17345" w:rsidRDefault="00C2222D" w:rsidP="00C2222D">
      <w:pPr>
        <w:pStyle w:val="EndNoteBibliography"/>
        <w:spacing w:after="0" w:line="480" w:lineRule="auto"/>
        <w:jc w:val="both"/>
        <w:rPr>
          <w:rFonts w:asciiTheme="minorHAnsi" w:hAnsiTheme="minorHAnsi" w:cstheme="minorHAnsi"/>
          <w:sz w:val="22"/>
        </w:rPr>
      </w:pPr>
      <w:r w:rsidRPr="00E17345">
        <w:rPr>
          <w:rFonts w:asciiTheme="minorHAnsi" w:hAnsiTheme="minorHAnsi" w:cstheme="minorHAnsi"/>
          <w:sz w:val="22"/>
        </w:rPr>
        <w:t>25.</w:t>
      </w:r>
      <w:r w:rsidRPr="00E17345">
        <w:rPr>
          <w:rFonts w:asciiTheme="minorHAnsi" w:hAnsiTheme="minorHAnsi" w:cstheme="minorHAnsi"/>
          <w:sz w:val="22"/>
        </w:rPr>
        <w:tab/>
        <w:t xml:space="preserve">Scornet N, Delarue-Cochin S, Azoury ME, Le Mignon M, </w:t>
      </w:r>
      <w:r w:rsidRPr="00835A11">
        <w:rPr>
          <w:rFonts w:asciiTheme="minorHAnsi" w:hAnsiTheme="minorHAnsi" w:cstheme="minorHAnsi"/>
          <w:sz w:val="22"/>
        </w:rPr>
        <w:t xml:space="preserve">Chemelle JA, Nony E, </w:t>
      </w:r>
      <w:r w:rsidR="00835A11" w:rsidRPr="00835A11">
        <w:rPr>
          <w:rFonts w:asciiTheme="minorHAnsi" w:hAnsiTheme="minorHAnsi" w:cstheme="minorHAnsi"/>
          <w:color w:val="212121"/>
          <w:sz w:val="22"/>
          <w:shd w:val="clear" w:color="auto" w:fill="FFFFFF"/>
        </w:rPr>
        <w:t>Maillère B, Terreux R, Pallardy M, Joseph D.</w:t>
      </w:r>
      <w:r w:rsidRPr="00835A11">
        <w:rPr>
          <w:rFonts w:asciiTheme="minorHAnsi" w:hAnsiTheme="minorHAnsi" w:cstheme="minorHAnsi"/>
          <w:sz w:val="22"/>
        </w:rPr>
        <w:t>.</w:t>
      </w:r>
      <w:r w:rsidRPr="00E17345">
        <w:rPr>
          <w:rFonts w:asciiTheme="minorHAnsi" w:hAnsiTheme="minorHAnsi" w:cstheme="minorHAnsi"/>
          <w:sz w:val="22"/>
        </w:rPr>
        <w:t xml:space="preserve"> Bioinspired Design and Oriented Synthesis of Immunogenic Site-Specifically Penicilloylated Peptides. Bioconjug Chem. 2016;27(11):2629-45.</w:t>
      </w:r>
    </w:p>
    <w:p w14:paraId="096F73B1" w14:textId="77777777" w:rsidR="005779DE" w:rsidRPr="00E17345" w:rsidRDefault="005779DE" w:rsidP="005779DE">
      <w:pPr>
        <w:pStyle w:val="EndNoteBibliography"/>
        <w:spacing w:after="0" w:line="480" w:lineRule="auto"/>
        <w:jc w:val="both"/>
        <w:rPr>
          <w:rFonts w:asciiTheme="minorHAnsi" w:hAnsiTheme="minorHAnsi" w:cstheme="minorHAnsi"/>
          <w:sz w:val="22"/>
        </w:rPr>
      </w:pPr>
      <w:r w:rsidRPr="00E17345">
        <w:rPr>
          <w:rFonts w:asciiTheme="minorHAnsi" w:hAnsiTheme="minorHAnsi" w:cstheme="minorHAnsi"/>
          <w:sz w:val="22"/>
        </w:rPr>
        <w:t>2</w:t>
      </w:r>
      <w:r>
        <w:rPr>
          <w:rFonts w:asciiTheme="minorHAnsi" w:hAnsiTheme="minorHAnsi" w:cstheme="minorHAnsi"/>
          <w:sz w:val="22"/>
        </w:rPr>
        <w:t>6</w:t>
      </w:r>
      <w:r w:rsidRPr="00E17345">
        <w:rPr>
          <w:rFonts w:asciiTheme="minorHAnsi" w:hAnsiTheme="minorHAnsi" w:cstheme="minorHAnsi"/>
          <w:sz w:val="22"/>
        </w:rPr>
        <w:t>.</w:t>
      </w:r>
      <w:r w:rsidRPr="00E17345">
        <w:rPr>
          <w:rFonts w:asciiTheme="minorHAnsi" w:hAnsiTheme="minorHAnsi" w:cstheme="minorHAnsi"/>
          <w:sz w:val="22"/>
        </w:rPr>
        <w:tab/>
        <w:t>Timmers M, Streffer JR, Russu A, Tominaga Y, Shimizu H, Shir</w:t>
      </w:r>
      <w:r w:rsidRPr="00835A11">
        <w:rPr>
          <w:rFonts w:asciiTheme="minorHAnsi" w:hAnsiTheme="minorHAnsi" w:cstheme="minorHAnsi"/>
          <w:sz w:val="22"/>
        </w:rPr>
        <w:t xml:space="preserve">aishi A, </w:t>
      </w:r>
      <w:r w:rsidRPr="00835A11">
        <w:rPr>
          <w:rFonts w:asciiTheme="minorHAnsi" w:hAnsiTheme="minorHAnsi" w:cstheme="minorHAnsi"/>
          <w:sz w:val="22"/>
          <w:shd w:val="clear" w:color="auto" w:fill="FFFFFF"/>
        </w:rPr>
        <w:t>Tatikola K, Smekens P, Börjesson-Hanson A, Andreasen N, Matias-Guiu J, Baquero M, Boada M, Tesseur I, Tritsmans L, Van Nueten L, Engelborghs S.</w:t>
      </w:r>
      <w:r w:rsidRPr="00835A11">
        <w:rPr>
          <w:rFonts w:asciiTheme="minorHAnsi" w:hAnsiTheme="minorHAnsi" w:cstheme="minorHAnsi"/>
          <w:sz w:val="22"/>
        </w:rPr>
        <w:t xml:space="preserve"> </w:t>
      </w:r>
      <w:r w:rsidRPr="00E17345">
        <w:rPr>
          <w:rFonts w:asciiTheme="minorHAnsi" w:hAnsiTheme="minorHAnsi" w:cstheme="minorHAnsi"/>
          <w:sz w:val="22"/>
        </w:rPr>
        <w:t>Pharmacodynamics of atabecestat (JNJ-54861911), an oral BACE1 inhibitor in patients with early Alzheimer's disease: randomized, double-blind, placebo-controlled study. Alzheimers Res Ther. 2018;10(1):85.</w:t>
      </w:r>
    </w:p>
    <w:p w14:paraId="6BC0E1A7" w14:textId="06322BCC" w:rsidR="00C2222D" w:rsidRPr="00E17345" w:rsidRDefault="00886BED" w:rsidP="00C2222D">
      <w:pPr>
        <w:pStyle w:val="EndNoteBibliography"/>
        <w:spacing w:after="0" w:line="480" w:lineRule="auto"/>
        <w:jc w:val="both"/>
        <w:rPr>
          <w:rFonts w:asciiTheme="minorHAnsi" w:hAnsiTheme="minorHAnsi" w:cstheme="minorHAnsi"/>
          <w:sz w:val="22"/>
        </w:rPr>
      </w:pPr>
      <w:r w:rsidRPr="00E17345">
        <w:rPr>
          <w:rFonts w:asciiTheme="minorHAnsi" w:hAnsiTheme="minorHAnsi" w:cstheme="minorHAnsi"/>
          <w:sz w:val="22"/>
        </w:rPr>
        <w:t>2</w:t>
      </w:r>
      <w:r w:rsidR="00781626">
        <w:rPr>
          <w:rFonts w:asciiTheme="minorHAnsi" w:hAnsiTheme="minorHAnsi" w:cstheme="minorHAnsi"/>
          <w:sz w:val="22"/>
        </w:rPr>
        <w:t>7</w:t>
      </w:r>
      <w:r w:rsidR="00C2222D" w:rsidRPr="00E17345">
        <w:rPr>
          <w:rFonts w:asciiTheme="minorHAnsi" w:hAnsiTheme="minorHAnsi" w:cstheme="minorHAnsi"/>
          <w:sz w:val="22"/>
        </w:rPr>
        <w:t>.</w:t>
      </w:r>
      <w:r w:rsidR="00C2222D" w:rsidRPr="00E17345">
        <w:rPr>
          <w:rFonts w:asciiTheme="minorHAnsi" w:hAnsiTheme="minorHAnsi" w:cstheme="minorHAnsi"/>
          <w:sz w:val="22"/>
        </w:rPr>
        <w:tab/>
        <w:t xml:space="preserve">Gibson A, Faulkner L, Lichtenfels M, Ogese M, Al-Attar Z, Alfirevic A, </w:t>
      </w:r>
      <w:r w:rsidR="00835A11" w:rsidRPr="00835A11">
        <w:rPr>
          <w:rFonts w:asciiTheme="minorHAnsi" w:hAnsiTheme="minorHAnsi" w:cstheme="minorHAnsi"/>
          <w:sz w:val="22"/>
          <w:shd w:val="clear" w:color="auto" w:fill="FFFFFF"/>
        </w:rPr>
        <w:t>Alfirevic A, Esser PR, Martin SF, Pirmohamed M, Park BK, Naisbitt DJ</w:t>
      </w:r>
      <w:r w:rsidR="00C2222D" w:rsidRPr="00835A11">
        <w:rPr>
          <w:rFonts w:asciiTheme="minorHAnsi" w:hAnsiTheme="minorHAnsi" w:cstheme="minorHAnsi"/>
          <w:sz w:val="22"/>
        </w:rPr>
        <w:t xml:space="preserve">. </w:t>
      </w:r>
      <w:r w:rsidR="00C2222D" w:rsidRPr="00E17345">
        <w:rPr>
          <w:rFonts w:asciiTheme="minorHAnsi" w:hAnsiTheme="minorHAnsi" w:cstheme="minorHAnsi"/>
          <w:sz w:val="22"/>
        </w:rPr>
        <w:t>The Effect of Inhibitory Signals on the Priming of Drug Hapten-Specific T Cells That Express Distinct Vbeta Receptors. J Immunol. 2017;199(4):1223-37.</w:t>
      </w:r>
    </w:p>
    <w:p w14:paraId="619DC092" w14:textId="7A6A26C4" w:rsidR="00C2222D" w:rsidRPr="00E17345" w:rsidRDefault="005779DE" w:rsidP="00812609">
      <w:pPr>
        <w:spacing w:line="480" w:lineRule="auto"/>
        <w:jc w:val="both"/>
        <w:rPr>
          <w:rFonts w:cstheme="minorHAnsi"/>
        </w:rPr>
      </w:pPr>
      <w:r w:rsidRPr="00C837ED">
        <w:rPr>
          <w:rFonts w:cstheme="minorHAnsi"/>
        </w:rPr>
        <w:lastRenderedPageBreak/>
        <w:t>2</w:t>
      </w:r>
      <w:r>
        <w:rPr>
          <w:rFonts w:cstheme="minorHAnsi"/>
        </w:rPr>
        <w:t>8</w:t>
      </w:r>
      <w:r w:rsidRPr="00C837ED">
        <w:rPr>
          <w:rFonts w:cstheme="minorHAnsi"/>
        </w:rPr>
        <w:t>.</w:t>
      </w:r>
      <w:r w:rsidRPr="00C837ED">
        <w:rPr>
          <w:rFonts w:cstheme="minorHAnsi"/>
        </w:rPr>
        <w:tab/>
      </w:r>
      <w:r w:rsidRPr="00C837ED">
        <w:rPr>
          <w:rStyle w:val="docsum-authors"/>
          <w:rFonts w:cstheme="minorHAnsi"/>
          <w:bCs/>
        </w:rPr>
        <w:t>Naisbitt DJ</w:t>
      </w:r>
      <w:r w:rsidRPr="00C837ED">
        <w:rPr>
          <w:rStyle w:val="docsum-authors"/>
          <w:rFonts w:cstheme="minorHAnsi"/>
        </w:rPr>
        <w:t xml:space="preserve">, Olsson-Brown A, Gibson A, Meng X, Ogese MO, Tailor A, Thomson P. </w:t>
      </w:r>
      <w:r w:rsidRPr="005779DE">
        <w:rPr>
          <w:rFonts w:cstheme="minorHAnsi"/>
          <w:shd w:val="clear" w:color="auto" w:fill="FFFFFF"/>
        </w:rPr>
        <w:t>Immune dysregulation increases the incidence of delayed-type drug hypersensitivity reactions.</w:t>
      </w:r>
      <w:r w:rsidRPr="00C837ED">
        <w:rPr>
          <w:rFonts w:cstheme="minorHAnsi"/>
        </w:rPr>
        <w:t xml:space="preserve"> </w:t>
      </w:r>
      <w:r w:rsidRPr="00C837ED">
        <w:rPr>
          <w:rStyle w:val="docsum-journal-citation"/>
          <w:rFonts w:cstheme="minorHAnsi"/>
        </w:rPr>
        <w:t>Allergy. 2020 Apr;75(4):781-797.</w:t>
      </w:r>
    </w:p>
    <w:p w14:paraId="7BF19972" w14:textId="09EE3102" w:rsidR="00C2222D" w:rsidRPr="00E17345" w:rsidRDefault="00781626" w:rsidP="00835A11">
      <w:pPr>
        <w:pStyle w:val="Heading1"/>
        <w:shd w:val="clear" w:color="auto" w:fill="FFFFFF"/>
        <w:spacing w:before="120" w:line="480" w:lineRule="auto"/>
        <w:jc w:val="both"/>
        <w:rPr>
          <w:rFonts w:asciiTheme="minorHAnsi" w:hAnsiTheme="minorHAnsi" w:cstheme="minorHAnsi"/>
          <w:sz w:val="22"/>
        </w:rPr>
      </w:pPr>
      <w:r>
        <w:rPr>
          <w:rFonts w:asciiTheme="minorHAnsi" w:hAnsiTheme="minorHAnsi" w:cstheme="minorHAnsi"/>
          <w:b w:val="0"/>
          <w:sz w:val="22"/>
        </w:rPr>
        <w:t>29</w:t>
      </w:r>
      <w:r w:rsidR="00C2222D" w:rsidRPr="00E515C9">
        <w:rPr>
          <w:rFonts w:asciiTheme="minorHAnsi" w:hAnsiTheme="minorHAnsi" w:cstheme="minorHAnsi"/>
          <w:b w:val="0"/>
          <w:sz w:val="22"/>
        </w:rPr>
        <w:t>.</w:t>
      </w:r>
      <w:r w:rsidR="00C2222D" w:rsidRPr="00E515C9">
        <w:rPr>
          <w:rFonts w:asciiTheme="minorHAnsi" w:hAnsiTheme="minorHAnsi" w:cstheme="minorHAnsi"/>
          <w:b w:val="0"/>
          <w:sz w:val="22"/>
        </w:rPr>
        <w:tab/>
      </w:r>
      <w:r w:rsidR="00C2222D" w:rsidRPr="00E515C9">
        <w:rPr>
          <w:rFonts w:asciiTheme="minorHAnsi" w:hAnsiTheme="minorHAnsi" w:cstheme="minorHAnsi"/>
          <w:b w:val="0"/>
          <w:color w:val="auto"/>
          <w:sz w:val="22"/>
          <w:szCs w:val="22"/>
        </w:rPr>
        <w:t>Y</w:t>
      </w:r>
      <w:r w:rsidR="00C2222D" w:rsidRPr="00E515C9">
        <w:rPr>
          <w:rFonts w:asciiTheme="minorHAnsi" w:hAnsiTheme="minorHAnsi" w:cstheme="minorHAnsi"/>
          <w:b w:val="0"/>
          <w:color w:val="auto"/>
          <w:sz w:val="22"/>
          <w:szCs w:val="22"/>
          <w:shd w:val="clear" w:color="auto" w:fill="FFFFFF"/>
        </w:rPr>
        <w:t>amazaki N, Uhara H, Fukushima S, Uchi H, Shibagaki N, Kiyohara Y</w:t>
      </w:r>
      <w:r w:rsidR="00C2222D" w:rsidRPr="00835A11">
        <w:rPr>
          <w:rFonts w:asciiTheme="minorHAnsi" w:hAnsiTheme="minorHAnsi" w:cstheme="minorHAnsi"/>
          <w:b w:val="0"/>
          <w:color w:val="auto"/>
          <w:sz w:val="22"/>
          <w:szCs w:val="22"/>
        </w:rPr>
        <w:t xml:space="preserve">, </w:t>
      </w:r>
      <w:r w:rsidR="00835A11" w:rsidRPr="00835A11">
        <w:rPr>
          <w:rFonts w:asciiTheme="minorHAnsi" w:hAnsiTheme="minorHAnsi" w:cstheme="minorHAnsi"/>
          <w:b w:val="0"/>
          <w:color w:val="auto"/>
          <w:sz w:val="22"/>
          <w:szCs w:val="22"/>
          <w:shd w:val="clear" w:color="auto" w:fill="FFFFFF"/>
        </w:rPr>
        <w:t>Tsutsumida A, Namikawa K, Okuyama R, Otsuka Y, Tokudome T.</w:t>
      </w:r>
      <w:r w:rsidR="00C2222D" w:rsidRPr="00835A11">
        <w:rPr>
          <w:rFonts w:asciiTheme="minorHAnsi" w:hAnsiTheme="minorHAnsi" w:cstheme="minorHAnsi"/>
          <w:b w:val="0"/>
          <w:color w:val="auto"/>
          <w:sz w:val="22"/>
          <w:szCs w:val="22"/>
        </w:rPr>
        <w:t xml:space="preserve"> </w:t>
      </w:r>
      <w:r w:rsidR="00C2222D" w:rsidRPr="00E515C9">
        <w:rPr>
          <w:rFonts w:asciiTheme="minorHAnsi" w:hAnsiTheme="minorHAnsi" w:cstheme="minorHAnsi"/>
          <w:b w:val="0"/>
          <w:color w:val="auto"/>
          <w:sz w:val="22"/>
          <w:szCs w:val="22"/>
        </w:rPr>
        <w:t xml:space="preserve">Phase II Study of the Immune-Checkpoint Inhibitor Ipilimumab Plus Dacarbazine in Japanese Patients With Previously Untreated, Unresectable or Metastatic Melanoma. </w:t>
      </w:r>
      <w:r w:rsidR="00C2222D" w:rsidRPr="00E515C9">
        <w:rPr>
          <w:rFonts w:asciiTheme="minorHAnsi" w:hAnsiTheme="minorHAnsi" w:cstheme="minorHAnsi"/>
          <w:b w:val="0"/>
          <w:color w:val="auto"/>
          <w:sz w:val="22"/>
          <w:szCs w:val="22"/>
          <w:shd w:val="clear" w:color="auto" w:fill="FFFFFF"/>
        </w:rPr>
        <w:t>Cancer Chemother Pharmacol. 2015;76(5):969-75</w:t>
      </w:r>
      <w:r w:rsidR="00C2222D" w:rsidRPr="00E515C9">
        <w:rPr>
          <w:rFonts w:asciiTheme="minorHAnsi" w:hAnsiTheme="minorHAnsi" w:cstheme="minorHAnsi"/>
          <w:b w:val="0"/>
          <w:color w:val="auto"/>
          <w:sz w:val="22"/>
          <w:szCs w:val="22"/>
        </w:rPr>
        <w:t>.</w:t>
      </w:r>
    </w:p>
    <w:p w14:paraId="2946B1E1" w14:textId="77777777" w:rsidR="005779DE" w:rsidRPr="00781626" w:rsidRDefault="005779DE" w:rsidP="005779DE">
      <w:pPr>
        <w:shd w:val="clear" w:color="auto" w:fill="FFFFFF"/>
        <w:spacing w:after="0" w:line="480" w:lineRule="auto"/>
        <w:jc w:val="both"/>
        <w:rPr>
          <w:rFonts w:eastAsia="Times New Roman" w:cstheme="minorHAnsi"/>
          <w:szCs w:val="23"/>
          <w:lang w:eastAsia="en-GB"/>
        </w:rPr>
      </w:pPr>
      <w:r>
        <w:rPr>
          <w:rFonts w:eastAsia="Times New Roman" w:cstheme="minorHAnsi"/>
          <w:shd w:val="clear" w:color="auto" w:fill="FFFFFF"/>
          <w:lang w:eastAsia="en-GB"/>
        </w:rPr>
        <w:t>30</w:t>
      </w:r>
      <w:r w:rsidRPr="00781626">
        <w:rPr>
          <w:rFonts w:eastAsia="Times New Roman" w:cstheme="minorHAnsi"/>
          <w:shd w:val="clear" w:color="auto" w:fill="FFFFFF"/>
          <w:lang w:eastAsia="en-GB"/>
        </w:rPr>
        <w:t>. Novak G, Streffer JR, Timmers M, Henley D, Brashear HR, Bogert J, Russu A, Janssens L, Tesseur I, Tritsmans L, Van Nueten L, Engelborghs S. Long-term safety and tolerability of </w:t>
      </w:r>
      <w:r w:rsidRPr="00781626">
        <w:rPr>
          <w:rFonts w:eastAsia="Times New Roman" w:cstheme="minorHAnsi"/>
          <w:bCs/>
          <w:shd w:val="clear" w:color="auto" w:fill="FFFFFF"/>
          <w:lang w:eastAsia="en-GB"/>
        </w:rPr>
        <w:t>atabecestat</w:t>
      </w:r>
      <w:r w:rsidRPr="00781626">
        <w:rPr>
          <w:rFonts w:eastAsia="Times New Roman" w:cstheme="minorHAnsi"/>
          <w:shd w:val="clear" w:color="auto" w:fill="FFFFFF"/>
          <w:lang w:eastAsia="en-GB"/>
        </w:rPr>
        <w:t xml:space="preserve"> (JNJ-54861911), an oral BACE1 inhibitor, in early Alzheimer's disease spectrum patients: a randomized, double-blind, placebo-controlled study and a two-period extension study.  Alzheimers Res Ther. 2020;12:58. </w:t>
      </w:r>
    </w:p>
    <w:p w14:paraId="4A711997" w14:textId="4D7C52B7" w:rsidR="00C2222D" w:rsidRPr="00E17345" w:rsidRDefault="00C2222D" w:rsidP="00C2222D">
      <w:pPr>
        <w:pStyle w:val="EndNoteBibliography"/>
        <w:spacing w:after="0" w:line="480" w:lineRule="auto"/>
        <w:jc w:val="both"/>
        <w:rPr>
          <w:rFonts w:asciiTheme="minorHAnsi" w:hAnsiTheme="minorHAnsi" w:cstheme="minorHAnsi"/>
          <w:sz w:val="22"/>
        </w:rPr>
      </w:pPr>
      <w:r w:rsidRPr="00E17345">
        <w:rPr>
          <w:rFonts w:asciiTheme="minorHAnsi" w:hAnsiTheme="minorHAnsi" w:cstheme="minorHAnsi"/>
          <w:sz w:val="22"/>
        </w:rPr>
        <w:t>3</w:t>
      </w:r>
      <w:r w:rsidR="00886BED">
        <w:rPr>
          <w:rFonts w:asciiTheme="minorHAnsi" w:hAnsiTheme="minorHAnsi" w:cstheme="minorHAnsi"/>
          <w:sz w:val="22"/>
        </w:rPr>
        <w:t>1</w:t>
      </w:r>
      <w:r w:rsidRPr="00E17345">
        <w:rPr>
          <w:rFonts w:asciiTheme="minorHAnsi" w:hAnsiTheme="minorHAnsi" w:cstheme="minorHAnsi"/>
          <w:sz w:val="22"/>
        </w:rPr>
        <w:t>.</w:t>
      </w:r>
      <w:r w:rsidRPr="00E17345">
        <w:rPr>
          <w:rFonts w:asciiTheme="minorHAnsi" w:hAnsiTheme="minorHAnsi" w:cstheme="minorHAnsi"/>
          <w:sz w:val="22"/>
        </w:rPr>
        <w:tab/>
        <w:t>Zhao Q, Alhilali K, Alzahrani A, Almutairi M, Amjad J, Li</w:t>
      </w:r>
      <w:r w:rsidRPr="00835A11">
        <w:rPr>
          <w:rFonts w:asciiTheme="minorHAnsi" w:hAnsiTheme="minorHAnsi" w:cstheme="minorHAnsi"/>
          <w:sz w:val="22"/>
        </w:rPr>
        <w:t xml:space="preserve">u H, </w:t>
      </w:r>
      <w:r w:rsidR="00835A11" w:rsidRPr="00835A11">
        <w:rPr>
          <w:rFonts w:asciiTheme="minorHAnsi" w:hAnsiTheme="minorHAnsi" w:cstheme="minorHAnsi"/>
          <w:sz w:val="22"/>
          <w:shd w:val="clear" w:color="auto" w:fill="FFFFFF"/>
        </w:rPr>
        <w:t>Sun Y, Sun L, Zhang H, Meng X, Gibson A, Ogese MO, Kevin Park B, Liu J, Ostrov DA, Zhang F, Naisbitt DJ</w:t>
      </w:r>
      <w:r w:rsidRPr="00E17345">
        <w:rPr>
          <w:rFonts w:asciiTheme="minorHAnsi" w:hAnsiTheme="minorHAnsi" w:cstheme="minorHAnsi"/>
          <w:sz w:val="22"/>
        </w:rPr>
        <w:t>. Dapsone- and nitroso dapsone-specific activation of T cells from hypersensitive patients expressing the risk allele HLA-B*13:01. Allergy. 2019;74(8):1533-48.</w:t>
      </w:r>
    </w:p>
    <w:p w14:paraId="6FEF9F94" w14:textId="6F744B7F" w:rsidR="00C2222D" w:rsidRPr="00E17345" w:rsidRDefault="00C2222D" w:rsidP="00C2222D">
      <w:pPr>
        <w:pStyle w:val="EndNoteBibliography"/>
        <w:spacing w:after="0" w:line="480" w:lineRule="auto"/>
        <w:jc w:val="both"/>
        <w:rPr>
          <w:rFonts w:asciiTheme="minorHAnsi" w:hAnsiTheme="minorHAnsi" w:cstheme="minorHAnsi"/>
          <w:sz w:val="22"/>
        </w:rPr>
      </w:pPr>
      <w:r w:rsidRPr="00E17345">
        <w:rPr>
          <w:rFonts w:asciiTheme="minorHAnsi" w:hAnsiTheme="minorHAnsi" w:cstheme="minorHAnsi"/>
          <w:sz w:val="22"/>
        </w:rPr>
        <w:t>3</w:t>
      </w:r>
      <w:r w:rsidR="00886BED">
        <w:rPr>
          <w:rFonts w:asciiTheme="minorHAnsi" w:hAnsiTheme="minorHAnsi" w:cstheme="minorHAnsi"/>
          <w:sz w:val="22"/>
        </w:rPr>
        <w:t>2</w:t>
      </w:r>
      <w:r w:rsidRPr="00E17345">
        <w:rPr>
          <w:rFonts w:asciiTheme="minorHAnsi" w:hAnsiTheme="minorHAnsi" w:cstheme="minorHAnsi"/>
          <w:sz w:val="22"/>
        </w:rPr>
        <w:t>.</w:t>
      </w:r>
      <w:r w:rsidRPr="00E17345">
        <w:rPr>
          <w:rFonts w:asciiTheme="minorHAnsi" w:hAnsiTheme="minorHAnsi" w:cstheme="minorHAnsi"/>
          <w:sz w:val="22"/>
        </w:rPr>
        <w:tab/>
        <w:t>Couper KN, Blount DG, Riley EM. IL-10: the master regulator of immunity to infection. J Immunol. 2008;180(9):5771-7.</w:t>
      </w:r>
    </w:p>
    <w:p w14:paraId="56C9D5EB" w14:textId="5855445F" w:rsidR="00C2222D" w:rsidRPr="00E17345" w:rsidRDefault="00C2222D" w:rsidP="00C2222D">
      <w:pPr>
        <w:pStyle w:val="EndNoteBibliography"/>
        <w:spacing w:after="0" w:line="480" w:lineRule="auto"/>
        <w:jc w:val="both"/>
        <w:rPr>
          <w:rFonts w:asciiTheme="minorHAnsi" w:hAnsiTheme="minorHAnsi" w:cstheme="minorHAnsi"/>
          <w:sz w:val="22"/>
        </w:rPr>
      </w:pPr>
      <w:r w:rsidRPr="00E17345">
        <w:rPr>
          <w:rFonts w:asciiTheme="minorHAnsi" w:hAnsiTheme="minorHAnsi" w:cstheme="minorHAnsi"/>
          <w:sz w:val="22"/>
        </w:rPr>
        <w:t>3</w:t>
      </w:r>
      <w:r w:rsidR="00886BED">
        <w:rPr>
          <w:rFonts w:asciiTheme="minorHAnsi" w:hAnsiTheme="minorHAnsi" w:cstheme="minorHAnsi"/>
          <w:sz w:val="22"/>
        </w:rPr>
        <w:t>3</w:t>
      </w:r>
      <w:r w:rsidRPr="00E17345">
        <w:rPr>
          <w:rFonts w:asciiTheme="minorHAnsi" w:hAnsiTheme="minorHAnsi" w:cstheme="minorHAnsi"/>
          <w:sz w:val="22"/>
        </w:rPr>
        <w:t>.</w:t>
      </w:r>
      <w:r w:rsidRPr="00E17345">
        <w:rPr>
          <w:rFonts w:asciiTheme="minorHAnsi" w:hAnsiTheme="minorHAnsi" w:cstheme="minorHAnsi"/>
          <w:sz w:val="22"/>
        </w:rPr>
        <w:tab/>
        <w:t>Wuillemin N, Adam J, Fontana S, Krahenbuhl S, Pichler WJ, Yerly D. HLA haplotype determines hapten or p-i T cell reactivity to flucloxacillin. J Immunol. 2013;190(10):4956-64.</w:t>
      </w:r>
    </w:p>
    <w:p w14:paraId="18207A9B" w14:textId="166D22C7" w:rsidR="00C2222D" w:rsidRPr="00E17345" w:rsidRDefault="00C2222D" w:rsidP="00C2222D">
      <w:pPr>
        <w:pStyle w:val="EndNoteBibliography"/>
        <w:spacing w:after="0" w:line="480" w:lineRule="auto"/>
        <w:jc w:val="both"/>
        <w:rPr>
          <w:rFonts w:asciiTheme="minorHAnsi" w:hAnsiTheme="minorHAnsi" w:cstheme="minorHAnsi"/>
          <w:sz w:val="22"/>
        </w:rPr>
      </w:pPr>
      <w:r w:rsidRPr="00E17345">
        <w:rPr>
          <w:rFonts w:asciiTheme="minorHAnsi" w:hAnsiTheme="minorHAnsi" w:cstheme="minorHAnsi"/>
          <w:sz w:val="22"/>
        </w:rPr>
        <w:t>3</w:t>
      </w:r>
      <w:r w:rsidR="00886BED">
        <w:rPr>
          <w:rFonts w:asciiTheme="minorHAnsi" w:hAnsiTheme="minorHAnsi" w:cstheme="minorHAnsi"/>
          <w:sz w:val="22"/>
        </w:rPr>
        <w:t>4</w:t>
      </w:r>
      <w:r w:rsidRPr="00E17345">
        <w:rPr>
          <w:rFonts w:asciiTheme="minorHAnsi" w:hAnsiTheme="minorHAnsi" w:cstheme="minorHAnsi"/>
          <w:sz w:val="22"/>
        </w:rPr>
        <w:t>.</w:t>
      </w:r>
      <w:r w:rsidRPr="00E17345">
        <w:rPr>
          <w:rFonts w:asciiTheme="minorHAnsi" w:hAnsiTheme="minorHAnsi" w:cstheme="minorHAnsi"/>
          <w:sz w:val="22"/>
        </w:rPr>
        <w:tab/>
        <w:t xml:space="preserve">Castrejon JL, Berry N, El-Ghaiesh S, Gerber B, Pichler WJ, Park BK, </w:t>
      </w:r>
      <w:r w:rsidR="00835A11">
        <w:rPr>
          <w:rFonts w:asciiTheme="minorHAnsi" w:hAnsiTheme="minorHAnsi" w:cstheme="minorHAnsi"/>
          <w:sz w:val="22"/>
        </w:rPr>
        <w:t>Naisbitt DJ</w:t>
      </w:r>
      <w:r w:rsidRPr="00E17345">
        <w:rPr>
          <w:rFonts w:asciiTheme="minorHAnsi" w:hAnsiTheme="minorHAnsi" w:cstheme="minorHAnsi"/>
          <w:sz w:val="22"/>
        </w:rPr>
        <w:t>. Stimulation of human T cells with sulfonamides and sulfonamide metabolites. J Allergy Clin Immunol. 2010;125(2):411-8 e4.</w:t>
      </w:r>
    </w:p>
    <w:p w14:paraId="310C44CE" w14:textId="1789F3D1" w:rsidR="00C2222D" w:rsidRPr="00E17345" w:rsidRDefault="00C2222D" w:rsidP="00C2222D">
      <w:pPr>
        <w:pStyle w:val="EndNoteBibliography"/>
        <w:spacing w:after="0" w:line="480" w:lineRule="auto"/>
        <w:jc w:val="both"/>
        <w:rPr>
          <w:rFonts w:asciiTheme="minorHAnsi" w:hAnsiTheme="minorHAnsi" w:cstheme="minorHAnsi"/>
          <w:sz w:val="22"/>
        </w:rPr>
      </w:pPr>
      <w:r w:rsidRPr="00E17345">
        <w:rPr>
          <w:rFonts w:asciiTheme="minorHAnsi" w:hAnsiTheme="minorHAnsi" w:cstheme="minorHAnsi"/>
          <w:sz w:val="22"/>
        </w:rPr>
        <w:t>3</w:t>
      </w:r>
      <w:r w:rsidR="00886BED">
        <w:rPr>
          <w:rFonts w:asciiTheme="minorHAnsi" w:hAnsiTheme="minorHAnsi" w:cstheme="minorHAnsi"/>
          <w:sz w:val="22"/>
        </w:rPr>
        <w:t>5</w:t>
      </w:r>
      <w:r w:rsidRPr="00E17345">
        <w:rPr>
          <w:rFonts w:asciiTheme="minorHAnsi" w:hAnsiTheme="minorHAnsi" w:cstheme="minorHAnsi"/>
          <w:sz w:val="22"/>
        </w:rPr>
        <w:t>.</w:t>
      </w:r>
      <w:r w:rsidRPr="00E17345">
        <w:rPr>
          <w:rFonts w:asciiTheme="minorHAnsi" w:hAnsiTheme="minorHAnsi" w:cstheme="minorHAnsi"/>
          <w:sz w:val="22"/>
        </w:rPr>
        <w:tab/>
        <w:t>Illing PT, Vivian JP, Dudek NL, Kostenko L, Chen Z, Bharadwaj M</w:t>
      </w:r>
      <w:r w:rsidRPr="00835A11">
        <w:rPr>
          <w:rFonts w:asciiTheme="minorHAnsi" w:hAnsiTheme="minorHAnsi" w:cstheme="minorHAnsi"/>
          <w:sz w:val="22"/>
        </w:rPr>
        <w:t xml:space="preserve">, </w:t>
      </w:r>
      <w:r w:rsidR="00835A11" w:rsidRPr="00835A11">
        <w:rPr>
          <w:rFonts w:asciiTheme="minorHAnsi" w:hAnsiTheme="minorHAnsi" w:cstheme="minorHAnsi"/>
          <w:sz w:val="22"/>
          <w:shd w:val="clear" w:color="auto" w:fill="FFFFFF"/>
        </w:rPr>
        <w:t>Miles JJ, Kjer-Nielsen L, Gras S, Williamson NA, Burrows SR, Purcell AW, Rossjohn J, McCluskey J</w:t>
      </w:r>
      <w:r w:rsidRPr="00835A11">
        <w:rPr>
          <w:rFonts w:asciiTheme="minorHAnsi" w:hAnsiTheme="minorHAnsi" w:cstheme="minorHAnsi"/>
          <w:sz w:val="22"/>
        </w:rPr>
        <w:t xml:space="preserve">. </w:t>
      </w:r>
      <w:r w:rsidRPr="00E17345">
        <w:rPr>
          <w:rFonts w:asciiTheme="minorHAnsi" w:hAnsiTheme="minorHAnsi" w:cstheme="minorHAnsi"/>
          <w:sz w:val="22"/>
        </w:rPr>
        <w:t>Immune self-reactivity triggered by drug-modified HLA-peptide repertoire. Nature. 2012;486(7404):554-8.</w:t>
      </w:r>
    </w:p>
    <w:p w14:paraId="3EB86B07" w14:textId="2860CE24" w:rsidR="00C2222D" w:rsidRPr="00E17345" w:rsidRDefault="00C2222D" w:rsidP="00C2222D">
      <w:pPr>
        <w:pStyle w:val="EndNoteBibliography"/>
        <w:spacing w:after="0" w:line="480" w:lineRule="auto"/>
        <w:jc w:val="both"/>
        <w:rPr>
          <w:rFonts w:asciiTheme="minorHAnsi" w:hAnsiTheme="minorHAnsi" w:cstheme="minorHAnsi"/>
          <w:sz w:val="22"/>
        </w:rPr>
      </w:pPr>
      <w:r w:rsidRPr="00E17345">
        <w:rPr>
          <w:rFonts w:asciiTheme="minorHAnsi" w:hAnsiTheme="minorHAnsi" w:cstheme="minorHAnsi"/>
          <w:sz w:val="22"/>
        </w:rPr>
        <w:lastRenderedPageBreak/>
        <w:t>3</w:t>
      </w:r>
      <w:r w:rsidR="00886BED">
        <w:rPr>
          <w:rFonts w:asciiTheme="minorHAnsi" w:hAnsiTheme="minorHAnsi" w:cstheme="minorHAnsi"/>
          <w:sz w:val="22"/>
        </w:rPr>
        <w:t>6</w:t>
      </w:r>
      <w:r w:rsidRPr="00E17345">
        <w:rPr>
          <w:rFonts w:asciiTheme="minorHAnsi" w:hAnsiTheme="minorHAnsi" w:cstheme="minorHAnsi"/>
          <w:sz w:val="22"/>
        </w:rPr>
        <w:t>.</w:t>
      </w:r>
      <w:r w:rsidRPr="00E17345">
        <w:rPr>
          <w:rFonts w:asciiTheme="minorHAnsi" w:hAnsiTheme="minorHAnsi" w:cstheme="minorHAnsi"/>
          <w:sz w:val="22"/>
        </w:rPr>
        <w:tab/>
        <w:t xml:space="preserve">Ostrov DA, Grant BJ, Pompeu YA, Sidney J, Harndahl M, Southwood </w:t>
      </w:r>
      <w:r w:rsidRPr="00835A11">
        <w:rPr>
          <w:rFonts w:asciiTheme="minorHAnsi" w:hAnsiTheme="minorHAnsi" w:cstheme="minorHAnsi"/>
          <w:sz w:val="22"/>
        </w:rPr>
        <w:t xml:space="preserve">S, </w:t>
      </w:r>
      <w:r w:rsidR="00835A11" w:rsidRPr="00835A11">
        <w:rPr>
          <w:rFonts w:asciiTheme="minorHAnsi" w:hAnsiTheme="minorHAnsi" w:cstheme="minorHAnsi"/>
          <w:sz w:val="22"/>
          <w:shd w:val="clear" w:color="auto" w:fill="FFFFFF"/>
        </w:rPr>
        <w:t>Oseroff C, Lu S, Jakoncic J, de Oliveira CA, Yang L, Mei H, Shi L, Shabanowitz J, English AM, Wriston A, Lucas A, Phillips E, Mallal S, Grey HM, Sette A, Hunt DF, Buus S, Peters B.</w:t>
      </w:r>
      <w:r w:rsidRPr="00835A11">
        <w:rPr>
          <w:rFonts w:asciiTheme="minorHAnsi" w:hAnsiTheme="minorHAnsi" w:cstheme="minorHAnsi"/>
          <w:sz w:val="22"/>
        </w:rPr>
        <w:t xml:space="preserve"> </w:t>
      </w:r>
      <w:r w:rsidRPr="00E17345">
        <w:rPr>
          <w:rFonts w:asciiTheme="minorHAnsi" w:hAnsiTheme="minorHAnsi" w:cstheme="minorHAnsi"/>
          <w:sz w:val="22"/>
        </w:rPr>
        <w:t>Drug hypersensitivity caused by alteration of the MHC-presented self-peptide repertoire. Proc Natl Acad Sci U S A. 2012;109(25):9959-64.</w:t>
      </w:r>
    </w:p>
    <w:p w14:paraId="43EEBD5D" w14:textId="47E8A296" w:rsidR="00C2222D" w:rsidRPr="00E17345" w:rsidRDefault="00C2222D" w:rsidP="00C2222D">
      <w:pPr>
        <w:pStyle w:val="EndNoteBibliography"/>
        <w:spacing w:after="0" w:line="480" w:lineRule="auto"/>
        <w:jc w:val="both"/>
        <w:rPr>
          <w:rFonts w:asciiTheme="minorHAnsi" w:hAnsiTheme="minorHAnsi" w:cstheme="minorHAnsi"/>
          <w:sz w:val="22"/>
        </w:rPr>
      </w:pPr>
      <w:r w:rsidRPr="00E17345">
        <w:rPr>
          <w:rFonts w:asciiTheme="minorHAnsi" w:hAnsiTheme="minorHAnsi" w:cstheme="minorHAnsi"/>
          <w:sz w:val="22"/>
        </w:rPr>
        <w:t>3</w:t>
      </w:r>
      <w:r w:rsidR="00886BED">
        <w:rPr>
          <w:rFonts w:asciiTheme="minorHAnsi" w:hAnsiTheme="minorHAnsi" w:cstheme="minorHAnsi"/>
          <w:sz w:val="22"/>
        </w:rPr>
        <w:t>7</w:t>
      </w:r>
      <w:r w:rsidRPr="00E17345">
        <w:rPr>
          <w:rFonts w:asciiTheme="minorHAnsi" w:hAnsiTheme="minorHAnsi" w:cstheme="minorHAnsi"/>
          <w:sz w:val="22"/>
        </w:rPr>
        <w:t>.</w:t>
      </w:r>
      <w:r w:rsidRPr="00E17345">
        <w:rPr>
          <w:rFonts w:asciiTheme="minorHAnsi" w:hAnsiTheme="minorHAnsi" w:cstheme="minorHAnsi"/>
          <w:sz w:val="22"/>
        </w:rPr>
        <w:tab/>
        <w:t>Adam J, Eriksson KK, Schnyder B, Fontana S, Pichler WJ, Yerly D. Avidity determines T-cell reactivity in abacavir hypersensitivity. Eur J Immunol. 2012;42(7):1706-16.</w:t>
      </w:r>
    </w:p>
    <w:p w14:paraId="38E3801D" w14:textId="7EEA32B3" w:rsidR="00C2222D" w:rsidRPr="00E17345" w:rsidRDefault="00886BED" w:rsidP="00C2222D">
      <w:pPr>
        <w:pStyle w:val="EndNoteBibliography"/>
        <w:spacing w:after="0" w:line="480" w:lineRule="auto"/>
        <w:jc w:val="both"/>
        <w:rPr>
          <w:rFonts w:asciiTheme="minorHAnsi" w:hAnsiTheme="minorHAnsi" w:cstheme="minorHAnsi"/>
          <w:sz w:val="22"/>
        </w:rPr>
      </w:pPr>
      <w:r>
        <w:rPr>
          <w:rFonts w:asciiTheme="minorHAnsi" w:hAnsiTheme="minorHAnsi" w:cstheme="minorHAnsi"/>
          <w:sz w:val="22"/>
        </w:rPr>
        <w:t>38</w:t>
      </w:r>
      <w:r w:rsidR="00C2222D" w:rsidRPr="00E17345">
        <w:rPr>
          <w:rFonts w:asciiTheme="minorHAnsi" w:hAnsiTheme="minorHAnsi" w:cstheme="minorHAnsi"/>
          <w:sz w:val="22"/>
        </w:rPr>
        <w:t>.</w:t>
      </w:r>
      <w:r w:rsidR="00C2222D" w:rsidRPr="00E17345">
        <w:rPr>
          <w:rFonts w:asciiTheme="minorHAnsi" w:hAnsiTheme="minorHAnsi" w:cstheme="minorHAnsi"/>
          <w:sz w:val="22"/>
        </w:rPr>
        <w:tab/>
        <w:t xml:space="preserve">Schnyder B, Burkhart C, Schnyder-Frutig K, von Greyerz S, Naisbitt DJ, Pirmohamed M, </w:t>
      </w:r>
      <w:r w:rsidR="00CF1CB4">
        <w:rPr>
          <w:rFonts w:asciiTheme="minorHAnsi" w:hAnsiTheme="minorHAnsi" w:cstheme="minorHAnsi"/>
          <w:sz w:val="22"/>
        </w:rPr>
        <w:t>Park BK, Pichler WJ</w:t>
      </w:r>
      <w:r w:rsidR="00C2222D" w:rsidRPr="00E17345">
        <w:rPr>
          <w:rFonts w:asciiTheme="minorHAnsi" w:hAnsiTheme="minorHAnsi" w:cstheme="minorHAnsi"/>
          <w:sz w:val="22"/>
        </w:rPr>
        <w:t>. Recognition of sulfamethoxazole and its reactive metabolites by drug-specific CD4(+) T cells from allergic individuals. J Immunol. 2000;164(12):6647-54.</w:t>
      </w:r>
    </w:p>
    <w:p w14:paraId="0AB69E86" w14:textId="1A68D883" w:rsidR="00C2222D" w:rsidRPr="00E17345" w:rsidRDefault="00886BED" w:rsidP="00C2222D">
      <w:pPr>
        <w:pStyle w:val="EndNoteBibliography"/>
        <w:spacing w:after="0" w:line="480" w:lineRule="auto"/>
        <w:jc w:val="both"/>
        <w:rPr>
          <w:rFonts w:asciiTheme="minorHAnsi" w:hAnsiTheme="minorHAnsi" w:cstheme="minorHAnsi"/>
          <w:sz w:val="22"/>
        </w:rPr>
      </w:pPr>
      <w:r>
        <w:rPr>
          <w:rFonts w:asciiTheme="minorHAnsi" w:hAnsiTheme="minorHAnsi" w:cstheme="minorHAnsi"/>
          <w:sz w:val="22"/>
        </w:rPr>
        <w:t>39</w:t>
      </w:r>
      <w:r w:rsidR="00C2222D" w:rsidRPr="00E17345">
        <w:rPr>
          <w:rFonts w:asciiTheme="minorHAnsi" w:hAnsiTheme="minorHAnsi" w:cstheme="minorHAnsi"/>
          <w:sz w:val="22"/>
        </w:rPr>
        <w:t>.</w:t>
      </w:r>
      <w:r w:rsidR="00C2222D" w:rsidRPr="00E17345">
        <w:rPr>
          <w:rFonts w:asciiTheme="minorHAnsi" w:hAnsiTheme="minorHAnsi" w:cstheme="minorHAnsi"/>
          <w:sz w:val="22"/>
        </w:rPr>
        <w:tab/>
        <w:t xml:space="preserve">Wu Y, Sanderson JP, Farrell J, Drummond NS, Hanson A, </w:t>
      </w:r>
      <w:r w:rsidR="00C2222D" w:rsidRPr="00CF1CB4">
        <w:rPr>
          <w:rFonts w:asciiTheme="minorHAnsi" w:hAnsiTheme="minorHAnsi" w:cstheme="minorHAnsi"/>
          <w:sz w:val="22"/>
        </w:rPr>
        <w:t xml:space="preserve">Bowkett E, </w:t>
      </w:r>
      <w:r w:rsidR="00CF1CB4" w:rsidRPr="00CF1CB4">
        <w:rPr>
          <w:rFonts w:asciiTheme="minorHAnsi" w:hAnsiTheme="minorHAnsi" w:cstheme="minorHAnsi"/>
          <w:sz w:val="22"/>
          <w:shd w:val="clear" w:color="auto" w:fill="FFFFFF"/>
        </w:rPr>
        <w:t>Berry N, Stachulski AV, Clarke SE, Pichler WJ, Pirmohamed M, Park BK, Naisbitt DJ</w:t>
      </w:r>
      <w:r w:rsidR="00C2222D" w:rsidRPr="00E17345">
        <w:rPr>
          <w:rFonts w:asciiTheme="minorHAnsi" w:hAnsiTheme="minorHAnsi" w:cstheme="minorHAnsi"/>
          <w:sz w:val="22"/>
        </w:rPr>
        <w:t>. Activation of T cells by carbamazepine and carbamazepine metabolites. J Allergy Clin Immunol. 2006;118(1):233-41.</w:t>
      </w:r>
    </w:p>
    <w:p w14:paraId="1AEC20D2" w14:textId="2002C260" w:rsidR="00C2222D" w:rsidRPr="00E17345" w:rsidRDefault="00C2222D" w:rsidP="00C2222D">
      <w:pPr>
        <w:pStyle w:val="EndNoteBibliography"/>
        <w:spacing w:after="0" w:line="480" w:lineRule="auto"/>
        <w:jc w:val="both"/>
        <w:rPr>
          <w:rFonts w:asciiTheme="minorHAnsi" w:hAnsiTheme="minorHAnsi" w:cstheme="minorHAnsi"/>
          <w:sz w:val="22"/>
        </w:rPr>
      </w:pPr>
      <w:r w:rsidRPr="00E17345">
        <w:rPr>
          <w:rFonts w:asciiTheme="minorHAnsi" w:hAnsiTheme="minorHAnsi" w:cstheme="minorHAnsi"/>
          <w:sz w:val="22"/>
        </w:rPr>
        <w:t>4</w:t>
      </w:r>
      <w:r w:rsidR="00886BED">
        <w:rPr>
          <w:rFonts w:asciiTheme="minorHAnsi" w:hAnsiTheme="minorHAnsi" w:cstheme="minorHAnsi"/>
          <w:sz w:val="22"/>
        </w:rPr>
        <w:t>0</w:t>
      </w:r>
      <w:r w:rsidRPr="00E17345">
        <w:rPr>
          <w:rFonts w:asciiTheme="minorHAnsi" w:hAnsiTheme="minorHAnsi" w:cstheme="minorHAnsi"/>
          <w:sz w:val="22"/>
        </w:rPr>
        <w:t>.</w:t>
      </w:r>
      <w:r w:rsidRPr="00E17345">
        <w:rPr>
          <w:rFonts w:asciiTheme="minorHAnsi" w:hAnsiTheme="minorHAnsi" w:cstheme="minorHAnsi"/>
          <w:sz w:val="22"/>
        </w:rPr>
        <w:tab/>
        <w:t xml:space="preserve">Burkhart C, von Greyerz S, Depta JP, Naisbitt DJ, Britschgi M, Park KB, </w:t>
      </w:r>
      <w:r w:rsidR="00CF1CB4">
        <w:rPr>
          <w:rFonts w:asciiTheme="minorHAnsi" w:hAnsiTheme="minorHAnsi" w:cstheme="minorHAnsi"/>
          <w:sz w:val="22"/>
        </w:rPr>
        <w:t>Pichler WJ</w:t>
      </w:r>
      <w:r w:rsidRPr="00E17345">
        <w:rPr>
          <w:rFonts w:asciiTheme="minorHAnsi" w:hAnsiTheme="minorHAnsi" w:cstheme="minorHAnsi"/>
          <w:sz w:val="22"/>
        </w:rPr>
        <w:t>. Influence of reduced glutathione on the proliferative response of sulfamethoxazole-specific and sulfamethoxazole-metabolite-specific human CD4+ T-cells. Br J Pharmacol. 2001;132(3):623-30.</w:t>
      </w:r>
    </w:p>
    <w:p w14:paraId="6FB3DD38" w14:textId="3628F503" w:rsidR="00C2222D" w:rsidRPr="00E17345" w:rsidRDefault="00C2222D" w:rsidP="00C2222D">
      <w:pPr>
        <w:pStyle w:val="EndNoteBibliography"/>
        <w:spacing w:after="0" w:line="480" w:lineRule="auto"/>
        <w:jc w:val="both"/>
        <w:rPr>
          <w:rFonts w:asciiTheme="minorHAnsi" w:hAnsiTheme="minorHAnsi" w:cstheme="minorHAnsi"/>
          <w:sz w:val="22"/>
        </w:rPr>
      </w:pPr>
      <w:r w:rsidRPr="00E17345">
        <w:rPr>
          <w:rFonts w:asciiTheme="minorHAnsi" w:hAnsiTheme="minorHAnsi" w:cstheme="minorHAnsi"/>
          <w:sz w:val="22"/>
        </w:rPr>
        <w:t>4</w:t>
      </w:r>
      <w:r w:rsidR="00C837ED">
        <w:rPr>
          <w:rFonts w:asciiTheme="minorHAnsi" w:hAnsiTheme="minorHAnsi" w:cstheme="minorHAnsi"/>
          <w:sz w:val="22"/>
        </w:rPr>
        <w:t>1</w:t>
      </w:r>
      <w:r w:rsidRPr="00E17345">
        <w:rPr>
          <w:rFonts w:asciiTheme="minorHAnsi" w:hAnsiTheme="minorHAnsi" w:cstheme="minorHAnsi"/>
          <w:sz w:val="22"/>
        </w:rPr>
        <w:t>.</w:t>
      </w:r>
      <w:r w:rsidRPr="00E17345">
        <w:rPr>
          <w:rFonts w:asciiTheme="minorHAnsi" w:hAnsiTheme="minorHAnsi" w:cstheme="minorHAnsi"/>
          <w:sz w:val="22"/>
        </w:rPr>
        <w:tab/>
        <w:t xml:space="preserve">Nassif A, Bensussan A, Boumsell L, Deniaud A, Moslehi H, Wolkenstein P, </w:t>
      </w:r>
      <w:r w:rsidR="00CF1CB4" w:rsidRPr="00CF1CB4">
        <w:rPr>
          <w:rFonts w:asciiTheme="minorHAnsi" w:hAnsiTheme="minorHAnsi" w:cstheme="minorHAnsi"/>
          <w:sz w:val="22"/>
          <w:szCs w:val="21"/>
          <w:shd w:val="clear" w:color="auto" w:fill="FFFFFF"/>
        </w:rPr>
        <w:t> Bagot M, Roujeau JC</w:t>
      </w:r>
      <w:r w:rsidRPr="00E17345">
        <w:rPr>
          <w:rFonts w:asciiTheme="minorHAnsi" w:hAnsiTheme="minorHAnsi" w:cstheme="minorHAnsi"/>
          <w:sz w:val="22"/>
        </w:rPr>
        <w:t>. Toxic epidermal necrolysis: effector cells are drug-specific cytotoxic T cells. J Allergy Clin Immunol. 2004;114(5):1209-15.</w:t>
      </w:r>
    </w:p>
    <w:p w14:paraId="623AB1BE" w14:textId="45183411" w:rsidR="00C2222D" w:rsidRPr="00E17345" w:rsidRDefault="00C2222D" w:rsidP="00C2222D">
      <w:pPr>
        <w:pStyle w:val="EndNoteBibliography"/>
        <w:spacing w:after="0" w:line="480" w:lineRule="auto"/>
        <w:jc w:val="both"/>
        <w:rPr>
          <w:rFonts w:asciiTheme="minorHAnsi" w:hAnsiTheme="minorHAnsi" w:cstheme="minorHAnsi"/>
          <w:sz w:val="22"/>
        </w:rPr>
      </w:pPr>
      <w:r w:rsidRPr="00E17345">
        <w:rPr>
          <w:rFonts w:asciiTheme="minorHAnsi" w:hAnsiTheme="minorHAnsi" w:cstheme="minorHAnsi"/>
          <w:sz w:val="22"/>
        </w:rPr>
        <w:t>4</w:t>
      </w:r>
      <w:r w:rsidR="00C837ED">
        <w:rPr>
          <w:rFonts w:asciiTheme="minorHAnsi" w:hAnsiTheme="minorHAnsi" w:cstheme="minorHAnsi"/>
          <w:sz w:val="22"/>
        </w:rPr>
        <w:t>2</w:t>
      </w:r>
      <w:r w:rsidRPr="00E17345">
        <w:rPr>
          <w:rFonts w:asciiTheme="minorHAnsi" w:hAnsiTheme="minorHAnsi" w:cstheme="minorHAnsi"/>
          <w:sz w:val="22"/>
        </w:rPr>
        <w:t>.</w:t>
      </w:r>
      <w:r w:rsidRPr="00E17345">
        <w:rPr>
          <w:rFonts w:asciiTheme="minorHAnsi" w:hAnsiTheme="minorHAnsi" w:cstheme="minorHAnsi"/>
          <w:sz w:val="22"/>
        </w:rPr>
        <w:tab/>
        <w:t>Yaseen FS, Saide K, Kim SH, Monshi M, Tailor A, Wood S</w:t>
      </w:r>
      <w:r w:rsidRPr="00CF1CB4">
        <w:rPr>
          <w:rFonts w:asciiTheme="minorHAnsi" w:hAnsiTheme="minorHAnsi" w:cstheme="minorHAnsi"/>
          <w:sz w:val="22"/>
        </w:rPr>
        <w:t xml:space="preserve">, </w:t>
      </w:r>
      <w:r w:rsidR="00CF1CB4" w:rsidRPr="00CF1CB4">
        <w:rPr>
          <w:rFonts w:asciiTheme="minorHAnsi" w:hAnsiTheme="minorHAnsi" w:cstheme="minorHAnsi"/>
          <w:sz w:val="22"/>
          <w:shd w:val="clear" w:color="auto" w:fill="FFFFFF"/>
        </w:rPr>
        <w:t>Meng X, Jenkins R, Faulkner L, Daly AK, Pirmohamed M, Park BK, Naisbitt DJ.</w:t>
      </w:r>
      <w:r w:rsidRPr="00CF1CB4">
        <w:rPr>
          <w:rFonts w:asciiTheme="minorHAnsi" w:hAnsiTheme="minorHAnsi" w:cstheme="minorHAnsi"/>
          <w:sz w:val="22"/>
        </w:rPr>
        <w:t xml:space="preserve"> </w:t>
      </w:r>
      <w:r w:rsidRPr="00E17345">
        <w:rPr>
          <w:rFonts w:asciiTheme="minorHAnsi" w:hAnsiTheme="minorHAnsi" w:cstheme="minorHAnsi"/>
          <w:sz w:val="22"/>
        </w:rPr>
        <w:t>Promiscuous T-cell responses to drugs and drug-haptens. J Allergy Clin Immunol. 2015;136(2):474-6 e8.</w:t>
      </w:r>
    </w:p>
    <w:p w14:paraId="00C19E5E" w14:textId="59EDF3AC" w:rsidR="00C2222D" w:rsidRDefault="00C2222D" w:rsidP="00C2222D">
      <w:pPr>
        <w:pStyle w:val="EndNoteBibliography"/>
        <w:spacing w:line="480" w:lineRule="auto"/>
        <w:jc w:val="both"/>
        <w:rPr>
          <w:rFonts w:asciiTheme="minorHAnsi" w:hAnsiTheme="minorHAnsi" w:cstheme="minorHAnsi"/>
          <w:sz w:val="22"/>
        </w:rPr>
      </w:pPr>
      <w:r w:rsidRPr="00E17345">
        <w:rPr>
          <w:rFonts w:asciiTheme="minorHAnsi" w:hAnsiTheme="minorHAnsi" w:cstheme="minorHAnsi"/>
          <w:sz w:val="22"/>
        </w:rPr>
        <w:t>4</w:t>
      </w:r>
      <w:r w:rsidR="00C837ED">
        <w:rPr>
          <w:rFonts w:asciiTheme="minorHAnsi" w:hAnsiTheme="minorHAnsi" w:cstheme="minorHAnsi"/>
          <w:sz w:val="22"/>
        </w:rPr>
        <w:t>3</w:t>
      </w:r>
      <w:r w:rsidRPr="00E17345">
        <w:rPr>
          <w:rFonts w:asciiTheme="minorHAnsi" w:hAnsiTheme="minorHAnsi" w:cstheme="minorHAnsi"/>
          <w:sz w:val="22"/>
        </w:rPr>
        <w:t>.</w:t>
      </w:r>
      <w:r w:rsidRPr="00E17345">
        <w:rPr>
          <w:rFonts w:asciiTheme="minorHAnsi" w:hAnsiTheme="minorHAnsi" w:cstheme="minorHAnsi"/>
          <w:sz w:val="22"/>
        </w:rPr>
        <w:tab/>
        <w:t xml:space="preserve">Zanni MP, von Greyerz S, Schnyder B, Brander KA, Frutig K, Hari Y, </w:t>
      </w:r>
      <w:r w:rsidR="00CF1CB4" w:rsidRPr="00CF1CB4">
        <w:rPr>
          <w:rFonts w:asciiTheme="minorHAnsi" w:hAnsiTheme="minorHAnsi" w:cstheme="minorHAnsi"/>
          <w:sz w:val="22"/>
          <w:szCs w:val="21"/>
          <w:shd w:val="clear" w:color="auto" w:fill="FFFFFF"/>
        </w:rPr>
        <w:t>Valitutti S, Pichler WJ</w:t>
      </w:r>
      <w:r w:rsidRPr="00E17345">
        <w:rPr>
          <w:rFonts w:asciiTheme="minorHAnsi" w:hAnsiTheme="minorHAnsi" w:cstheme="minorHAnsi"/>
          <w:sz w:val="22"/>
        </w:rPr>
        <w:t>. HLA-restricted, processing- and metabolism-independent pathway of drug recognition by human alpha beta T lymphocytes. J Clin Invest. 1998;102(8):1591-8.</w:t>
      </w:r>
    </w:p>
    <w:p w14:paraId="5DE33CB0" w14:textId="77777777" w:rsidR="005779DE" w:rsidRPr="005779DE" w:rsidRDefault="005779DE" w:rsidP="005779DE">
      <w:pPr>
        <w:spacing w:line="480" w:lineRule="auto"/>
        <w:jc w:val="both"/>
        <w:rPr>
          <w:rStyle w:val="docsum-journal-citation"/>
          <w:rFonts w:cstheme="minorHAnsi"/>
        </w:rPr>
      </w:pPr>
      <w:r w:rsidRPr="005779DE">
        <w:rPr>
          <w:rFonts w:cstheme="minorHAnsi"/>
        </w:rPr>
        <w:t xml:space="preserve">44. </w:t>
      </w:r>
      <w:hyperlink r:id="rId13" w:history="1">
        <w:r w:rsidRPr="005779DE">
          <w:rPr>
            <w:rStyle w:val="docsum-authors"/>
            <w:rFonts w:cstheme="minorHAnsi"/>
          </w:rPr>
          <w:t xml:space="preserve">Pichler WJ. </w:t>
        </w:r>
        <w:r w:rsidRPr="005779DE">
          <w:rPr>
            <w:rStyle w:val="Hyperlink"/>
            <w:rFonts w:cstheme="minorHAnsi"/>
            <w:bCs/>
            <w:color w:val="auto"/>
            <w:u w:val="none"/>
            <w:shd w:val="clear" w:color="auto" w:fill="FFFFFF"/>
          </w:rPr>
          <w:t>Immune</w:t>
        </w:r>
        <w:r w:rsidRPr="005779DE">
          <w:rPr>
            <w:rStyle w:val="Hyperlink"/>
            <w:rFonts w:cstheme="minorHAnsi"/>
            <w:color w:val="auto"/>
            <w:u w:val="none"/>
            <w:shd w:val="clear" w:color="auto" w:fill="FFFFFF"/>
          </w:rPr>
          <w:t> </w:t>
        </w:r>
        <w:r w:rsidRPr="005779DE">
          <w:rPr>
            <w:rStyle w:val="Hyperlink"/>
            <w:rFonts w:cstheme="minorHAnsi"/>
            <w:bCs/>
            <w:color w:val="auto"/>
            <w:u w:val="none"/>
            <w:shd w:val="clear" w:color="auto" w:fill="FFFFFF"/>
          </w:rPr>
          <w:t>pathomechanism</w:t>
        </w:r>
        <w:r w:rsidRPr="005779DE">
          <w:rPr>
            <w:rStyle w:val="Hyperlink"/>
            <w:rFonts w:cstheme="minorHAnsi"/>
            <w:color w:val="auto"/>
            <w:u w:val="none"/>
            <w:shd w:val="clear" w:color="auto" w:fill="FFFFFF"/>
          </w:rPr>
          <w:t> and </w:t>
        </w:r>
        <w:r w:rsidRPr="005779DE">
          <w:rPr>
            <w:rStyle w:val="Hyperlink"/>
            <w:rFonts w:cstheme="minorHAnsi"/>
            <w:bCs/>
            <w:color w:val="auto"/>
            <w:u w:val="none"/>
            <w:shd w:val="clear" w:color="auto" w:fill="FFFFFF"/>
          </w:rPr>
          <w:t>classification</w:t>
        </w:r>
        <w:r w:rsidRPr="005779DE">
          <w:rPr>
            <w:rStyle w:val="Hyperlink"/>
            <w:rFonts w:cstheme="minorHAnsi"/>
            <w:color w:val="auto"/>
            <w:u w:val="none"/>
            <w:shd w:val="clear" w:color="auto" w:fill="FFFFFF"/>
          </w:rPr>
          <w:t> of </w:t>
        </w:r>
        <w:r w:rsidRPr="005779DE">
          <w:rPr>
            <w:rStyle w:val="Hyperlink"/>
            <w:rFonts w:cstheme="minorHAnsi"/>
            <w:bCs/>
            <w:color w:val="auto"/>
            <w:u w:val="none"/>
            <w:shd w:val="clear" w:color="auto" w:fill="FFFFFF"/>
          </w:rPr>
          <w:t>drug</w:t>
        </w:r>
        <w:r w:rsidRPr="005779DE">
          <w:rPr>
            <w:rStyle w:val="Hyperlink"/>
            <w:rFonts w:cstheme="minorHAnsi"/>
            <w:color w:val="auto"/>
            <w:u w:val="none"/>
            <w:shd w:val="clear" w:color="auto" w:fill="FFFFFF"/>
          </w:rPr>
          <w:t> </w:t>
        </w:r>
        <w:r w:rsidRPr="005779DE">
          <w:rPr>
            <w:rStyle w:val="Hyperlink"/>
            <w:rFonts w:cstheme="minorHAnsi"/>
            <w:bCs/>
            <w:color w:val="auto"/>
            <w:u w:val="none"/>
            <w:shd w:val="clear" w:color="auto" w:fill="FFFFFF"/>
          </w:rPr>
          <w:t>hypersensitivity</w:t>
        </w:r>
        <w:r w:rsidRPr="005779DE">
          <w:rPr>
            <w:rStyle w:val="Hyperlink"/>
            <w:rFonts w:cstheme="minorHAnsi"/>
            <w:color w:val="auto"/>
            <w:u w:val="none"/>
            <w:shd w:val="clear" w:color="auto" w:fill="FFFFFF"/>
          </w:rPr>
          <w:t>.</w:t>
        </w:r>
      </w:hyperlink>
      <w:r w:rsidRPr="005779DE">
        <w:rPr>
          <w:rFonts w:cstheme="minorHAnsi"/>
        </w:rPr>
        <w:t xml:space="preserve"> </w:t>
      </w:r>
      <w:r w:rsidRPr="005779DE">
        <w:rPr>
          <w:rStyle w:val="docsum-journal-citation"/>
          <w:rFonts w:cstheme="minorHAnsi"/>
        </w:rPr>
        <w:t>Allergy. 2019;74(8):1457-71.</w:t>
      </w:r>
    </w:p>
    <w:p w14:paraId="38CD5A60" w14:textId="56835CD5" w:rsidR="005779DE" w:rsidRPr="005779DE" w:rsidRDefault="005779DE" w:rsidP="005779DE">
      <w:pPr>
        <w:spacing w:line="480" w:lineRule="auto"/>
        <w:jc w:val="both"/>
        <w:rPr>
          <w:rFonts w:cstheme="minorHAnsi"/>
        </w:rPr>
      </w:pPr>
      <w:r w:rsidRPr="005779DE">
        <w:rPr>
          <w:rStyle w:val="docsum-authors"/>
          <w:rFonts w:cstheme="minorHAnsi"/>
        </w:rPr>
        <w:lastRenderedPageBreak/>
        <w:t xml:space="preserve">45. Pan RY, Chu MT, Wang CW, Lee YS, Lemonnier F, Michels AW, Schutte R, Ostrov DA, Chen CB, Phillips EJ, Mallal SA, Mockenhaupt M, Bellón T, Tassaneeyakul W, White KD, Roujeau JC, Chung WH, Hung SI. </w:t>
      </w:r>
      <w:r w:rsidRPr="005779DE">
        <w:rPr>
          <w:rFonts w:cstheme="minorHAnsi"/>
          <w:shd w:val="clear" w:color="auto" w:fill="FFFFFF"/>
        </w:rPr>
        <w:t>Identification of drug-specific public TCR driving severe cutaneous adverse reactions.</w:t>
      </w:r>
      <w:r w:rsidRPr="005779DE">
        <w:rPr>
          <w:rFonts w:cstheme="minorHAnsi"/>
        </w:rPr>
        <w:t xml:space="preserve"> </w:t>
      </w:r>
      <w:r w:rsidR="00812609">
        <w:rPr>
          <w:rStyle w:val="docsum-journal-citation"/>
          <w:rFonts w:cstheme="minorHAnsi"/>
        </w:rPr>
        <w:t>Nat Commun. 2019</w:t>
      </w:r>
      <w:r w:rsidRPr="005779DE">
        <w:rPr>
          <w:rStyle w:val="docsum-journal-citation"/>
          <w:rFonts w:cstheme="minorHAnsi"/>
        </w:rPr>
        <w:t>;10(1):3569. </w:t>
      </w:r>
    </w:p>
    <w:p w14:paraId="087DE2FE" w14:textId="77777777" w:rsidR="005779DE" w:rsidRPr="00626B87" w:rsidRDefault="005779DE" w:rsidP="00626B87">
      <w:pPr>
        <w:spacing w:line="480" w:lineRule="auto"/>
        <w:jc w:val="both"/>
        <w:rPr>
          <w:rFonts w:cstheme="minorHAnsi"/>
          <w:color w:val="4D8055"/>
        </w:rPr>
      </w:pPr>
    </w:p>
    <w:p w14:paraId="11C801C0" w14:textId="5DFCEB4F" w:rsidR="00626B87" w:rsidRPr="00E17345" w:rsidRDefault="00626B87" w:rsidP="00C2222D">
      <w:pPr>
        <w:pStyle w:val="EndNoteBibliography"/>
        <w:spacing w:line="480" w:lineRule="auto"/>
        <w:jc w:val="both"/>
        <w:rPr>
          <w:rFonts w:asciiTheme="minorHAnsi" w:hAnsiTheme="minorHAnsi" w:cstheme="minorHAnsi"/>
          <w:sz w:val="22"/>
        </w:rPr>
      </w:pPr>
    </w:p>
    <w:p w14:paraId="3F85FBF9" w14:textId="77777777" w:rsidR="00C2222D" w:rsidRDefault="00C2222D" w:rsidP="00E7156C">
      <w:pPr>
        <w:spacing w:line="480" w:lineRule="auto"/>
        <w:jc w:val="both"/>
      </w:pPr>
    </w:p>
    <w:sectPr w:rsidR="00C2222D" w:rsidSect="00C2222D">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F92FB7" w16cid:durableId="227A72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B8700" w14:textId="77777777" w:rsidR="00E00FEA" w:rsidRDefault="00E00FEA" w:rsidP="00D605DE">
      <w:pPr>
        <w:spacing w:after="0" w:line="240" w:lineRule="auto"/>
      </w:pPr>
      <w:r>
        <w:separator/>
      </w:r>
    </w:p>
  </w:endnote>
  <w:endnote w:type="continuationSeparator" w:id="0">
    <w:p w14:paraId="1ED8B780" w14:textId="77777777" w:rsidR="00E00FEA" w:rsidRDefault="00E00FEA" w:rsidP="00D6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F43C0" w14:textId="77777777" w:rsidR="00E00FEA" w:rsidRDefault="00E00FEA" w:rsidP="00D605DE">
      <w:pPr>
        <w:spacing w:after="0" w:line="240" w:lineRule="auto"/>
      </w:pPr>
      <w:r>
        <w:separator/>
      </w:r>
    </w:p>
  </w:footnote>
  <w:footnote w:type="continuationSeparator" w:id="0">
    <w:p w14:paraId="017464C3" w14:textId="77777777" w:rsidR="00E00FEA" w:rsidRDefault="00E00FEA" w:rsidP="00D60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642319"/>
      <w:docPartObj>
        <w:docPartGallery w:val="Page Numbers (Top of Page)"/>
        <w:docPartUnique/>
      </w:docPartObj>
    </w:sdtPr>
    <w:sdtEndPr>
      <w:rPr>
        <w:noProof/>
      </w:rPr>
    </w:sdtEndPr>
    <w:sdtContent>
      <w:p w14:paraId="41D53CFD" w14:textId="379EAD16" w:rsidR="001470F5" w:rsidRDefault="001470F5">
        <w:pPr>
          <w:pStyle w:val="Header"/>
          <w:jc w:val="right"/>
        </w:pPr>
        <w:r>
          <w:t xml:space="preserve">Thomson </w:t>
        </w:r>
        <w:r>
          <w:fldChar w:fldCharType="begin"/>
        </w:r>
        <w:r>
          <w:instrText xml:space="preserve"> PAGE   \* MERGEFORMAT </w:instrText>
        </w:r>
        <w:r>
          <w:fldChar w:fldCharType="separate"/>
        </w:r>
        <w:r w:rsidR="00CD718B">
          <w:rPr>
            <w:noProof/>
          </w:rPr>
          <w:t>22</w:t>
        </w:r>
        <w:r>
          <w:rPr>
            <w:noProof/>
          </w:rPr>
          <w:fldChar w:fldCharType="end"/>
        </w:r>
      </w:p>
    </w:sdtContent>
  </w:sdt>
  <w:p w14:paraId="198CACC2" w14:textId="77777777" w:rsidR="001470F5" w:rsidRDefault="00147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62B40"/>
    <w:multiLevelType w:val="multilevel"/>
    <w:tmpl w:val="C04E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B0D81"/>
    <w:multiLevelType w:val="hybridMultilevel"/>
    <w:tmpl w:val="C9484CB0"/>
    <w:lvl w:ilvl="0" w:tplc="EFA42066">
      <w:start w:val="1"/>
      <w:numFmt w:val="decimal"/>
      <w:pStyle w:val="Heading4"/>
      <w:lvlText w:val="%1. "/>
      <w:lvlJc w:val="left"/>
      <w:pPr>
        <w:ind w:left="36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A368B"/>
    <w:multiLevelType w:val="hybridMultilevel"/>
    <w:tmpl w:val="4FCEE58E"/>
    <w:lvl w:ilvl="0" w:tplc="C612518A">
      <w:start w:val="1"/>
      <w:numFmt w:val="decimal"/>
      <w:lvlText w:val="%1"/>
      <w:lvlJc w:val="left"/>
      <w:pPr>
        <w:ind w:left="720" w:hanging="360"/>
      </w:pPr>
      <w:rPr>
        <w:rFonts w:hint="default"/>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96C6F"/>
    <w:multiLevelType w:val="hybridMultilevel"/>
    <w:tmpl w:val="3592AB0A"/>
    <w:lvl w:ilvl="0" w:tplc="EFA42066">
      <w:start w:val="1"/>
      <w:numFmt w:val="decimal"/>
      <w:lvlText w:val="%1. "/>
      <w:lvlJc w:val="left"/>
      <w:pPr>
        <w:ind w:left="720" w:hanging="360"/>
      </w:pPr>
      <w:rPr>
        <w:rFonts w:hint="default"/>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epatology&lt;/Style&gt;&lt;LeftDelim&gt;{&lt;/LeftDelim&gt;&lt;RightDelim&gt;}&lt;/RightDelim&gt;&lt;FontName&gt;Calibri Light&lt;/FontName&gt;&lt;FontSize&gt;1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0txvzx0fsxx93ererovt2wjazzzzzxdtraa&quot;&gt;naisbitt active Copy&lt;record-ids&gt;&lt;item&gt;2586&lt;/item&gt;&lt;item&gt;2798&lt;/item&gt;&lt;item&gt;3008&lt;/item&gt;&lt;item&gt;3639&lt;/item&gt;&lt;item&gt;4026&lt;/item&gt;&lt;item&gt;4095&lt;/item&gt;&lt;item&gt;4729&lt;/item&gt;&lt;item&gt;4784&lt;/item&gt;&lt;item&gt;4873&lt;/item&gt;&lt;item&gt;5134&lt;/item&gt;&lt;item&gt;5672&lt;/item&gt;&lt;item&gt;5914&lt;/item&gt;&lt;item&gt;6366&lt;/item&gt;&lt;item&gt;6384&lt;/item&gt;&lt;item&gt;6385&lt;/item&gt;&lt;item&gt;6456&lt;/item&gt;&lt;item&gt;6516&lt;/item&gt;&lt;item&gt;6532&lt;/item&gt;&lt;item&gt;6674&lt;/item&gt;&lt;item&gt;6784&lt;/item&gt;&lt;item&gt;7044&lt;/item&gt;&lt;item&gt;7045&lt;/item&gt;&lt;item&gt;7237&lt;/item&gt;&lt;item&gt;7540&lt;/item&gt;&lt;item&gt;7559&lt;/item&gt;&lt;item&gt;7579&lt;/item&gt;&lt;item&gt;7621&lt;/item&gt;&lt;item&gt;7688&lt;/item&gt;&lt;item&gt;7745&lt;/item&gt;&lt;item&gt;7750&lt;/item&gt;&lt;item&gt;7765&lt;/item&gt;&lt;item&gt;7878&lt;/item&gt;&lt;item&gt;7879&lt;/item&gt;&lt;item&gt;7890&lt;/item&gt;&lt;item&gt;7982&lt;/item&gt;&lt;item&gt;8135&lt;/item&gt;&lt;item&gt;8141&lt;/item&gt;&lt;item&gt;8449&lt;/item&gt;&lt;item&gt;8673&lt;/item&gt;&lt;item&gt;8681&lt;/item&gt;&lt;item&gt;8757&lt;/item&gt;&lt;item&gt;8760&lt;/item&gt;&lt;item&gt;8763&lt;/item&gt;&lt;item&gt;8796&lt;/item&gt;&lt;item&gt;8807&lt;/item&gt;&lt;item&gt;9012&lt;/item&gt;&lt;item&gt;9013&lt;/item&gt;&lt;item&gt;9015&lt;/item&gt;&lt;item&gt;9020&lt;/item&gt;&lt;item&gt;9028&lt;/item&gt;&lt;/record-ids&gt;&lt;/item&gt;&lt;/Libraries&gt;"/>
  </w:docVars>
  <w:rsids>
    <w:rsidRoot w:val="003E595E"/>
    <w:rsid w:val="000008AF"/>
    <w:rsid w:val="00007D4F"/>
    <w:rsid w:val="0001047A"/>
    <w:rsid w:val="00025F85"/>
    <w:rsid w:val="000320EA"/>
    <w:rsid w:val="000367AA"/>
    <w:rsid w:val="00037683"/>
    <w:rsid w:val="000419F6"/>
    <w:rsid w:val="00050BD7"/>
    <w:rsid w:val="00052E06"/>
    <w:rsid w:val="00053FA2"/>
    <w:rsid w:val="000546E7"/>
    <w:rsid w:val="0006294F"/>
    <w:rsid w:val="00073A46"/>
    <w:rsid w:val="0007475B"/>
    <w:rsid w:val="0007504A"/>
    <w:rsid w:val="000844CF"/>
    <w:rsid w:val="00084519"/>
    <w:rsid w:val="00091660"/>
    <w:rsid w:val="000A639D"/>
    <w:rsid w:val="000A7B7A"/>
    <w:rsid w:val="000B2C5E"/>
    <w:rsid w:val="000B3ED3"/>
    <w:rsid w:val="000B5E36"/>
    <w:rsid w:val="000C6731"/>
    <w:rsid w:val="000C6F60"/>
    <w:rsid w:val="000D77D7"/>
    <w:rsid w:val="000F1199"/>
    <w:rsid w:val="000F7D3C"/>
    <w:rsid w:val="00101BC3"/>
    <w:rsid w:val="00106540"/>
    <w:rsid w:val="00140541"/>
    <w:rsid w:val="001470F5"/>
    <w:rsid w:val="0016176F"/>
    <w:rsid w:val="0016331B"/>
    <w:rsid w:val="00165FE4"/>
    <w:rsid w:val="00172962"/>
    <w:rsid w:val="00172D7A"/>
    <w:rsid w:val="0017357E"/>
    <w:rsid w:val="00174A11"/>
    <w:rsid w:val="0018164D"/>
    <w:rsid w:val="0018323F"/>
    <w:rsid w:val="0018628B"/>
    <w:rsid w:val="00186B12"/>
    <w:rsid w:val="00191449"/>
    <w:rsid w:val="00194B08"/>
    <w:rsid w:val="001A3021"/>
    <w:rsid w:val="001A559C"/>
    <w:rsid w:val="001C15B2"/>
    <w:rsid w:val="001D1776"/>
    <w:rsid w:val="001D4E9E"/>
    <w:rsid w:val="001E1764"/>
    <w:rsid w:val="001E20DC"/>
    <w:rsid w:val="001F7A2C"/>
    <w:rsid w:val="002040A5"/>
    <w:rsid w:val="00205E67"/>
    <w:rsid w:val="00212076"/>
    <w:rsid w:val="00213DD9"/>
    <w:rsid w:val="002303F6"/>
    <w:rsid w:val="0023359D"/>
    <w:rsid w:val="0023591E"/>
    <w:rsid w:val="0023715D"/>
    <w:rsid w:val="00247A32"/>
    <w:rsid w:val="002531E6"/>
    <w:rsid w:val="00257D03"/>
    <w:rsid w:val="00261C35"/>
    <w:rsid w:val="00263665"/>
    <w:rsid w:val="00274111"/>
    <w:rsid w:val="00274476"/>
    <w:rsid w:val="002745EA"/>
    <w:rsid w:val="00280681"/>
    <w:rsid w:val="0028137C"/>
    <w:rsid w:val="002814E6"/>
    <w:rsid w:val="0028482B"/>
    <w:rsid w:val="002A2070"/>
    <w:rsid w:val="002B4642"/>
    <w:rsid w:val="002C3DA9"/>
    <w:rsid w:val="002E329A"/>
    <w:rsid w:val="002F4B08"/>
    <w:rsid w:val="003038CA"/>
    <w:rsid w:val="003135D5"/>
    <w:rsid w:val="00322A3D"/>
    <w:rsid w:val="00336F75"/>
    <w:rsid w:val="00341D04"/>
    <w:rsid w:val="00354026"/>
    <w:rsid w:val="00354A6B"/>
    <w:rsid w:val="00354F2D"/>
    <w:rsid w:val="00356B45"/>
    <w:rsid w:val="00365372"/>
    <w:rsid w:val="00374019"/>
    <w:rsid w:val="00375BF5"/>
    <w:rsid w:val="0037683A"/>
    <w:rsid w:val="0038648F"/>
    <w:rsid w:val="003868AA"/>
    <w:rsid w:val="003900EC"/>
    <w:rsid w:val="00392EE7"/>
    <w:rsid w:val="003A19DC"/>
    <w:rsid w:val="003A47F7"/>
    <w:rsid w:val="003B15E3"/>
    <w:rsid w:val="003B39D3"/>
    <w:rsid w:val="003B604D"/>
    <w:rsid w:val="003B7688"/>
    <w:rsid w:val="003C33DF"/>
    <w:rsid w:val="003D33C0"/>
    <w:rsid w:val="003E595E"/>
    <w:rsid w:val="003F335E"/>
    <w:rsid w:val="003F3F85"/>
    <w:rsid w:val="0040492C"/>
    <w:rsid w:val="00407348"/>
    <w:rsid w:val="00424B83"/>
    <w:rsid w:val="0043328E"/>
    <w:rsid w:val="00434406"/>
    <w:rsid w:val="0043587C"/>
    <w:rsid w:val="004361F4"/>
    <w:rsid w:val="004458CC"/>
    <w:rsid w:val="00445FFA"/>
    <w:rsid w:val="00450609"/>
    <w:rsid w:val="00450E6E"/>
    <w:rsid w:val="00453B21"/>
    <w:rsid w:val="00472DB8"/>
    <w:rsid w:val="0047425A"/>
    <w:rsid w:val="00481C1C"/>
    <w:rsid w:val="00487E3C"/>
    <w:rsid w:val="00491B86"/>
    <w:rsid w:val="0049243B"/>
    <w:rsid w:val="004A11F6"/>
    <w:rsid w:val="004B1F39"/>
    <w:rsid w:val="004C14AC"/>
    <w:rsid w:val="004C24BC"/>
    <w:rsid w:val="004C3549"/>
    <w:rsid w:val="004C6F67"/>
    <w:rsid w:val="004E0729"/>
    <w:rsid w:val="004F04DD"/>
    <w:rsid w:val="004F2D54"/>
    <w:rsid w:val="004F5A43"/>
    <w:rsid w:val="004F6045"/>
    <w:rsid w:val="004F7EF5"/>
    <w:rsid w:val="0050283E"/>
    <w:rsid w:val="005038D3"/>
    <w:rsid w:val="00503EC4"/>
    <w:rsid w:val="005127E9"/>
    <w:rsid w:val="00525425"/>
    <w:rsid w:val="0054555E"/>
    <w:rsid w:val="00554F3B"/>
    <w:rsid w:val="00563C41"/>
    <w:rsid w:val="00565506"/>
    <w:rsid w:val="005669AB"/>
    <w:rsid w:val="00570B82"/>
    <w:rsid w:val="005779DE"/>
    <w:rsid w:val="00583547"/>
    <w:rsid w:val="00585318"/>
    <w:rsid w:val="00591119"/>
    <w:rsid w:val="00593F37"/>
    <w:rsid w:val="0059791F"/>
    <w:rsid w:val="00597A1C"/>
    <w:rsid w:val="005A1816"/>
    <w:rsid w:val="005A2DF4"/>
    <w:rsid w:val="005B58F3"/>
    <w:rsid w:val="005B601C"/>
    <w:rsid w:val="005C7840"/>
    <w:rsid w:val="00602318"/>
    <w:rsid w:val="006047EC"/>
    <w:rsid w:val="00610E8C"/>
    <w:rsid w:val="00617A4B"/>
    <w:rsid w:val="006210DA"/>
    <w:rsid w:val="00622329"/>
    <w:rsid w:val="00626B87"/>
    <w:rsid w:val="006306F7"/>
    <w:rsid w:val="00631BB8"/>
    <w:rsid w:val="00632276"/>
    <w:rsid w:val="006332FA"/>
    <w:rsid w:val="0063358B"/>
    <w:rsid w:val="00653049"/>
    <w:rsid w:val="0066298E"/>
    <w:rsid w:val="0066506F"/>
    <w:rsid w:val="00674662"/>
    <w:rsid w:val="0068564E"/>
    <w:rsid w:val="006863CE"/>
    <w:rsid w:val="00692BC5"/>
    <w:rsid w:val="00695F09"/>
    <w:rsid w:val="00697BDD"/>
    <w:rsid w:val="006B6D37"/>
    <w:rsid w:val="006C72A3"/>
    <w:rsid w:val="006D1E32"/>
    <w:rsid w:val="006E598E"/>
    <w:rsid w:val="006F1231"/>
    <w:rsid w:val="00701507"/>
    <w:rsid w:val="00705824"/>
    <w:rsid w:val="00711E95"/>
    <w:rsid w:val="00740611"/>
    <w:rsid w:val="00750201"/>
    <w:rsid w:val="00753D5B"/>
    <w:rsid w:val="00763D1E"/>
    <w:rsid w:val="00765D9C"/>
    <w:rsid w:val="007742B8"/>
    <w:rsid w:val="00774DF4"/>
    <w:rsid w:val="00781626"/>
    <w:rsid w:val="007824F9"/>
    <w:rsid w:val="007905EF"/>
    <w:rsid w:val="00790615"/>
    <w:rsid w:val="007A5453"/>
    <w:rsid w:val="007A63CA"/>
    <w:rsid w:val="007A741A"/>
    <w:rsid w:val="007C0010"/>
    <w:rsid w:val="007D0046"/>
    <w:rsid w:val="007D4E17"/>
    <w:rsid w:val="007E17BD"/>
    <w:rsid w:val="007E7656"/>
    <w:rsid w:val="007F14C0"/>
    <w:rsid w:val="007F488C"/>
    <w:rsid w:val="00812609"/>
    <w:rsid w:val="008203C6"/>
    <w:rsid w:val="00823C1E"/>
    <w:rsid w:val="00825540"/>
    <w:rsid w:val="008263C0"/>
    <w:rsid w:val="008312A4"/>
    <w:rsid w:val="0083508F"/>
    <w:rsid w:val="00835A11"/>
    <w:rsid w:val="008368C7"/>
    <w:rsid w:val="00840A3D"/>
    <w:rsid w:val="00842063"/>
    <w:rsid w:val="008477B8"/>
    <w:rsid w:val="00852360"/>
    <w:rsid w:val="008728DF"/>
    <w:rsid w:val="00875CA2"/>
    <w:rsid w:val="00876144"/>
    <w:rsid w:val="00880C9D"/>
    <w:rsid w:val="00880D9E"/>
    <w:rsid w:val="008812BA"/>
    <w:rsid w:val="00886BED"/>
    <w:rsid w:val="00895F62"/>
    <w:rsid w:val="00896E5B"/>
    <w:rsid w:val="008A504E"/>
    <w:rsid w:val="008B4549"/>
    <w:rsid w:val="008D3BD1"/>
    <w:rsid w:val="008E4F6F"/>
    <w:rsid w:val="008F3656"/>
    <w:rsid w:val="00905035"/>
    <w:rsid w:val="0090616A"/>
    <w:rsid w:val="00910D3B"/>
    <w:rsid w:val="00911875"/>
    <w:rsid w:val="00916A3C"/>
    <w:rsid w:val="00933310"/>
    <w:rsid w:val="00934140"/>
    <w:rsid w:val="009541E9"/>
    <w:rsid w:val="00957799"/>
    <w:rsid w:val="009736EC"/>
    <w:rsid w:val="0097466E"/>
    <w:rsid w:val="0098358A"/>
    <w:rsid w:val="00984C26"/>
    <w:rsid w:val="0098549F"/>
    <w:rsid w:val="00994265"/>
    <w:rsid w:val="00996D6A"/>
    <w:rsid w:val="00997C64"/>
    <w:rsid w:val="009A0590"/>
    <w:rsid w:val="009A2CEA"/>
    <w:rsid w:val="009A7675"/>
    <w:rsid w:val="009A79D4"/>
    <w:rsid w:val="009B0C67"/>
    <w:rsid w:val="009B2C0F"/>
    <w:rsid w:val="009C0C8B"/>
    <w:rsid w:val="009C2170"/>
    <w:rsid w:val="009D4C9E"/>
    <w:rsid w:val="009E206C"/>
    <w:rsid w:val="009F0341"/>
    <w:rsid w:val="009F3A07"/>
    <w:rsid w:val="009F562D"/>
    <w:rsid w:val="009F6435"/>
    <w:rsid w:val="00A06E7C"/>
    <w:rsid w:val="00A07322"/>
    <w:rsid w:val="00A173A0"/>
    <w:rsid w:val="00A234B6"/>
    <w:rsid w:val="00A25A6E"/>
    <w:rsid w:val="00A30F68"/>
    <w:rsid w:val="00A3350A"/>
    <w:rsid w:val="00A41161"/>
    <w:rsid w:val="00A45AE9"/>
    <w:rsid w:val="00A47AE4"/>
    <w:rsid w:val="00A5378A"/>
    <w:rsid w:val="00A54448"/>
    <w:rsid w:val="00A61ED9"/>
    <w:rsid w:val="00A83977"/>
    <w:rsid w:val="00A844EC"/>
    <w:rsid w:val="00AA256A"/>
    <w:rsid w:val="00AA3B6C"/>
    <w:rsid w:val="00AB3FA0"/>
    <w:rsid w:val="00AB4228"/>
    <w:rsid w:val="00AC19F3"/>
    <w:rsid w:val="00AC25A7"/>
    <w:rsid w:val="00AC6AB0"/>
    <w:rsid w:val="00AC6D11"/>
    <w:rsid w:val="00AC7117"/>
    <w:rsid w:val="00AD1281"/>
    <w:rsid w:val="00AD26CA"/>
    <w:rsid w:val="00AD4DCE"/>
    <w:rsid w:val="00AD600C"/>
    <w:rsid w:val="00AE70FE"/>
    <w:rsid w:val="00AF31EB"/>
    <w:rsid w:val="00AF5529"/>
    <w:rsid w:val="00AF566A"/>
    <w:rsid w:val="00AF6E41"/>
    <w:rsid w:val="00AF746F"/>
    <w:rsid w:val="00B01018"/>
    <w:rsid w:val="00B17F25"/>
    <w:rsid w:val="00B259E0"/>
    <w:rsid w:val="00B3423E"/>
    <w:rsid w:val="00B37501"/>
    <w:rsid w:val="00B464A2"/>
    <w:rsid w:val="00B60A84"/>
    <w:rsid w:val="00B63A67"/>
    <w:rsid w:val="00B73676"/>
    <w:rsid w:val="00B8776A"/>
    <w:rsid w:val="00B9583D"/>
    <w:rsid w:val="00BA0734"/>
    <w:rsid w:val="00BB1E41"/>
    <w:rsid w:val="00BB7DD0"/>
    <w:rsid w:val="00BD3A94"/>
    <w:rsid w:val="00BD4580"/>
    <w:rsid w:val="00BE585B"/>
    <w:rsid w:val="00BF201F"/>
    <w:rsid w:val="00BF4121"/>
    <w:rsid w:val="00C03191"/>
    <w:rsid w:val="00C16715"/>
    <w:rsid w:val="00C2222D"/>
    <w:rsid w:val="00C36AB2"/>
    <w:rsid w:val="00C477A7"/>
    <w:rsid w:val="00C515F4"/>
    <w:rsid w:val="00C55E20"/>
    <w:rsid w:val="00C65EA9"/>
    <w:rsid w:val="00C6775D"/>
    <w:rsid w:val="00C7211F"/>
    <w:rsid w:val="00C81C8A"/>
    <w:rsid w:val="00C837ED"/>
    <w:rsid w:val="00C866D1"/>
    <w:rsid w:val="00CA4746"/>
    <w:rsid w:val="00CC1BC2"/>
    <w:rsid w:val="00CC34BF"/>
    <w:rsid w:val="00CC61C5"/>
    <w:rsid w:val="00CD0263"/>
    <w:rsid w:val="00CD718B"/>
    <w:rsid w:val="00CE00C6"/>
    <w:rsid w:val="00CE08FB"/>
    <w:rsid w:val="00CE1ED9"/>
    <w:rsid w:val="00CE6733"/>
    <w:rsid w:val="00CF1CB4"/>
    <w:rsid w:val="00CF24DF"/>
    <w:rsid w:val="00CF5DC5"/>
    <w:rsid w:val="00CF6467"/>
    <w:rsid w:val="00D14B56"/>
    <w:rsid w:val="00D275D8"/>
    <w:rsid w:val="00D3407F"/>
    <w:rsid w:val="00D37934"/>
    <w:rsid w:val="00D428D5"/>
    <w:rsid w:val="00D522DA"/>
    <w:rsid w:val="00D52EC6"/>
    <w:rsid w:val="00D5528C"/>
    <w:rsid w:val="00D605DE"/>
    <w:rsid w:val="00D73622"/>
    <w:rsid w:val="00D8125E"/>
    <w:rsid w:val="00D813D9"/>
    <w:rsid w:val="00D819B0"/>
    <w:rsid w:val="00D97287"/>
    <w:rsid w:val="00DA65E7"/>
    <w:rsid w:val="00DB1936"/>
    <w:rsid w:val="00DB2760"/>
    <w:rsid w:val="00DE026D"/>
    <w:rsid w:val="00DE083D"/>
    <w:rsid w:val="00DF3FA2"/>
    <w:rsid w:val="00DF493D"/>
    <w:rsid w:val="00DF6D24"/>
    <w:rsid w:val="00E00FEA"/>
    <w:rsid w:val="00E04263"/>
    <w:rsid w:val="00E0433A"/>
    <w:rsid w:val="00E0719F"/>
    <w:rsid w:val="00E138DB"/>
    <w:rsid w:val="00E17345"/>
    <w:rsid w:val="00E1781A"/>
    <w:rsid w:val="00E206F5"/>
    <w:rsid w:val="00E22C64"/>
    <w:rsid w:val="00E24F51"/>
    <w:rsid w:val="00E31DD6"/>
    <w:rsid w:val="00E32B2A"/>
    <w:rsid w:val="00E364E8"/>
    <w:rsid w:val="00E400BF"/>
    <w:rsid w:val="00E40D88"/>
    <w:rsid w:val="00E42BA9"/>
    <w:rsid w:val="00E47EFF"/>
    <w:rsid w:val="00E515C9"/>
    <w:rsid w:val="00E51B44"/>
    <w:rsid w:val="00E53D02"/>
    <w:rsid w:val="00E57401"/>
    <w:rsid w:val="00E67C99"/>
    <w:rsid w:val="00E7156C"/>
    <w:rsid w:val="00E7220D"/>
    <w:rsid w:val="00E820A5"/>
    <w:rsid w:val="00EA3694"/>
    <w:rsid w:val="00EA4E2E"/>
    <w:rsid w:val="00ED34C4"/>
    <w:rsid w:val="00ED444B"/>
    <w:rsid w:val="00ED6EB0"/>
    <w:rsid w:val="00EE27CC"/>
    <w:rsid w:val="00EE6BD6"/>
    <w:rsid w:val="00EF02E9"/>
    <w:rsid w:val="00EF05B3"/>
    <w:rsid w:val="00EF5069"/>
    <w:rsid w:val="00EF766A"/>
    <w:rsid w:val="00F00BA7"/>
    <w:rsid w:val="00F01CD8"/>
    <w:rsid w:val="00F03B11"/>
    <w:rsid w:val="00F053ED"/>
    <w:rsid w:val="00F12029"/>
    <w:rsid w:val="00F15DBF"/>
    <w:rsid w:val="00F20D4E"/>
    <w:rsid w:val="00F220BD"/>
    <w:rsid w:val="00F3689A"/>
    <w:rsid w:val="00F54246"/>
    <w:rsid w:val="00F54E9A"/>
    <w:rsid w:val="00F60F9D"/>
    <w:rsid w:val="00F6337F"/>
    <w:rsid w:val="00F73882"/>
    <w:rsid w:val="00F75B7A"/>
    <w:rsid w:val="00F810CD"/>
    <w:rsid w:val="00F8379D"/>
    <w:rsid w:val="00F83D67"/>
    <w:rsid w:val="00F93667"/>
    <w:rsid w:val="00F9405B"/>
    <w:rsid w:val="00FA2176"/>
    <w:rsid w:val="00FB1975"/>
    <w:rsid w:val="00FB1E46"/>
    <w:rsid w:val="00FB5694"/>
    <w:rsid w:val="00FC0C09"/>
    <w:rsid w:val="00FD49F6"/>
    <w:rsid w:val="00FE3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FD365"/>
  <w15:chartTrackingRefBased/>
  <w15:docId w15:val="{3C62CC49-9342-458A-B78A-B016C9D6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595E"/>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3E595E"/>
    <w:pPr>
      <w:keepNext/>
      <w:keepLines/>
      <w:spacing w:before="40" w:after="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591119"/>
    <w:pPr>
      <w:keepNext/>
      <w:keepLines/>
      <w:spacing w:before="4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4C6F67"/>
    <w:pPr>
      <w:keepNext/>
      <w:keepLines/>
      <w:numPr>
        <w:numId w:val="1"/>
      </w:numPr>
      <w:spacing w:after="0" w:line="240" w:lineRule="auto"/>
      <w:outlineLvl w:val="3"/>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95E"/>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3E595E"/>
    <w:rPr>
      <w:rFonts w:asciiTheme="majorHAnsi" w:eastAsiaTheme="majorEastAsia" w:hAnsiTheme="majorHAnsi" w:cstheme="majorBidi"/>
      <w:b/>
      <w:sz w:val="28"/>
      <w:szCs w:val="26"/>
    </w:rPr>
  </w:style>
  <w:style w:type="character" w:styleId="CommentReference">
    <w:name w:val="annotation reference"/>
    <w:basedOn w:val="DefaultParagraphFont"/>
    <w:uiPriority w:val="99"/>
    <w:semiHidden/>
    <w:unhideWhenUsed/>
    <w:rsid w:val="000419F6"/>
    <w:rPr>
      <w:sz w:val="16"/>
      <w:szCs w:val="16"/>
    </w:rPr>
  </w:style>
  <w:style w:type="paragraph" w:styleId="CommentText">
    <w:name w:val="annotation text"/>
    <w:basedOn w:val="Normal"/>
    <w:link w:val="CommentTextChar"/>
    <w:uiPriority w:val="99"/>
    <w:semiHidden/>
    <w:unhideWhenUsed/>
    <w:rsid w:val="000419F6"/>
    <w:pPr>
      <w:spacing w:line="240" w:lineRule="auto"/>
    </w:pPr>
    <w:rPr>
      <w:sz w:val="20"/>
      <w:szCs w:val="20"/>
    </w:rPr>
  </w:style>
  <w:style w:type="character" w:customStyle="1" w:styleId="CommentTextChar">
    <w:name w:val="Comment Text Char"/>
    <w:basedOn w:val="DefaultParagraphFont"/>
    <w:link w:val="CommentText"/>
    <w:uiPriority w:val="99"/>
    <w:semiHidden/>
    <w:rsid w:val="000419F6"/>
    <w:rPr>
      <w:sz w:val="20"/>
      <w:szCs w:val="20"/>
    </w:rPr>
  </w:style>
  <w:style w:type="paragraph" w:styleId="BalloonText">
    <w:name w:val="Balloon Text"/>
    <w:basedOn w:val="Normal"/>
    <w:link w:val="BalloonTextChar"/>
    <w:uiPriority w:val="99"/>
    <w:semiHidden/>
    <w:unhideWhenUsed/>
    <w:rsid w:val="0004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9F6"/>
    <w:rPr>
      <w:rFonts w:ascii="Segoe UI" w:hAnsi="Segoe UI" w:cs="Segoe UI"/>
      <w:sz w:val="18"/>
      <w:szCs w:val="18"/>
    </w:rPr>
  </w:style>
  <w:style w:type="paragraph" w:customStyle="1" w:styleId="EndNoteBibliographyTitle">
    <w:name w:val="EndNote Bibliography Title"/>
    <w:basedOn w:val="Normal"/>
    <w:link w:val="EndNoteBibliographyTitleChar"/>
    <w:rsid w:val="0028137C"/>
    <w:pPr>
      <w:spacing w:after="0"/>
      <w:jc w:val="center"/>
    </w:pPr>
    <w:rPr>
      <w:rFonts w:ascii="Calibri Light" w:hAnsi="Calibri Light" w:cs="Calibri Light"/>
      <w:noProof/>
      <w:sz w:val="28"/>
      <w:lang w:val="en-US"/>
    </w:rPr>
  </w:style>
  <w:style w:type="character" w:customStyle="1" w:styleId="EndNoteBibliographyTitleChar">
    <w:name w:val="EndNote Bibliography Title Char"/>
    <w:basedOn w:val="DefaultParagraphFont"/>
    <w:link w:val="EndNoteBibliographyTitle"/>
    <w:rsid w:val="0028137C"/>
    <w:rPr>
      <w:rFonts w:ascii="Calibri Light" w:hAnsi="Calibri Light" w:cs="Calibri Light"/>
      <w:noProof/>
      <w:sz w:val="28"/>
      <w:lang w:val="en-US"/>
    </w:rPr>
  </w:style>
  <w:style w:type="paragraph" w:customStyle="1" w:styleId="EndNoteBibliography">
    <w:name w:val="EndNote Bibliography"/>
    <w:basedOn w:val="Normal"/>
    <w:link w:val="EndNoteBibliographyChar"/>
    <w:rsid w:val="0028137C"/>
    <w:pPr>
      <w:spacing w:line="240" w:lineRule="auto"/>
    </w:pPr>
    <w:rPr>
      <w:rFonts w:ascii="Calibri Light" w:hAnsi="Calibri Light" w:cs="Calibri Light"/>
      <w:noProof/>
      <w:sz w:val="28"/>
      <w:lang w:val="en-US"/>
    </w:rPr>
  </w:style>
  <w:style w:type="character" w:customStyle="1" w:styleId="EndNoteBibliographyChar">
    <w:name w:val="EndNote Bibliography Char"/>
    <w:basedOn w:val="DefaultParagraphFont"/>
    <w:link w:val="EndNoteBibliography"/>
    <w:rsid w:val="0028137C"/>
    <w:rPr>
      <w:rFonts w:ascii="Calibri Light" w:hAnsi="Calibri Light" w:cs="Calibri Light"/>
      <w:noProof/>
      <w:sz w:val="28"/>
      <w:lang w:val="en-US"/>
    </w:rPr>
  </w:style>
  <w:style w:type="character" w:styleId="Hyperlink">
    <w:name w:val="Hyperlink"/>
    <w:basedOn w:val="DefaultParagraphFont"/>
    <w:uiPriority w:val="99"/>
    <w:unhideWhenUsed/>
    <w:rsid w:val="00F8379D"/>
    <w:rPr>
      <w:color w:val="0563C1" w:themeColor="hyperlink"/>
      <w:u w:val="single"/>
    </w:rPr>
  </w:style>
  <w:style w:type="character" w:customStyle="1" w:styleId="Heading3Char">
    <w:name w:val="Heading 3 Char"/>
    <w:basedOn w:val="DefaultParagraphFont"/>
    <w:link w:val="Heading3"/>
    <w:uiPriority w:val="9"/>
    <w:rsid w:val="00591119"/>
    <w:rPr>
      <w:rFonts w:asciiTheme="majorHAnsi" w:eastAsiaTheme="majorEastAsia" w:hAnsiTheme="majorHAnsi" w:cstheme="majorBidi"/>
      <w:b/>
      <w:color w:val="000000" w:themeColor="text1"/>
      <w:sz w:val="24"/>
      <w:szCs w:val="24"/>
    </w:rPr>
  </w:style>
  <w:style w:type="character" w:customStyle="1" w:styleId="Heading4Char">
    <w:name w:val="Heading 4 Char"/>
    <w:basedOn w:val="DefaultParagraphFont"/>
    <w:link w:val="Heading4"/>
    <w:uiPriority w:val="9"/>
    <w:rsid w:val="004C6F67"/>
    <w:rPr>
      <w:rFonts w:asciiTheme="majorHAnsi" w:eastAsiaTheme="majorEastAsia" w:hAnsiTheme="majorHAnsi" w:cstheme="majorBidi"/>
      <w:b/>
      <w:iCs/>
      <w:color w:val="000000" w:themeColor="text1"/>
    </w:rPr>
  </w:style>
  <w:style w:type="paragraph" w:styleId="ListParagraph">
    <w:name w:val="List Paragraph"/>
    <w:basedOn w:val="Normal"/>
    <w:uiPriority w:val="34"/>
    <w:qFormat/>
    <w:rsid w:val="009A79D4"/>
    <w:pPr>
      <w:ind w:left="720"/>
      <w:contextualSpacing/>
    </w:pPr>
  </w:style>
  <w:style w:type="paragraph" w:styleId="CommentSubject">
    <w:name w:val="annotation subject"/>
    <w:basedOn w:val="CommentText"/>
    <w:next w:val="CommentText"/>
    <w:link w:val="CommentSubjectChar"/>
    <w:uiPriority w:val="99"/>
    <w:semiHidden/>
    <w:unhideWhenUsed/>
    <w:rsid w:val="00472DB8"/>
    <w:rPr>
      <w:b/>
      <w:bCs/>
    </w:rPr>
  </w:style>
  <w:style w:type="paragraph" w:styleId="TableofFigures">
    <w:name w:val="table of figures"/>
    <w:basedOn w:val="Normal"/>
    <w:next w:val="Normal"/>
    <w:uiPriority w:val="99"/>
    <w:semiHidden/>
    <w:unhideWhenUsed/>
    <w:rsid w:val="004F2D54"/>
    <w:pPr>
      <w:spacing w:after="0"/>
    </w:pPr>
  </w:style>
  <w:style w:type="character" w:customStyle="1" w:styleId="CommentSubjectChar">
    <w:name w:val="Comment Subject Char"/>
    <w:basedOn w:val="CommentTextChar"/>
    <w:link w:val="CommentSubject"/>
    <w:uiPriority w:val="99"/>
    <w:semiHidden/>
    <w:rsid w:val="00472DB8"/>
    <w:rPr>
      <w:b/>
      <w:bCs/>
      <w:sz w:val="20"/>
      <w:szCs w:val="20"/>
    </w:rPr>
  </w:style>
  <w:style w:type="character" w:styleId="LineNumber">
    <w:name w:val="line number"/>
    <w:basedOn w:val="DefaultParagraphFont"/>
    <w:uiPriority w:val="99"/>
    <w:semiHidden/>
    <w:unhideWhenUsed/>
    <w:rsid w:val="00CA4746"/>
  </w:style>
  <w:style w:type="character" w:customStyle="1" w:styleId="institution">
    <w:name w:val="institution"/>
    <w:basedOn w:val="DefaultParagraphFont"/>
    <w:rsid w:val="00CA4746"/>
  </w:style>
  <w:style w:type="character" w:customStyle="1" w:styleId="country">
    <w:name w:val="country"/>
    <w:basedOn w:val="DefaultParagraphFont"/>
    <w:rsid w:val="00CA4746"/>
  </w:style>
  <w:style w:type="paragraph" w:styleId="BodyText">
    <w:name w:val="Body Text"/>
    <w:basedOn w:val="Normal"/>
    <w:link w:val="BodyTextChar"/>
    <w:uiPriority w:val="99"/>
    <w:unhideWhenUsed/>
    <w:rsid w:val="00CE08FB"/>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CE08FB"/>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A2070"/>
    <w:rPr>
      <w:b/>
      <w:bCs/>
    </w:rPr>
  </w:style>
  <w:style w:type="character" w:styleId="Emphasis">
    <w:name w:val="Emphasis"/>
    <w:basedOn w:val="DefaultParagraphFont"/>
    <w:uiPriority w:val="20"/>
    <w:qFormat/>
    <w:rsid w:val="00D522DA"/>
    <w:rPr>
      <w:i/>
      <w:iCs/>
    </w:rPr>
  </w:style>
  <w:style w:type="paragraph" w:customStyle="1" w:styleId="BodyText12">
    <w:name w:val="Body Text 12"/>
    <w:link w:val="BodyText12Char"/>
    <w:qFormat/>
    <w:rsid w:val="004C14AC"/>
    <w:pPr>
      <w:spacing w:after="240" w:line="264" w:lineRule="auto"/>
      <w:jc w:val="both"/>
    </w:pPr>
    <w:rPr>
      <w:rFonts w:ascii="Times New Roman" w:eastAsia="Times New Roman" w:hAnsi="Times New Roman" w:cs="Times New Roman"/>
      <w:sz w:val="24"/>
      <w:szCs w:val="20"/>
      <w:lang w:val="en-US"/>
    </w:rPr>
  </w:style>
  <w:style w:type="table" w:styleId="PlainTable2">
    <w:name w:val="Plain Table 2"/>
    <w:basedOn w:val="TableNormal"/>
    <w:uiPriority w:val="42"/>
    <w:rsid w:val="00997C64"/>
    <w:pPr>
      <w:spacing w:after="0" w:line="240" w:lineRule="auto"/>
    </w:pPr>
    <w:rPr>
      <w:rFonts w:eastAsiaTheme="minorEastAsia"/>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odyText12Char">
    <w:name w:val="Body Text 12 Char"/>
    <w:basedOn w:val="DefaultParagraphFont"/>
    <w:link w:val="BodyText12"/>
    <w:rsid w:val="00876144"/>
    <w:rPr>
      <w:rFonts w:ascii="Times New Roman" w:eastAsia="Times New Roman" w:hAnsi="Times New Roman" w:cs="Times New Roman"/>
      <w:sz w:val="24"/>
      <w:szCs w:val="20"/>
      <w:lang w:val="en-US"/>
    </w:rPr>
  </w:style>
  <w:style w:type="paragraph" w:styleId="NormalWeb">
    <w:name w:val="Normal (Web)"/>
    <w:basedOn w:val="Normal"/>
    <w:uiPriority w:val="99"/>
    <w:semiHidden/>
    <w:unhideWhenUsed/>
    <w:rsid w:val="00FE37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60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5DE"/>
  </w:style>
  <w:style w:type="paragraph" w:styleId="Footer">
    <w:name w:val="footer"/>
    <w:basedOn w:val="Normal"/>
    <w:link w:val="FooterChar"/>
    <w:uiPriority w:val="99"/>
    <w:unhideWhenUsed/>
    <w:rsid w:val="00D60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5DE"/>
  </w:style>
  <w:style w:type="character" w:customStyle="1" w:styleId="labs-docsum-authors">
    <w:name w:val="labs-docsum-authors"/>
    <w:basedOn w:val="DefaultParagraphFont"/>
    <w:rsid w:val="00E17345"/>
  </w:style>
  <w:style w:type="character" w:customStyle="1" w:styleId="labs-docsum-journal-citation">
    <w:name w:val="labs-docsum-journal-citation"/>
    <w:basedOn w:val="DefaultParagraphFont"/>
    <w:rsid w:val="00E17345"/>
  </w:style>
  <w:style w:type="paragraph" w:styleId="Revision">
    <w:name w:val="Revision"/>
    <w:hidden/>
    <w:uiPriority w:val="99"/>
    <w:semiHidden/>
    <w:rsid w:val="00050BD7"/>
    <w:pPr>
      <w:spacing w:after="0" w:line="240" w:lineRule="auto"/>
    </w:pPr>
  </w:style>
  <w:style w:type="character" w:customStyle="1" w:styleId="docsum-authors">
    <w:name w:val="docsum-authors"/>
    <w:basedOn w:val="DefaultParagraphFont"/>
    <w:rsid w:val="00565506"/>
  </w:style>
  <w:style w:type="character" w:customStyle="1" w:styleId="docsum-journal-citation">
    <w:name w:val="docsum-journal-citation"/>
    <w:basedOn w:val="DefaultParagraphFont"/>
    <w:rsid w:val="00565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21573">
      <w:bodyDiv w:val="1"/>
      <w:marLeft w:val="0"/>
      <w:marRight w:val="0"/>
      <w:marTop w:val="0"/>
      <w:marBottom w:val="0"/>
      <w:divBdr>
        <w:top w:val="none" w:sz="0" w:space="0" w:color="auto"/>
        <w:left w:val="none" w:sz="0" w:space="0" w:color="auto"/>
        <w:bottom w:val="none" w:sz="0" w:space="0" w:color="auto"/>
        <w:right w:val="none" w:sz="0" w:space="0" w:color="auto"/>
      </w:divBdr>
      <w:divsChild>
        <w:div w:id="686828982">
          <w:marLeft w:val="0"/>
          <w:marRight w:val="0"/>
          <w:marTop w:val="0"/>
          <w:marBottom w:val="0"/>
          <w:divBdr>
            <w:top w:val="none" w:sz="0" w:space="0" w:color="auto"/>
            <w:left w:val="none" w:sz="0" w:space="0" w:color="auto"/>
            <w:bottom w:val="none" w:sz="0" w:space="0" w:color="auto"/>
            <w:right w:val="none" w:sz="0" w:space="0" w:color="auto"/>
          </w:divBdr>
        </w:div>
        <w:div w:id="921184851">
          <w:marLeft w:val="0"/>
          <w:marRight w:val="0"/>
          <w:marTop w:val="0"/>
          <w:marBottom w:val="0"/>
          <w:divBdr>
            <w:top w:val="none" w:sz="0" w:space="0" w:color="auto"/>
            <w:left w:val="none" w:sz="0" w:space="0" w:color="auto"/>
            <w:bottom w:val="none" w:sz="0" w:space="0" w:color="auto"/>
            <w:right w:val="none" w:sz="0" w:space="0" w:color="auto"/>
          </w:divBdr>
        </w:div>
        <w:div w:id="1243564081">
          <w:marLeft w:val="0"/>
          <w:marRight w:val="0"/>
          <w:marTop w:val="0"/>
          <w:marBottom w:val="0"/>
          <w:divBdr>
            <w:top w:val="none" w:sz="0" w:space="0" w:color="auto"/>
            <w:left w:val="none" w:sz="0" w:space="0" w:color="auto"/>
            <w:bottom w:val="none" w:sz="0" w:space="0" w:color="auto"/>
            <w:right w:val="none" w:sz="0" w:space="0" w:color="auto"/>
          </w:divBdr>
        </w:div>
      </w:divsChild>
    </w:div>
    <w:div w:id="306591261">
      <w:bodyDiv w:val="1"/>
      <w:marLeft w:val="0"/>
      <w:marRight w:val="0"/>
      <w:marTop w:val="0"/>
      <w:marBottom w:val="0"/>
      <w:divBdr>
        <w:top w:val="none" w:sz="0" w:space="0" w:color="auto"/>
        <w:left w:val="none" w:sz="0" w:space="0" w:color="auto"/>
        <w:bottom w:val="none" w:sz="0" w:space="0" w:color="auto"/>
        <w:right w:val="none" w:sz="0" w:space="0" w:color="auto"/>
      </w:divBdr>
    </w:div>
    <w:div w:id="358094503">
      <w:bodyDiv w:val="1"/>
      <w:marLeft w:val="0"/>
      <w:marRight w:val="0"/>
      <w:marTop w:val="0"/>
      <w:marBottom w:val="0"/>
      <w:divBdr>
        <w:top w:val="none" w:sz="0" w:space="0" w:color="auto"/>
        <w:left w:val="none" w:sz="0" w:space="0" w:color="auto"/>
        <w:bottom w:val="none" w:sz="0" w:space="0" w:color="auto"/>
        <w:right w:val="none" w:sz="0" w:space="0" w:color="auto"/>
      </w:divBdr>
      <w:divsChild>
        <w:div w:id="1121266812">
          <w:marLeft w:val="0"/>
          <w:marRight w:val="0"/>
          <w:marTop w:val="0"/>
          <w:marBottom w:val="0"/>
          <w:divBdr>
            <w:top w:val="none" w:sz="0" w:space="0" w:color="auto"/>
            <w:left w:val="none" w:sz="0" w:space="0" w:color="auto"/>
            <w:bottom w:val="none" w:sz="0" w:space="0" w:color="auto"/>
            <w:right w:val="none" w:sz="0" w:space="0" w:color="auto"/>
          </w:divBdr>
        </w:div>
      </w:divsChild>
    </w:div>
    <w:div w:id="376702894">
      <w:bodyDiv w:val="1"/>
      <w:marLeft w:val="0"/>
      <w:marRight w:val="0"/>
      <w:marTop w:val="0"/>
      <w:marBottom w:val="0"/>
      <w:divBdr>
        <w:top w:val="none" w:sz="0" w:space="0" w:color="auto"/>
        <w:left w:val="none" w:sz="0" w:space="0" w:color="auto"/>
        <w:bottom w:val="none" w:sz="0" w:space="0" w:color="auto"/>
        <w:right w:val="none" w:sz="0" w:space="0" w:color="auto"/>
      </w:divBdr>
      <w:divsChild>
        <w:div w:id="303045454">
          <w:marLeft w:val="0"/>
          <w:marRight w:val="0"/>
          <w:marTop w:val="0"/>
          <w:marBottom w:val="0"/>
          <w:divBdr>
            <w:top w:val="none" w:sz="0" w:space="0" w:color="auto"/>
            <w:left w:val="none" w:sz="0" w:space="0" w:color="auto"/>
            <w:bottom w:val="none" w:sz="0" w:space="0" w:color="auto"/>
            <w:right w:val="none" w:sz="0" w:space="0" w:color="auto"/>
          </w:divBdr>
        </w:div>
      </w:divsChild>
    </w:div>
    <w:div w:id="393745173">
      <w:bodyDiv w:val="1"/>
      <w:marLeft w:val="0"/>
      <w:marRight w:val="0"/>
      <w:marTop w:val="0"/>
      <w:marBottom w:val="0"/>
      <w:divBdr>
        <w:top w:val="none" w:sz="0" w:space="0" w:color="auto"/>
        <w:left w:val="none" w:sz="0" w:space="0" w:color="auto"/>
        <w:bottom w:val="none" w:sz="0" w:space="0" w:color="auto"/>
        <w:right w:val="none" w:sz="0" w:space="0" w:color="auto"/>
      </w:divBdr>
    </w:div>
    <w:div w:id="457837784">
      <w:bodyDiv w:val="1"/>
      <w:marLeft w:val="0"/>
      <w:marRight w:val="0"/>
      <w:marTop w:val="0"/>
      <w:marBottom w:val="0"/>
      <w:divBdr>
        <w:top w:val="none" w:sz="0" w:space="0" w:color="auto"/>
        <w:left w:val="none" w:sz="0" w:space="0" w:color="auto"/>
        <w:bottom w:val="none" w:sz="0" w:space="0" w:color="auto"/>
        <w:right w:val="none" w:sz="0" w:space="0" w:color="auto"/>
      </w:divBdr>
    </w:div>
    <w:div w:id="523137282">
      <w:bodyDiv w:val="1"/>
      <w:marLeft w:val="0"/>
      <w:marRight w:val="0"/>
      <w:marTop w:val="0"/>
      <w:marBottom w:val="0"/>
      <w:divBdr>
        <w:top w:val="none" w:sz="0" w:space="0" w:color="auto"/>
        <w:left w:val="none" w:sz="0" w:space="0" w:color="auto"/>
        <w:bottom w:val="none" w:sz="0" w:space="0" w:color="auto"/>
        <w:right w:val="none" w:sz="0" w:space="0" w:color="auto"/>
      </w:divBdr>
    </w:div>
    <w:div w:id="725295009">
      <w:bodyDiv w:val="1"/>
      <w:marLeft w:val="0"/>
      <w:marRight w:val="0"/>
      <w:marTop w:val="0"/>
      <w:marBottom w:val="0"/>
      <w:divBdr>
        <w:top w:val="none" w:sz="0" w:space="0" w:color="auto"/>
        <w:left w:val="none" w:sz="0" w:space="0" w:color="auto"/>
        <w:bottom w:val="none" w:sz="0" w:space="0" w:color="auto"/>
        <w:right w:val="none" w:sz="0" w:space="0" w:color="auto"/>
      </w:divBdr>
    </w:div>
    <w:div w:id="962810022">
      <w:bodyDiv w:val="1"/>
      <w:marLeft w:val="0"/>
      <w:marRight w:val="0"/>
      <w:marTop w:val="0"/>
      <w:marBottom w:val="0"/>
      <w:divBdr>
        <w:top w:val="none" w:sz="0" w:space="0" w:color="auto"/>
        <w:left w:val="none" w:sz="0" w:space="0" w:color="auto"/>
        <w:bottom w:val="none" w:sz="0" w:space="0" w:color="auto"/>
        <w:right w:val="none" w:sz="0" w:space="0" w:color="auto"/>
      </w:divBdr>
    </w:div>
    <w:div w:id="1051535574">
      <w:bodyDiv w:val="1"/>
      <w:marLeft w:val="0"/>
      <w:marRight w:val="0"/>
      <w:marTop w:val="0"/>
      <w:marBottom w:val="0"/>
      <w:divBdr>
        <w:top w:val="none" w:sz="0" w:space="0" w:color="auto"/>
        <w:left w:val="none" w:sz="0" w:space="0" w:color="auto"/>
        <w:bottom w:val="none" w:sz="0" w:space="0" w:color="auto"/>
        <w:right w:val="none" w:sz="0" w:space="0" w:color="auto"/>
      </w:divBdr>
      <w:divsChild>
        <w:div w:id="1114860773">
          <w:marLeft w:val="0"/>
          <w:marRight w:val="0"/>
          <w:marTop w:val="0"/>
          <w:marBottom w:val="0"/>
          <w:divBdr>
            <w:top w:val="none" w:sz="0" w:space="0" w:color="auto"/>
            <w:left w:val="none" w:sz="0" w:space="0" w:color="auto"/>
            <w:bottom w:val="none" w:sz="0" w:space="0" w:color="auto"/>
            <w:right w:val="none" w:sz="0" w:space="0" w:color="auto"/>
          </w:divBdr>
        </w:div>
      </w:divsChild>
    </w:div>
    <w:div w:id="1165321010">
      <w:bodyDiv w:val="1"/>
      <w:marLeft w:val="0"/>
      <w:marRight w:val="0"/>
      <w:marTop w:val="0"/>
      <w:marBottom w:val="0"/>
      <w:divBdr>
        <w:top w:val="none" w:sz="0" w:space="0" w:color="auto"/>
        <w:left w:val="none" w:sz="0" w:space="0" w:color="auto"/>
        <w:bottom w:val="none" w:sz="0" w:space="0" w:color="auto"/>
        <w:right w:val="none" w:sz="0" w:space="0" w:color="auto"/>
      </w:divBdr>
      <w:divsChild>
        <w:div w:id="358245638">
          <w:marLeft w:val="0"/>
          <w:marRight w:val="0"/>
          <w:marTop w:val="0"/>
          <w:marBottom w:val="0"/>
          <w:divBdr>
            <w:top w:val="none" w:sz="0" w:space="0" w:color="auto"/>
            <w:left w:val="none" w:sz="0" w:space="0" w:color="auto"/>
            <w:bottom w:val="none" w:sz="0" w:space="0" w:color="auto"/>
            <w:right w:val="none" w:sz="0" w:space="0" w:color="auto"/>
          </w:divBdr>
        </w:div>
      </w:divsChild>
    </w:div>
    <w:div w:id="1212614555">
      <w:bodyDiv w:val="1"/>
      <w:marLeft w:val="0"/>
      <w:marRight w:val="0"/>
      <w:marTop w:val="0"/>
      <w:marBottom w:val="0"/>
      <w:divBdr>
        <w:top w:val="none" w:sz="0" w:space="0" w:color="auto"/>
        <w:left w:val="none" w:sz="0" w:space="0" w:color="auto"/>
        <w:bottom w:val="none" w:sz="0" w:space="0" w:color="auto"/>
        <w:right w:val="none" w:sz="0" w:space="0" w:color="auto"/>
      </w:divBdr>
    </w:div>
    <w:div w:id="1292983554">
      <w:bodyDiv w:val="1"/>
      <w:marLeft w:val="0"/>
      <w:marRight w:val="0"/>
      <w:marTop w:val="0"/>
      <w:marBottom w:val="0"/>
      <w:divBdr>
        <w:top w:val="none" w:sz="0" w:space="0" w:color="auto"/>
        <w:left w:val="none" w:sz="0" w:space="0" w:color="auto"/>
        <w:bottom w:val="none" w:sz="0" w:space="0" w:color="auto"/>
        <w:right w:val="none" w:sz="0" w:space="0" w:color="auto"/>
      </w:divBdr>
    </w:div>
    <w:div w:id="1470631235">
      <w:bodyDiv w:val="1"/>
      <w:marLeft w:val="0"/>
      <w:marRight w:val="0"/>
      <w:marTop w:val="0"/>
      <w:marBottom w:val="0"/>
      <w:divBdr>
        <w:top w:val="none" w:sz="0" w:space="0" w:color="auto"/>
        <w:left w:val="none" w:sz="0" w:space="0" w:color="auto"/>
        <w:bottom w:val="none" w:sz="0" w:space="0" w:color="auto"/>
        <w:right w:val="none" w:sz="0" w:space="0" w:color="auto"/>
      </w:divBdr>
    </w:div>
    <w:div w:id="1587809623">
      <w:bodyDiv w:val="1"/>
      <w:marLeft w:val="0"/>
      <w:marRight w:val="0"/>
      <w:marTop w:val="0"/>
      <w:marBottom w:val="0"/>
      <w:divBdr>
        <w:top w:val="none" w:sz="0" w:space="0" w:color="auto"/>
        <w:left w:val="none" w:sz="0" w:space="0" w:color="auto"/>
        <w:bottom w:val="none" w:sz="0" w:space="0" w:color="auto"/>
        <w:right w:val="none" w:sz="0" w:space="0" w:color="auto"/>
      </w:divBdr>
    </w:div>
    <w:div w:id="1625962113">
      <w:bodyDiv w:val="1"/>
      <w:marLeft w:val="0"/>
      <w:marRight w:val="0"/>
      <w:marTop w:val="0"/>
      <w:marBottom w:val="0"/>
      <w:divBdr>
        <w:top w:val="none" w:sz="0" w:space="0" w:color="auto"/>
        <w:left w:val="none" w:sz="0" w:space="0" w:color="auto"/>
        <w:bottom w:val="none" w:sz="0" w:space="0" w:color="auto"/>
        <w:right w:val="none" w:sz="0" w:space="0" w:color="auto"/>
      </w:divBdr>
    </w:div>
    <w:div w:id="1730037265">
      <w:bodyDiv w:val="1"/>
      <w:marLeft w:val="0"/>
      <w:marRight w:val="0"/>
      <w:marTop w:val="0"/>
      <w:marBottom w:val="0"/>
      <w:divBdr>
        <w:top w:val="none" w:sz="0" w:space="0" w:color="auto"/>
        <w:left w:val="none" w:sz="0" w:space="0" w:color="auto"/>
        <w:bottom w:val="none" w:sz="0" w:space="0" w:color="auto"/>
        <w:right w:val="none" w:sz="0" w:space="0" w:color="auto"/>
      </w:divBdr>
    </w:div>
    <w:div w:id="1803380108">
      <w:bodyDiv w:val="1"/>
      <w:marLeft w:val="0"/>
      <w:marRight w:val="0"/>
      <w:marTop w:val="0"/>
      <w:marBottom w:val="0"/>
      <w:divBdr>
        <w:top w:val="none" w:sz="0" w:space="0" w:color="auto"/>
        <w:left w:val="none" w:sz="0" w:space="0" w:color="auto"/>
        <w:bottom w:val="none" w:sz="0" w:space="0" w:color="auto"/>
        <w:right w:val="none" w:sz="0" w:space="0" w:color="auto"/>
      </w:divBdr>
    </w:div>
    <w:div w:id="1813600947">
      <w:bodyDiv w:val="1"/>
      <w:marLeft w:val="0"/>
      <w:marRight w:val="0"/>
      <w:marTop w:val="0"/>
      <w:marBottom w:val="0"/>
      <w:divBdr>
        <w:top w:val="none" w:sz="0" w:space="0" w:color="auto"/>
        <w:left w:val="none" w:sz="0" w:space="0" w:color="auto"/>
        <w:bottom w:val="none" w:sz="0" w:space="0" w:color="auto"/>
        <w:right w:val="none" w:sz="0" w:space="0" w:color="auto"/>
      </w:divBdr>
      <w:divsChild>
        <w:div w:id="2146967974">
          <w:marLeft w:val="0"/>
          <w:marRight w:val="0"/>
          <w:marTop w:val="0"/>
          <w:marBottom w:val="0"/>
          <w:divBdr>
            <w:top w:val="none" w:sz="0" w:space="0" w:color="auto"/>
            <w:left w:val="none" w:sz="0" w:space="0" w:color="auto"/>
            <w:bottom w:val="none" w:sz="0" w:space="0" w:color="auto"/>
            <w:right w:val="none" w:sz="0" w:space="0" w:color="auto"/>
          </w:divBdr>
        </w:div>
      </w:divsChild>
    </w:div>
    <w:div w:id="1888448929">
      <w:bodyDiv w:val="1"/>
      <w:marLeft w:val="0"/>
      <w:marRight w:val="0"/>
      <w:marTop w:val="0"/>
      <w:marBottom w:val="0"/>
      <w:divBdr>
        <w:top w:val="none" w:sz="0" w:space="0" w:color="auto"/>
        <w:left w:val="none" w:sz="0" w:space="0" w:color="auto"/>
        <w:bottom w:val="none" w:sz="0" w:space="0" w:color="auto"/>
        <w:right w:val="none" w:sz="0" w:space="0" w:color="auto"/>
      </w:divBdr>
    </w:div>
    <w:div w:id="2138065803">
      <w:bodyDiv w:val="1"/>
      <w:marLeft w:val="0"/>
      <w:marRight w:val="0"/>
      <w:marTop w:val="0"/>
      <w:marBottom w:val="0"/>
      <w:divBdr>
        <w:top w:val="none" w:sz="0" w:space="0" w:color="auto"/>
        <w:left w:val="none" w:sz="0" w:space="0" w:color="auto"/>
        <w:bottom w:val="none" w:sz="0" w:space="0" w:color="auto"/>
        <w:right w:val="none" w:sz="0" w:space="0" w:color="auto"/>
      </w:divBdr>
      <w:divsChild>
        <w:div w:id="452939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ubmed.ncbi.nlm.nih.gov/30843233/"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16284C648E59419D09F0919E3C156D" ma:contentTypeVersion="12" ma:contentTypeDescription="Create a new document." ma:contentTypeScope="" ma:versionID="6bbf8445192d89fc1b8b40e122900c40">
  <xsd:schema xmlns:xsd="http://www.w3.org/2001/XMLSchema" xmlns:xs="http://www.w3.org/2001/XMLSchema" xmlns:p="http://schemas.microsoft.com/office/2006/metadata/properties" xmlns:ns3="0bed3697-eb5b-4749-836d-8a466bb179fd" xmlns:ns4="3ca80dbd-120d-4b6a-b370-26bc81c494dc" targetNamespace="http://schemas.microsoft.com/office/2006/metadata/properties" ma:root="true" ma:fieldsID="65cdab981b24391f5b78f0a40345636a" ns3:_="" ns4:_="">
    <xsd:import namespace="0bed3697-eb5b-4749-836d-8a466bb179fd"/>
    <xsd:import namespace="3ca80dbd-120d-4b6a-b370-26bc81c494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d3697-eb5b-4749-836d-8a466bb179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a80dbd-120d-4b6a-b370-26bc81c494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S i m c y p D a t a   x m l n s = " h t t p : / / w w w . s i m c y p . c o m / " >  
     < P r o f i l e C h a r t s / >  
     < R e s u l t s T a b l e s / >  
     < S t a t i s t i c s C h a r t s / >  
     < R e g i o n a l F r a c t i o n C h a r t s / >  
     < I n p u t T a b l e s / >  
 < / S i m c y p 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7EA3F-745C-4F46-B1EB-5714261FD4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F46237-C996-40A2-BD2C-14D45DAFD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d3697-eb5b-4749-836d-8a466bb179fd"/>
    <ds:schemaRef ds:uri="3ca80dbd-120d-4b6a-b370-26bc81c49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C87412-BE65-445B-ADD5-632BC3C65F6C}">
  <ds:schemaRefs>
    <ds:schemaRef ds:uri="http://schemas.microsoft.com/sharepoint/v3/contenttype/forms"/>
  </ds:schemaRefs>
</ds:datastoreItem>
</file>

<file path=customXml/itemProps4.xml><?xml version="1.0" encoding="utf-8"?>
<ds:datastoreItem xmlns:ds="http://schemas.openxmlformats.org/officeDocument/2006/customXml" ds:itemID="{C413C083-0281-4F88-9808-BBB882E75DF4}">
  <ds:schemaRefs>
    <ds:schemaRef ds:uri="http://www.simcyp.com/"/>
  </ds:schemaRefs>
</ds:datastoreItem>
</file>

<file path=customXml/itemProps5.xml><?xml version="1.0" encoding="utf-8"?>
<ds:datastoreItem xmlns:ds="http://schemas.openxmlformats.org/officeDocument/2006/customXml" ds:itemID="{EBB51271-9DA5-48FF-AFD9-91F0E62A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7865</Words>
  <Characters>44834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Paul [pjth10]</dc:creator>
  <cp:keywords/>
  <dc:description/>
  <cp:lastModifiedBy>Naisbitt, Dean</cp:lastModifiedBy>
  <cp:revision>2</cp:revision>
  <cp:lastPrinted>2020-02-18T15:55:00Z</cp:lastPrinted>
  <dcterms:created xsi:type="dcterms:W3CDTF">2020-10-30T15:33:00Z</dcterms:created>
  <dcterms:modified xsi:type="dcterms:W3CDTF">2020-10-30T15:33:00Z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0x010100FC16284C648E59419D09F0919E3C156D</vt:lpwstr>
  </property>
</Properties>
</file>