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B14F2" w14:textId="4C3FD2EC" w:rsidR="00DD4258" w:rsidRPr="00DB5DC8" w:rsidRDefault="00DB5DC8" w:rsidP="003D25D4">
      <w:pPr>
        <w:pStyle w:val="NormalWeb"/>
        <w:spacing w:line="360" w:lineRule="auto"/>
        <w:jc w:val="both"/>
        <w:rPr>
          <w:b/>
          <w:bCs/>
          <w:color w:val="000000"/>
          <w:sz w:val="32"/>
          <w:szCs w:val="32"/>
        </w:rPr>
      </w:pPr>
      <w:r w:rsidRPr="00DB5DC8">
        <w:rPr>
          <w:b/>
          <w:bCs/>
          <w:color w:val="000000"/>
          <w:sz w:val="32"/>
          <w:szCs w:val="32"/>
        </w:rPr>
        <w:t>3</w:t>
      </w:r>
      <w:r w:rsidRPr="00DB5DC8">
        <w:rPr>
          <w:b/>
          <w:bCs/>
          <w:color w:val="000000"/>
          <w:sz w:val="32"/>
          <w:szCs w:val="32"/>
        </w:rPr>
        <w:tab/>
      </w:r>
      <w:r w:rsidR="00CF56E2" w:rsidRPr="00DB5DC8">
        <w:rPr>
          <w:b/>
          <w:bCs/>
          <w:color w:val="000000"/>
          <w:sz w:val="32"/>
          <w:szCs w:val="32"/>
        </w:rPr>
        <w:t xml:space="preserve">Critical </w:t>
      </w:r>
      <w:r w:rsidR="00DD4258" w:rsidRPr="00DB5DC8">
        <w:rPr>
          <w:b/>
          <w:bCs/>
          <w:color w:val="000000"/>
          <w:sz w:val="32"/>
          <w:szCs w:val="32"/>
        </w:rPr>
        <w:t xml:space="preserve">Perspectives on the Partial Defence of Loss of </w:t>
      </w:r>
      <w:r>
        <w:rPr>
          <w:b/>
          <w:bCs/>
          <w:color w:val="000000"/>
          <w:sz w:val="32"/>
          <w:szCs w:val="32"/>
        </w:rPr>
        <w:tab/>
      </w:r>
      <w:r w:rsidR="00DD4258" w:rsidRPr="00DB5DC8">
        <w:rPr>
          <w:b/>
          <w:bCs/>
          <w:color w:val="000000"/>
          <w:sz w:val="32"/>
          <w:szCs w:val="32"/>
        </w:rPr>
        <w:t xml:space="preserve">Control: Justice for </w:t>
      </w:r>
      <w:r w:rsidRPr="00DB5DC8">
        <w:rPr>
          <w:b/>
          <w:bCs/>
          <w:color w:val="000000"/>
          <w:sz w:val="32"/>
          <w:szCs w:val="32"/>
        </w:rPr>
        <w:tab/>
      </w:r>
      <w:r w:rsidR="00F106BA" w:rsidRPr="00DB5DC8">
        <w:rPr>
          <w:b/>
          <w:bCs/>
          <w:color w:val="000000"/>
          <w:sz w:val="32"/>
          <w:szCs w:val="32"/>
        </w:rPr>
        <w:t>Women</w:t>
      </w:r>
      <w:r w:rsidR="00956CBB" w:rsidRPr="00DB5DC8">
        <w:rPr>
          <w:b/>
          <w:bCs/>
          <w:color w:val="000000"/>
          <w:sz w:val="32"/>
          <w:szCs w:val="32"/>
        </w:rPr>
        <w:t>?</w:t>
      </w:r>
    </w:p>
    <w:p w14:paraId="5DE47672" w14:textId="74929557" w:rsidR="00DD4258" w:rsidRPr="00DB5DC8" w:rsidRDefault="00DD4258" w:rsidP="00DB5DC8">
      <w:pPr>
        <w:pStyle w:val="NormalWeb"/>
        <w:spacing w:line="360" w:lineRule="auto"/>
        <w:ind w:firstLine="720"/>
        <w:jc w:val="both"/>
        <w:rPr>
          <w:i/>
          <w:iCs/>
          <w:color w:val="000000"/>
          <w:sz w:val="32"/>
          <w:szCs w:val="32"/>
        </w:rPr>
      </w:pPr>
      <w:r w:rsidRPr="00DB5DC8">
        <w:rPr>
          <w:i/>
          <w:iCs/>
          <w:color w:val="000000"/>
          <w:sz w:val="32"/>
          <w:szCs w:val="32"/>
        </w:rPr>
        <w:t>Anna Carline</w:t>
      </w:r>
    </w:p>
    <w:p w14:paraId="5BCB2F2A" w14:textId="6F879BB0" w:rsidR="00A95930" w:rsidRPr="00D50742" w:rsidRDefault="00DD4258" w:rsidP="00E05B22">
      <w:pPr>
        <w:pStyle w:val="NormalWeb"/>
        <w:spacing w:line="360" w:lineRule="auto"/>
        <w:jc w:val="both"/>
      </w:pPr>
      <w:r w:rsidRPr="002B016D">
        <w:rPr>
          <w:color w:val="000000"/>
        </w:rPr>
        <w:t xml:space="preserve">A significant literature </w:t>
      </w:r>
      <w:r w:rsidR="00FF0228" w:rsidRPr="002B016D">
        <w:rPr>
          <w:color w:val="000000"/>
        </w:rPr>
        <w:t xml:space="preserve">has </w:t>
      </w:r>
      <w:r w:rsidRPr="002B016D">
        <w:rPr>
          <w:color w:val="000000"/>
        </w:rPr>
        <w:t xml:space="preserve">highlighted how the previous partial defence of provocation failed women who killed their abusive partners. One particular concern was the </w:t>
      </w:r>
      <w:r w:rsidR="00F92B9F" w:rsidRPr="002B016D">
        <w:rPr>
          <w:color w:val="000000"/>
        </w:rPr>
        <w:t>inability</w:t>
      </w:r>
      <w:r w:rsidRPr="002B016D">
        <w:rPr>
          <w:color w:val="000000"/>
        </w:rPr>
        <w:t xml:space="preserve"> of the subjective element of the defence – that of a sudden loss of control – to respond to the circumstances in which women who were subjected to domestic abuse reacted to their abusers. </w:t>
      </w:r>
      <w:r w:rsidR="005E7380" w:rsidRPr="002B016D">
        <w:rPr>
          <w:color w:val="000000"/>
        </w:rPr>
        <w:t>T</w:t>
      </w:r>
      <w:r w:rsidRPr="002B016D">
        <w:rPr>
          <w:color w:val="000000"/>
        </w:rPr>
        <w:t xml:space="preserve">his chapter will explore whether the new loss of control defence, as contained in section 54 of the Coroners and Justice Act 2009, has improved the </w:t>
      </w:r>
      <w:proofErr w:type="gramStart"/>
      <w:r w:rsidRPr="002B016D">
        <w:rPr>
          <w:color w:val="000000"/>
        </w:rPr>
        <w:t>situation</w:t>
      </w:r>
      <w:proofErr w:type="gramEnd"/>
      <w:r w:rsidRPr="002B016D">
        <w:rPr>
          <w:color w:val="000000"/>
        </w:rPr>
        <w:t xml:space="preserve"> and enabled abused women </w:t>
      </w:r>
      <w:r w:rsidR="00860094">
        <w:rPr>
          <w:color w:val="000000"/>
        </w:rPr>
        <w:t xml:space="preserve">to </w:t>
      </w:r>
      <w:r w:rsidRPr="002B016D">
        <w:rPr>
          <w:color w:val="000000"/>
        </w:rPr>
        <w:t xml:space="preserve">access justice. </w:t>
      </w:r>
      <w:r w:rsidR="004E374E" w:rsidRPr="00D50742">
        <w:t>T</w:t>
      </w:r>
      <w:r w:rsidR="00013290" w:rsidRPr="00D50742">
        <w:t>he focus</w:t>
      </w:r>
      <w:r w:rsidR="001E1FD2" w:rsidRPr="00D50742">
        <w:t xml:space="preserve"> of the analysis will be</w:t>
      </w:r>
      <w:r w:rsidR="00013290" w:rsidRPr="00D50742">
        <w:t xml:space="preserve"> primarily on those </w:t>
      </w:r>
      <w:r w:rsidR="009F6AF9" w:rsidRPr="00D50742">
        <w:t xml:space="preserve">reported appeal </w:t>
      </w:r>
      <w:r w:rsidR="00013290" w:rsidRPr="00D50742">
        <w:t>cases in which the defendant has killed their partner. This will include those who were married, or otherwise, as well as those in which the victim was an ex-partner/spouse.</w:t>
      </w:r>
      <w:r w:rsidR="00013290" w:rsidRPr="00D50742">
        <w:rPr>
          <w:b/>
          <w:bCs/>
        </w:rPr>
        <w:t xml:space="preserve"> </w:t>
      </w:r>
      <w:r w:rsidR="00013290" w:rsidRPr="00D50742">
        <w:t>The focus will also be on those</w:t>
      </w:r>
      <w:r w:rsidR="001E1FD2" w:rsidRPr="00D50742">
        <w:t xml:space="preserve"> cases</w:t>
      </w:r>
      <w:r w:rsidR="00013290" w:rsidRPr="00D50742">
        <w:t xml:space="preserve"> which shed some light on either the</w:t>
      </w:r>
      <w:r w:rsidR="00F4474A" w:rsidRPr="00D50742">
        <w:t xml:space="preserve"> requirement of a</w:t>
      </w:r>
      <w:r w:rsidR="00013290" w:rsidRPr="00D50742">
        <w:t xml:space="preserve"> loss of control or </w:t>
      </w:r>
      <w:r w:rsidR="00F4474A" w:rsidRPr="00D50742">
        <w:t>one of</w:t>
      </w:r>
      <w:r w:rsidR="00013290" w:rsidRPr="00D50742">
        <w:t xml:space="preserve"> </w:t>
      </w:r>
      <w:r w:rsidR="00EA728A" w:rsidRPr="00D50742">
        <w:t xml:space="preserve">the </w:t>
      </w:r>
      <w:r w:rsidR="00013290" w:rsidRPr="00D50742">
        <w:t>qualifying triggers</w:t>
      </w:r>
      <w:r w:rsidR="00F4474A" w:rsidRPr="00D50742">
        <w:t>, as set out in section</w:t>
      </w:r>
      <w:r w:rsidR="00263805" w:rsidRPr="00D50742">
        <w:t>s 54 and</w:t>
      </w:r>
      <w:r w:rsidR="00F4474A" w:rsidRPr="00D50742">
        <w:t xml:space="preserve"> 5</w:t>
      </w:r>
      <w:r w:rsidR="00263805" w:rsidRPr="00D50742">
        <w:t>5</w:t>
      </w:r>
      <w:r w:rsidR="00F4474A" w:rsidRPr="00D50742">
        <w:t xml:space="preserve"> of the 2009 Act</w:t>
      </w:r>
      <w:r w:rsidR="00013290" w:rsidRPr="00D50742">
        <w:t>.</w:t>
      </w:r>
      <w:r w:rsidR="00013290" w:rsidRPr="00D50742">
        <w:rPr>
          <w:b/>
          <w:bCs/>
        </w:rPr>
        <w:t xml:space="preserve"> </w:t>
      </w:r>
      <w:r w:rsidR="00013290" w:rsidRPr="00D50742">
        <w:t>There are of course significant limitations to relying upon reported</w:t>
      </w:r>
      <w:r w:rsidR="00013290" w:rsidRPr="00D50742">
        <w:rPr>
          <w:b/>
          <w:bCs/>
        </w:rPr>
        <w:t xml:space="preserve"> </w:t>
      </w:r>
      <w:r w:rsidR="00013290" w:rsidRPr="00D50742">
        <w:t xml:space="preserve">judgments, the key being that the analysis is restricted to those in which there has been an appeal (whether against conviction or sentence). This </w:t>
      </w:r>
      <w:r w:rsidR="00807332" w:rsidRPr="00D50742">
        <w:t>subsequently</w:t>
      </w:r>
      <w:r w:rsidR="00013290" w:rsidRPr="00D50742">
        <w:t xml:space="preserve"> paints a rather partial picture. But what is significant for this chapter is the </w:t>
      </w:r>
      <w:r w:rsidR="009A6B55" w:rsidRPr="00D50742">
        <w:t xml:space="preserve">relative </w:t>
      </w:r>
      <w:r w:rsidR="00982B46" w:rsidRPr="00D50742">
        <w:t>lack</w:t>
      </w:r>
      <w:r w:rsidR="00013290" w:rsidRPr="00D50742">
        <w:t xml:space="preserve"> of </w:t>
      </w:r>
      <w:r w:rsidR="00FB5AF6" w:rsidRPr="00D50742">
        <w:t xml:space="preserve">appeal </w:t>
      </w:r>
      <w:r w:rsidR="00013290" w:rsidRPr="00D50742">
        <w:t>cases involving women who killed an abusive partner</w:t>
      </w:r>
      <w:r w:rsidR="00E749B1" w:rsidRPr="00D50742">
        <w:t xml:space="preserve"> (see also </w:t>
      </w:r>
      <w:r w:rsidR="006F518D" w:rsidRPr="00D50742">
        <w:t xml:space="preserve">Claydon &amp; </w:t>
      </w:r>
      <w:proofErr w:type="spellStart"/>
      <w:r w:rsidR="006F518D" w:rsidRPr="00D50742">
        <w:t>R</w:t>
      </w:r>
      <w:r w:rsidR="006847A3" w:rsidRPr="00D50742">
        <w:t>ödiger</w:t>
      </w:r>
      <w:proofErr w:type="spellEnd"/>
      <w:r w:rsidR="00F24F87" w:rsidRPr="00D50742">
        <w:t>,</w:t>
      </w:r>
      <w:r w:rsidR="006847A3" w:rsidRPr="00D50742">
        <w:t xml:space="preserve"> 2016)</w:t>
      </w:r>
      <w:r w:rsidR="00982B46" w:rsidRPr="00D50742">
        <w:t xml:space="preserve">. </w:t>
      </w:r>
    </w:p>
    <w:p w14:paraId="3FEF4DD3" w14:textId="4F3BB645" w:rsidR="00DD4258" w:rsidRPr="002B016D" w:rsidRDefault="00501F05" w:rsidP="00F924C6">
      <w:pPr>
        <w:pStyle w:val="NormalWeb"/>
        <w:spacing w:line="360" w:lineRule="auto"/>
        <w:jc w:val="both"/>
        <w:rPr>
          <w:color w:val="000000"/>
        </w:rPr>
      </w:pPr>
      <w:r w:rsidRPr="00D50742">
        <w:t>Consequently,</w:t>
      </w:r>
      <w:r w:rsidR="00982B46" w:rsidRPr="00D50742">
        <w:t xml:space="preserve"> the analysis is developed </w:t>
      </w:r>
      <w:r w:rsidR="001F145B" w:rsidRPr="00D50742">
        <w:t xml:space="preserve">primarily </w:t>
      </w:r>
      <w:r w:rsidR="00982B46" w:rsidRPr="00D50742">
        <w:t xml:space="preserve">by </w:t>
      </w:r>
      <w:r w:rsidR="008A002F" w:rsidRPr="00D50742">
        <w:t>examining cases involving male defendants.</w:t>
      </w:r>
      <w:r w:rsidR="00013290" w:rsidRPr="00D50742">
        <w:t xml:space="preserve"> Perhaps this should not be too surprising, given the gendered reality of homicide</w:t>
      </w:r>
      <w:r w:rsidR="003968A7" w:rsidRPr="00D50742">
        <w:t xml:space="preserve"> (</w:t>
      </w:r>
      <w:proofErr w:type="spellStart"/>
      <w:r w:rsidR="003968A7" w:rsidRPr="00D50742">
        <w:t>Chantler</w:t>
      </w:r>
      <w:proofErr w:type="spellEnd"/>
      <w:r w:rsidR="003968A7" w:rsidRPr="00D50742">
        <w:t xml:space="preserve"> et al</w:t>
      </w:r>
      <w:r w:rsidR="00F24F87" w:rsidRPr="00D50742">
        <w:t>.,</w:t>
      </w:r>
      <w:r w:rsidR="003968A7" w:rsidRPr="00D50742">
        <w:t xml:space="preserve"> </w:t>
      </w:r>
      <w:r w:rsidR="005C07A9" w:rsidRPr="00D50742">
        <w:t>2020</w:t>
      </w:r>
      <w:r w:rsidR="003968A7" w:rsidRPr="00D50742">
        <w:t>)</w:t>
      </w:r>
      <w:r w:rsidR="00013290" w:rsidRPr="00D50742">
        <w:t xml:space="preserve">. It may also suggest that the partial defence </w:t>
      </w:r>
      <w:r w:rsidR="00BC09B3" w:rsidRPr="00D50742">
        <w:t>works</w:t>
      </w:r>
      <w:r w:rsidR="00013290" w:rsidRPr="00D50742">
        <w:t xml:space="preserve"> well in cases</w:t>
      </w:r>
      <w:r w:rsidR="00E20C97" w:rsidRPr="00D50742">
        <w:t xml:space="preserve"> involving abused women</w:t>
      </w:r>
      <w:r w:rsidR="00013290" w:rsidRPr="00D50742">
        <w:t>. Nevertheless, research recently conducted by</w:t>
      </w:r>
      <w:r w:rsidR="00113F57" w:rsidRPr="00D50742">
        <w:t xml:space="preserve"> the Centre for Women’s Justice </w:t>
      </w:r>
      <w:r w:rsidR="000B574F" w:rsidRPr="008108B0">
        <w:t>(2021)</w:t>
      </w:r>
      <w:r w:rsidR="000B574F">
        <w:t xml:space="preserve"> </w:t>
      </w:r>
      <w:r w:rsidR="00013290" w:rsidRPr="00D50742">
        <w:t xml:space="preserve">suggests otherwise, with many women still being convicted </w:t>
      </w:r>
      <w:r w:rsidR="00567751" w:rsidRPr="00D50742">
        <w:t xml:space="preserve">of </w:t>
      </w:r>
      <w:r w:rsidR="00013290" w:rsidRPr="00D50742">
        <w:t xml:space="preserve">murder, despite suffering years of abuse. There is also the issue that while others may be convicted </w:t>
      </w:r>
      <w:r w:rsidR="00201F65" w:rsidRPr="00D50742">
        <w:t xml:space="preserve">of </w:t>
      </w:r>
      <w:r w:rsidR="00013290" w:rsidRPr="00D50742">
        <w:t xml:space="preserve">manslaughter, this may be </w:t>
      </w:r>
      <w:r w:rsidR="008D4BF3" w:rsidRPr="00D50742">
        <w:t>based on</w:t>
      </w:r>
      <w:r w:rsidR="00013290" w:rsidRPr="00D50742">
        <w:t xml:space="preserve"> diminished responsibility, which raises questions regarding the continued construction of abused women as killing due to mental instability as opposed to suffering years of abuse. In contrast, as we will see, while the loss of control defence does not appear to be as readily available to men who kill their partners due to being spurned in some way, cases still indicate that the law continues to mitigate such homicides in</w:t>
      </w:r>
      <w:r w:rsidR="004D3080" w:rsidRPr="00D50742">
        <w:t xml:space="preserve"> such a way that</w:t>
      </w:r>
      <w:r w:rsidR="00013290" w:rsidRPr="00D50742">
        <w:t xml:space="preserve"> continues to frame </w:t>
      </w:r>
      <w:r w:rsidR="00013290" w:rsidRPr="00D50742">
        <w:lastRenderedPageBreak/>
        <w:t xml:space="preserve">the partial defence around a particular script of the masculine body, which </w:t>
      </w:r>
      <w:r w:rsidR="00DD4258" w:rsidRPr="002B016D">
        <w:rPr>
          <w:color w:val="000000"/>
        </w:rPr>
        <w:t>serves to eschew the lived vulnerability and precarity of abused women</w:t>
      </w:r>
      <w:r w:rsidR="0091590F" w:rsidRPr="002B016D">
        <w:rPr>
          <w:color w:val="000000"/>
        </w:rPr>
        <w:t xml:space="preserve"> (Butler</w:t>
      </w:r>
      <w:r w:rsidR="00F924C6" w:rsidRPr="002B016D">
        <w:rPr>
          <w:color w:val="000000"/>
        </w:rPr>
        <w:t>,</w:t>
      </w:r>
      <w:r w:rsidR="0091590F" w:rsidRPr="002B016D">
        <w:rPr>
          <w:color w:val="000000"/>
        </w:rPr>
        <w:t xml:space="preserve"> 2009a</w:t>
      </w:r>
      <w:r w:rsidR="00362FBD" w:rsidRPr="002B016D">
        <w:rPr>
          <w:color w:val="000000"/>
        </w:rPr>
        <w:t>)</w:t>
      </w:r>
      <w:r w:rsidR="00DD4258" w:rsidRPr="002B016D">
        <w:rPr>
          <w:color w:val="000000"/>
        </w:rPr>
        <w:t>.</w:t>
      </w:r>
      <w:r w:rsidR="00F924C6" w:rsidRPr="002B016D">
        <w:rPr>
          <w:rStyle w:val="EndnoteReference"/>
          <w:color w:val="000000"/>
        </w:rPr>
        <w:endnoteReference w:id="1"/>
      </w:r>
      <w:r w:rsidR="00B36238" w:rsidRPr="002B016D">
        <w:rPr>
          <w:color w:val="000000"/>
        </w:rPr>
        <w:t xml:space="preserve"> </w:t>
      </w:r>
    </w:p>
    <w:p w14:paraId="736EBC88" w14:textId="5CC93DF5" w:rsidR="000B1868" w:rsidRPr="002B016D" w:rsidRDefault="00202BDF" w:rsidP="003D25D4">
      <w:pPr>
        <w:spacing w:line="360" w:lineRule="auto"/>
        <w:jc w:val="both"/>
        <w:rPr>
          <w:b w:val="0"/>
          <w:bCs w:val="0"/>
          <w:i/>
          <w:iCs/>
          <w:color w:val="000000"/>
        </w:rPr>
      </w:pPr>
      <w:r w:rsidRPr="002B016D">
        <w:rPr>
          <w:color w:val="000000"/>
        </w:rPr>
        <w:t>Background to Reforming the Law</w:t>
      </w:r>
    </w:p>
    <w:p w14:paraId="71E6495C" w14:textId="7540903F" w:rsidR="002F42C8" w:rsidRPr="002B016D" w:rsidRDefault="002F42C8" w:rsidP="003D25D4">
      <w:pPr>
        <w:spacing w:line="360" w:lineRule="auto"/>
        <w:jc w:val="both"/>
        <w:rPr>
          <w:b w:val="0"/>
          <w:bCs w:val="0"/>
          <w:color w:val="000000"/>
        </w:rPr>
      </w:pPr>
    </w:p>
    <w:p w14:paraId="5968FB5C" w14:textId="0349C001" w:rsidR="00E1558B" w:rsidRPr="002B016D" w:rsidRDefault="0022216B" w:rsidP="003D25D4">
      <w:pPr>
        <w:spacing w:line="360" w:lineRule="auto"/>
        <w:jc w:val="both"/>
        <w:rPr>
          <w:b w:val="0"/>
          <w:bCs w:val="0"/>
        </w:rPr>
      </w:pPr>
      <w:r w:rsidRPr="002B016D">
        <w:rPr>
          <w:b w:val="0"/>
          <w:bCs w:val="0"/>
          <w:color w:val="000000"/>
        </w:rPr>
        <w:t>One of the key drivers</w:t>
      </w:r>
      <w:r w:rsidR="001048AA" w:rsidRPr="002B016D">
        <w:rPr>
          <w:b w:val="0"/>
          <w:bCs w:val="0"/>
          <w:color w:val="000000"/>
        </w:rPr>
        <w:t xml:space="preserve"> behind</w:t>
      </w:r>
      <w:r w:rsidRPr="002B016D">
        <w:rPr>
          <w:b w:val="0"/>
          <w:bCs w:val="0"/>
          <w:color w:val="000000"/>
        </w:rPr>
        <w:t xml:space="preserve"> </w:t>
      </w:r>
      <w:r w:rsidR="005A1E0A" w:rsidRPr="002B016D">
        <w:rPr>
          <w:b w:val="0"/>
          <w:bCs w:val="0"/>
          <w:color w:val="000000"/>
        </w:rPr>
        <w:t>developing the new loss of control defence</w:t>
      </w:r>
      <w:r w:rsidRPr="002B016D">
        <w:rPr>
          <w:b w:val="0"/>
          <w:bCs w:val="0"/>
          <w:color w:val="000000"/>
        </w:rPr>
        <w:t xml:space="preserve"> was the gender discrimination </w:t>
      </w:r>
      <w:r w:rsidR="004A39F5" w:rsidRPr="002B016D">
        <w:rPr>
          <w:b w:val="0"/>
          <w:bCs w:val="0"/>
          <w:color w:val="000000"/>
        </w:rPr>
        <w:t>which flowed from</w:t>
      </w:r>
      <w:r w:rsidR="00725A1E" w:rsidRPr="002B016D">
        <w:rPr>
          <w:b w:val="0"/>
          <w:bCs w:val="0"/>
          <w:color w:val="000000"/>
        </w:rPr>
        <w:t xml:space="preserve"> the requirements of the </w:t>
      </w:r>
      <w:r w:rsidR="000E28E9" w:rsidRPr="002B016D">
        <w:rPr>
          <w:b w:val="0"/>
          <w:bCs w:val="0"/>
          <w:color w:val="000000"/>
        </w:rPr>
        <w:t>law on</w:t>
      </w:r>
      <w:r w:rsidR="00725A1E" w:rsidRPr="002B016D">
        <w:rPr>
          <w:b w:val="0"/>
          <w:bCs w:val="0"/>
          <w:color w:val="000000"/>
        </w:rPr>
        <w:t xml:space="preserve"> provocation, </w:t>
      </w:r>
      <w:r w:rsidR="000E19B7" w:rsidRPr="002B016D">
        <w:rPr>
          <w:b w:val="0"/>
          <w:bCs w:val="0"/>
          <w:color w:val="000000"/>
        </w:rPr>
        <w:t xml:space="preserve">on the basis that it problematically </w:t>
      </w:r>
      <w:r w:rsidR="00725A1E" w:rsidRPr="002B016D">
        <w:rPr>
          <w:b w:val="0"/>
          <w:bCs w:val="0"/>
        </w:rPr>
        <w:t>favour</w:t>
      </w:r>
      <w:r w:rsidR="001048AA" w:rsidRPr="002B016D">
        <w:rPr>
          <w:b w:val="0"/>
          <w:bCs w:val="0"/>
        </w:rPr>
        <w:t>ed</w:t>
      </w:r>
      <w:r w:rsidR="00725A1E" w:rsidRPr="002B016D">
        <w:rPr>
          <w:b w:val="0"/>
          <w:bCs w:val="0"/>
        </w:rPr>
        <w:t xml:space="preserve"> men and exclude</w:t>
      </w:r>
      <w:r w:rsidR="007A6CCF" w:rsidRPr="002B016D">
        <w:rPr>
          <w:b w:val="0"/>
          <w:bCs w:val="0"/>
        </w:rPr>
        <w:t>d</w:t>
      </w:r>
      <w:r w:rsidR="00725A1E" w:rsidRPr="002B016D">
        <w:rPr>
          <w:b w:val="0"/>
          <w:bCs w:val="0"/>
        </w:rPr>
        <w:t xml:space="preserve"> the experiences of women</w:t>
      </w:r>
      <w:r w:rsidR="00D66E11" w:rsidRPr="002B016D">
        <w:rPr>
          <w:b w:val="0"/>
          <w:bCs w:val="0"/>
        </w:rPr>
        <w:t xml:space="preserve"> </w:t>
      </w:r>
      <w:r w:rsidR="00725A1E" w:rsidRPr="002B016D">
        <w:rPr>
          <w:b w:val="0"/>
          <w:bCs w:val="0"/>
        </w:rPr>
        <w:t>(for example</w:t>
      </w:r>
      <w:r w:rsidR="00172E38">
        <w:rPr>
          <w:b w:val="0"/>
          <w:bCs w:val="0"/>
        </w:rPr>
        <w:t>, see</w:t>
      </w:r>
      <w:r w:rsidR="00725A1E" w:rsidRPr="002B016D">
        <w:rPr>
          <w:b w:val="0"/>
          <w:bCs w:val="0"/>
        </w:rPr>
        <w:t xml:space="preserve">: </w:t>
      </w:r>
      <w:proofErr w:type="spellStart"/>
      <w:r w:rsidR="00725A1E" w:rsidRPr="002B016D">
        <w:rPr>
          <w:b w:val="0"/>
          <w:bCs w:val="0"/>
        </w:rPr>
        <w:t>Bandalli</w:t>
      </w:r>
      <w:proofErr w:type="spellEnd"/>
      <w:r w:rsidR="00725A1E" w:rsidRPr="002B016D">
        <w:rPr>
          <w:b w:val="0"/>
          <w:bCs w:val="0"/>
        </w:rPr>
        <w:t xml:space="preserve">, 1995; </w:t>
      </w:r>
      <w:r w:rsidR="00F17D83" w:rsidRPr="002B016D">
        <w:rPr>
          <w:b w:val="0"/>
          <w:bCs w:val="0"/>
        </w:rPr>
        <w:t>Burton</w:t>
      </w:r>
      <w:r w:rsidR="00F24F87" w:rsidRPr="002B016D">
        <w:rPr>
          <w:b w:val="0"/>
          <w:bCs w:val="0"/>
        </w:rPr>
        <w:t>,</w:t>
      </w:r>
      <w:r w:rsidR="00F17D83" w:rsidRPr="002B016D">
        <w:rPr>
          <w:b w:val="0"/>
          <w:bCs w:val="0"/>
        </w:rPr>
        <w:t xml:space="preserve"> 2003; </w:t>
      </w:r>
      <w:r w:rsidR="00B725B3" w:rsidRPr="002B016D">
        <w:rPr>
          <w:b w:val="0"/>
          <w:bCs w:val="0"/>
        </w:rPr>
        <w:t>Carline</w:t>
      </w:r>
      <w:r w:rsidR="00F24F87" w:rsidRPr="002B016D">
        <w:rPr>
          <w:b w:val="0"/>
          <w:bCs w:val="0"/>
        </w:rPr>
        <w:t>,</w:t>
      </w:r>
      <w:r w:rsidR="00B725B3" w:rsidRPr="002B016D">
        <w:rPr>
          <w:b w:val="0"/>
          <w:bCs w:val="0"/>
        </w:rPr>
        <w:t xml:space="preserve"> 2005a</w:t>
      </w:r>
      <w:r w:rsidR="00E544FF">
        <w:rPr>
          <w:b w:val="0"/>
          <w:bCs w:val="0"/>
        </w:rPr>
        <w:t>,</w:t>
      </w:r>
      <w:r w:rsidR="00B725B3" w:rsidRPr="002B016D">
        <w:rPr>
          <w:b w:val="0"/>
          <w:bCs w:val="0"/>
        </w:rPr>
        <w:t xml:space="preserve"> 2005b</w:t>
      </w:r>
      <w:r w:rsidR="00E544FF">
        <w:rPr>
          <w:b w:val="0"/>
          <w:bCs w:val="0"/>
        </w:rPr>
        <w:t>,</w:t>
      </w:r>
      <w:r w:rsidR="00B725B3" w:rsidRPr="002B016D">
        <w:rPr>
          <w:b w:val="0"/>
          <w:bCs w:val="0"/>
        </w:rPr>
        <w:t xml:space="preserve"> 2006; </w:t>
      </w:r>
      <w:r w:rsidR="00B00512" w:rsidRPr="002B016D">
        <w:rPr>
          <w:b w:val="0"/>
          <w:bCs w:val="0"/>
        </w:rPr>
        <w:t>Clough</w:t>
      </w:r>
      <w:r w:rsidR="00F24F87" w:rsidRPr="002B016D">
        <w:rPr>
          <w:b w:val="0"/>
          <w:bCs w:val="0"/>
        </w:rPr>
        <w:t>,</w:t>
      </w:r>
      <w:r w:rsidR="00B00512" w:rsidRPr="002B016D">
        <w:rPr>
          <w:b w:val="0"/>
          <w:bCs w:val="0"/>
        </w:rPr>
        <w:t xml:space="preserve"> </w:t>
      </w:r>
      <w:r w:rsidR="00923E87" w:rsidRPr="002B016D">
        <w:rPr>
          <w:b w:val="0"/>
          <w:bCs w:val="0"/>
        </w:rPr>
        <w:t xml:space="preserve">2016; </w:t>
      </w:r>
      <w:proofErr w:type="spellStart"/>
      <w:r w:rsidR="00725A1E" w:rsidRPr="002B016D">
        <w:rPr>
          <w:b w:val="0"/>
          <w:bCs w:val="0"/>
        </w:rPr>
        <w:t>Horder</w:t>
      </w:r>
      <w:proofErr w:type="spellEnd"/>
      <w:r w:rsidR="00725A1E" w:rsidRPr="002B016D">
        <w:rPr>
          <w:b w:val="0"/>
          <w:bCs w:val="0"/>
        </w:rPr>
        <w:t>, 199</w:t>
      </w:r>
      <w:r w:rsidR="0017050D" w:rsidRPr="002B016D">
        <w:rPr>
          <w:b w:val="0"/>
          <w:bCs w:val="0"/>
        </w:rPr>
        <w:t>2</w:t>
      </w:r>
      <w:r w:rsidR="00725A1E" w:rsidRPr="002B016D">
        <w:rPr>
          <w:b w:val="0"/>
          <w:bCs w:val="0"/>
        </w:rPr>
        <w:t>; O’Donovan, 1991, 1993; McColgan</w:t>
      </w:r>
      <w:r w:rsidR="00F24F87" w:rsidRPr="002B016D">
        <w:rPr>
          <w:b w:val="0"/>
          <w:bCs w:val="0"/>
        </w:rPr>
        <w:t>,</w:t>
      </w:r>
      <w:r w:rsidR="00B50966" w:rsidRPr="002B016D">
        <w:rPr>
          <w:b w:val="0"/>
          <w:bCs w:val="0"/>
        </w:rPr>
        <w:t xml:space="preserve"> 1992</w:t>
      </w:r>
      <w:r w:rsidR="00D1762C">
        <w:rPr>
          <w:b w:val="0"/>
          <w:bCs w:val="0"/>
        </w:rPr>
        <w:t>,</w:t>
      </w:r>
      <w:r w:rsidR="002707DB" w:rsidRPr="002B016D">
        <w:rPr>
          <w:b w:val="0"/>
          <w:bCs w:val="0"/>
        </w:rPr>
        <w:t xml:space="preserve"> 2000;</w:t>
      </w:r>
      <w:r w:rsidR="00725A1E" w:rsidRPr="002B016D">
        <w:rPr>
          <w:b w:val="0"/>
          <w:bCs w:val="0"/>
        </w:rPr>
        <w:t xml:space="preserve"> </w:t>
      </w:r>
      <w:r w:rsidR="00D33D4E" w:rsidRPr="002B016D">
        <w:rPr>
          <w:b w:val="0"/>
          <w:bCs w:val="0"/>
        </w:rPr>
        <w:t xml:space="preserve">Quick </w:t>
      </w:r>
      <w:r w:rsidR="00F24F87" w:rsidRPr="002B016D">
        <w:rPr>
          <w:b w:val="0"/>
          <w:bCs w:val="0"/>
        </w:rPr>
        <w:t>and</w:t>
      </w:r>
      <w:r w:rsidR="00D33D4E" w:rsidRPr="002B016D">
        <w:rPr>
          <w:b w:val="0"/>
          <w:bCs w:val="0"/>
        </w:rPr>
        <w:t xml:space="preserve"> Wells</w:t>
      </w:r>
      <w:r w:rsidR="00F24F87" w:rsidRPr="002B016D">
        <w:rPr>
          <w:b w:val="0"/>
          <w:bCs w:val="0"/>
        </w:rPr>
        <w:t>,</w:t>
      </w:r>
      <w:r w:rsidR="00D33D4E" w:rsidRPr="002B016D">
        <w:rPr>
          <w:b w:val="0"/>
          <w:bCs w:val="0"/>
        </w:rPr>
        <w:t xml:space="preserve"> 2012; </w:t>
      </w:r>
      <w:r w:rsidR="00725A1E" w:rsidRPr="002B016D">
        <w:rPr>
          <w:b w:val="0"/>
          <w:bCs w:val="0"/>
        </w:rPr>
        <w:t>Young, 1991)</w:t>
      </w:r>
      <w:r w:rsidR="007A6688" w:rsidRPr="002B016D">
        <w:rPr>
          <w:b w:val="0"/>
          <w:bCs w:val="0"/>
        </w:rPr>
        <w:t>.</w:t>
      </w:r>
      <w:r w:rsidR="00725A1E" w:rsidRPr="002B016D">
        <w:rPr>
          <w:b w:val="0"/>
          <w:bCs w:val="0"/>
        </w:rPr>
        <w:t xml:space="preserve"> Whereas men tend</w:t>
      </w:r>
      <w:r w:rsidR="00781145" w:rsidRPr="002B016D">
        <w:rPr>
          <w:b w:val="0"/>
          <w:bCs w:val="0"/>
        </w:rPr>
        <w:t>ed</w:t>
      </w:r>
      <w:r w:rsidR="00610D20" w:rsidRPr="002B016D">
        <w:rPr>
          <w:b w:val="0"/>
          <w:bCs w:val="0"/>
        </w:rPr>
        <w:t xml:space="preserve"> to</w:t>
      </w:r>
      <w:r w:rsidR="00725A1E" w:rsidRPr="002B016D">
        <w:rPr>
          <w:b w:val="0"/>
          <w:bCs w:val="0"/>
        </w:rPr>
        <w:t xml:space="preserve"> </w:t>
      </w:r>
      <w:r w:rsidR="00B36BE9" w:rsidRPr="002B016D">
        <w:rPr>
          <w:b w:val="0"/>
          <w:bCs w:val="0"/>
        </w:rPr>
        <w:t xml:space="preserve">comply with </w:t>
      </w:r>
      <w:r w:rsidR="000E28E9" w:rsidRPr="002B016D">
        <w:rPr>
          <w:b w:val="0"/>
          <w:bCs w:val="0"/>
        </w:rPr>
        <w:t>provocation</w:t>
      </w:r>
      <w:r w:rsidR="00B36BE9" w:rsidRPr="002B016D">
        <w:rPr>
          <w:b w:val="0"/>
          <w:bCs w:val="0"/>
        </w:rPr>
        <w:t>’s requirements with relative ease</w:t>
      </w:r>
      <w:r w:rsidR="00B24836" w:rsidRPr="002B016D">
        <w:rPr>
          <w:b w:val="0"/>
          <w:bCs w:val="0"/>
        </w:rPr>
        <w:t xml:space="preserve"> -</w:t>
      </w:r>
      <w:r w:rsidR="00B36BE9" w:rsidRPr="002B016D">
        <w:rPr>
          <w:b w:val="0"/>
          <w:bCs w:val="0"/>
        </w:rPr>
        <w:t xml:space="preserve"> and frequently received lenient sentences</w:t>
      </w:r>
      <w:r w:rsidR="00B24836" w:rsidRPr="002B016D">
        <w:rPr>
          <w:b w:val="0"/>
          <w:bCs w:val="0"/>
        </w:rPr>
        <w:t xml:space="preserve"> </w:t>
      </w:r>
      <w:r w:rsidR="00E00075" w:rsidRPr="002B016D">
        <w:rPr>
          <w:b w:val="0"/>
          <w:bCs w:val="0"/>
        </w:rPr>
        <w:t>(Burton</w:t>
      </w:r>
      <w:r w:rsidR="00D1762C">
        <w:rPr>
          <w:b w:val="0"/>
          <w:bCs w:val="0"/>
        </w:rPr>
        <w:t xml:space="preserve">, </w:t>
      </w:r>
      <w:r w:rsidR="00E00075" w:rsidRPr="002B016D">
        <w:rPr>
          <w:b w:val="0"/>
          <w:bCs w:val="0"/>
        </w:rPr>
        <w:t xml:space="preserve">2003) </w:t>
      </w:r>
      <w:r w:rsidR="00B24836" w:rsidRPr="002B016D">
        <w:rPr>
          <w:b w:val="0"/>
          <w:bCs w:val="0"/>
        </w:rPr>
        <w:t>-</w:t>
      </w:r>
      <w:r w:rsidR="00B36BE9" w:rsidRPr="002B016D">
        <w:rPr>
          <w:b w:val="0"/>
          <w:bCs w:val="0"/>
        </w:rPr>
        <w:t xml:space="preserve"> women who killed their abusive partners invariably </w:t>
      </w:r>
      <w:r w:rsidR="00725A1E" w:rsidRPr="002B016D">
        <w:rPr>
          <w:b w:val="0"/>
          <w:bCs w:val="0"/>
        </w:rPr>
        <w:t xml:space="preserve">struggled to </w:t>
      </w:r>
      <w:r w:rsidR="00EA550D" w:rsidRPr="002B016D">
        <w:rPr>
          <w:b w:val="0"/>
          <w:bCs w:val="0"/>
        </w:rPr>
        <w:t>successfully plead the defence</w:t>
      </w:r>
      <w:r w:rsidR="00725A1E" w:rsidRPr="002B016D">
        <w:rPr>
          <w:b w:val="0"/>
          <w:bCs w:val="0"/>
        </w:rPr>
        <w:t xml:space="preserve"> (McColgan, </w:t>
      </w:r>
      <w:r w:rsidR="006D7BBB" w:rsidRPr="002B016D">
        <w:rPr>
          <w:b w:val="0"/>
          <w:bCs w:val="0"/>
        </w:rPr>
        <w:t>2000</w:t>
      </w:r>
      <w:r w:rsidR="00096CA8" w:rsidRPr="002B016D">
        <w:rPr>
          <w:b w:val="0"/>
          <w:bCs w:val="0"/>
        </w:rPr>
        <w:t>; Carline</w:t>
      </w:r>
      <w:r w:rsidR="00F24F87" w:rsidRPr="002B016D">
        <w:rPr>
          <w:b w:val="0"/>
          <w:bCs w:val="0"/>
        </w:rPr>
        <w:t>,</w:t>
      </w:r>
      <w:r w:rsidR="007629ED" w:rsidRPr="002B016D">
        <w:rPr>
          <w:b w:val="0"/>
          <w:bCs w:val="0"/>
        </w:rPr>
        <w:t xml:space="preserve"> 2005b</w:t>
      </w:r>
      <w:r w:rsidR="00725A1E" w:rsidRPr="002B016D">
        <w:rPr>
          <w:b w:val="0"/>
          <w:bCs w:val="0"/>
        </w:rPr>
        <w:t>)</w:t>
      </w:r>
      <w:r w:rsidR="00781145" w:rsidRPr="002B016D">
        <w:rPr>
          <w:b w:val="0"/>
          <w:bCs w:val="0"/>
        </w:rPr>
        <w:t xml:space="preserve">. </w:t>
      </w:r>
      <w:r w:rsidR="00263595" w:rsidRPr="002B016D">
        <w:rPr>
          <w:b w:val="0"/>
          <w:bCs w:val="0"/>
        </w:rPr>
        <w:t>Of particular concern</w:t>
      </w:r>
      <w:r w:rsidR="00871A37" w:rsidRPr="002B016D">
        <w:rPr>
          <w:b w:val="0"/>
          <w:bCs w:val="0"/>
        </w:rPr>
        <w:t xml:space="preserve"> </w:t>
      </w:r>
      <w:r w:rsidR="00263595" w:rsidRPr="002B016D">
        <w:rPr>
          <w:b w:val="0"/>
          <w:bCs w:val="0"/>
        </w:rPr>
        <w:t xml:space="preserve">was the requirement that the defendant suffered a </w:t>
      </w:r>
      <w:r w:rsidR="00172E38">
        <w:rPr>
          <w:b w:val="0"/>
          <w:bCs w:val="0"/>
        </w:rPr>
        <w:t>“</w:t>
      </w:r>
      <w:r w:rsidR="00263595" w:rsidRPr="002B016D">
        <w:rPr>
          <w:b w:val="0"/>
          <w:bCs w:val="0"/>
        </w:rPr>
        <w:t xml:space="preserve">sudden and temporary loss of </w:t>
      </w:r>
      <w:r w:rsidR="00285261" w:rsidRPr="002B016D">
        <w:rPr>
          <w:b w:val="0"/>
          <w:bCs w:val="0"/>
        </w:rPr>
        <w:t>self-control</w:t>
      </w:r>
      <w:r w:rsidR="00172E38">
        <w:rPr>
          <w:b w:val="0"/>
          <w:bCs w:val="0"/>
        </w:rPr>
        <w:t>”</w:t>
      </w:r>
      <w:r w:rsidR="00263595" w:rsidRPr="002B016D">
        <w:rPr>
          <w:b w:val="0"/>
          <w:bCs w:val="0"/>
        </w:rPr>
        <w:t xml:space="preserve">, </w:t>
      </w:r>
      <w:r w:rsidR="005D281E" w:rsidRPr="002B016D">
        <w:rPr>
          <w:b w:val="0"/>
          <w:bCs w:val="0"/>
        </w:rPr>
        <w:t xml:space="preserve">due to the conduct of the deceased, as set out in </w:t>
      </w:r>
      <w:r w:rsidR="005D281E" w:rsidRPr="002B016D">
        <w:rPr>
          <w:b w:val="0"/>
          <w:bCs w:val="0"/>
          <w:i/>
          <w:iCs/>
        </w:rPr>
        <w:t>R v Duffy</w:t>
      </w:r>
      <w:r w:rsidR="000D6B72" w:rsidRPr="002B016D">
        <w:rPr>
          <w:b w:val="0"/>
          <w:bCs w:val="0"/>
        </w:rPr>
        <w:t xml:space="preserve"> [1949] 1 All ER 932</w:t>
      </w:r>
      <w:r w:rsidR="001213B3" w:rsidRPr="002B016D">
        <w:rPr>
          <w:b w:val="0"/>
          <w:bCs w:val="0"/>
        </w:rPr>
        <w:t xml:space="preserve">. </w:t>
      </w:r>
      <w:r w:rsidR="00EA550D" w:rsidRPr="002B016D">
        <w:rPr>
          <w:b w:val="0"/>
          <w:bCs w:val="0"/>
        </w:rPr>
        <w:t>T</w:t>
      </w:r>
      <w:r w:rsidR="005D281E" w:rsidRPr="002B016D">
        <w:rPr>
          <w:b w:val="0"/>
          <w:bCs w:val="0"/>
        </w:rPr>
        <w:t xml:space="preserve">his subjective test </w:t>
      </w:r>
      <w:r w:rsidR="00EA550D" w:rsidRPr="002B016D">
        <w:rPr>
          <w:b w:val="0"/>
          <w:bCs w:val="0"/>
        </w:rPr>
        <w:t>tended to embody</w:t>
      </w:r>
      <w:r w:rsidR="005D281E" w:rsidRPr="002B016D">
        <w:rPr>
          <w:b w:val="0"/>
          <w:bCs w:val="0"/>
        </w:rPr>
        <w:t xml:space="preserve"> male reactions</w:t>
      </w:r>
      <w:r w:rsidR="009D4B9C" w:rsidRPr="002B016D">
        <w:rPr>
          <w:b w:val="0"/>
          <w:bCs w:val="0"/>
        </w:rPr>
        <w:t xml:space="preserve"> to provocative conduct, as men tend to </w:t>
      </w:r>
      <w:r w:rsidR="005D281E" w:rsidRPr="002B016D">
        <w:rPr>
          <w:b w:val="0"/>
          <w:bCs w:val="0"/>
        </w:rPr>
        <w:t xml:space="preserve">respond immediately and angrily, whereas women tend to have a </w:t>
      </w:r>
      <w:r w:rsidR="00307DF4">
        <w:rPr>
          <w:b w:val="0"/>
          <w:bCs w:val="0"/>
        </w:rPr>
        <w:t>“</w:t>
      </w:r>
      <w:r w:rsidR="005D281E" w:rsidRPr="002B016D">
        <w:rPr>
          <w:b w:val="0"/>
          <w:bCs w:val="0"/>
        </w:rPr>
        <w:t>slow burn anger</w:t>
      </w:r>
      <w:r w:rsidR="00307DF4">
        <w:rPr>
          <w:b w:val="0"/>
          <w:bCs w:val="0"/>
        </w:rPr>
        <w:t>”</w:t>
      </w:r>
      <w:r w:rsidR="005D281E" w:rsidRPr="002B016D">
        <w:rPr>
          <w:b w:val="0"/>
          <w:bCs w:val="0"/>
        </w:rPr>
        <w:t xml:space="preserve"> (</w:t>
      </w:r>
      <w:r w:rsidR="0053255A" w:rsidRPr="002B016D">
        <w:rPr>
          <w:b w:val="0"/>
          <w:bCs w:val="0"/>
        </w:rPr>
        <w:t>s</w:t>
      </w:r>
      <w:r w:rsidR="005D281E" w:rsidRPr="002B016D">
        <w:rPr>
          <w:b w:val="0"/>
          <w:bCs w:val="0"/>
        </w:rPr>
        <w:t>ee for example</w:t>
      </w:r>
      <w:r w:rsidR="00CA3FA0" w:rsidRPr="002B016D">
        <w:rPr>
          <w:b w:val="0"/>
          <w:bCs w:val="0"/>
        </w:rPr>
        <w:t xml:space="preserve"> </w:t>
      </w:r>
      <w:r w:rsidR="005D281E" w:rsidRPr="002B016D">
        <w:rPr>
          <w:b w:val="0"/>
          <w:bCs w:val="0"/>
        </w:rPr>
        <w:t xml:space="preserve">Nicholson </w:t>
      </w:r>
      <w:r w:rsidR="00F24F87" w:rsidRPr="002B016D">
        <w:rPr>
          <w:b w:val="0"/>
          <w:bCs w:val="0"/>
        </w:rPr>
        <w:t>and</w:t>
      </w:r>
      <w:r w:rsidR="005D281E" w:rsidRPr="002B016D">
        <w:rPr>
          <w:b w:val="0"/>
          <w:bCs w:val="0"/>
        </w:rPr>
        <w:t xml:space="preserve"> Sanghvi, 1993; Young, 1991)</w:t>
      </w:r>
      <w:r w:rsidR="008F1C3E" w:rsidRPr="002B016D">
        <w:rPr>
          <w:b w:val="0"/>
          <w:bCs w:val="0"/>
        </w:rPr>
        <w:t xml:space="preserve">. </w:t>
      </w:r>
    </w:p>
    <w:p w14:paraId="0F3EB489" w14:textId="77777777" w:rsidR="00E05B22" w:rsidRPr="002B016D" w:rsidRDefault="00E05B22" w:rsidP="00E05B22">
      <w:pPr>
        <w:spacing w:line="360" w:lineRule="auto"/>
        <w:jc w:val="both"/>
        <w:rPr>
          <w:b w:val="0"/>
          <w:bCs w:val="0"/>
        </w:rPr>
      </w:pPr>
    </w:p>
    <w:p w14:paraId="0B26D610" w14:textId="5DC62B94" w:rsidR="008B7C2F" w:rsidRPr="002B016D" w:rsidRDefault="003C693D" w:rsidP="00E05B22">
      <w:pPr>
        <w:spacing w:line="360" w:lineRule="auto"/>
        <w:jc w:val="both"/>
        <w:rPr>
          <w:b w:val="0"/>
          <w:bCs w:val="0"/>
          <w:color w:val="000000"/>
        </w:rPr>
      </w:pPr>
      <w:r w:rsidRPr="002B016D">
        <w:rPr>
          <w:b w:val="0"/>
          <w:bCs w:val="0"/>
        </w:rPr>
        <w:t xml:space="preserve">In </w:t>
      </w:r>
      <w:r w:rsidR="00994F3E" w:rsidRPr="002B016D">
        <w:rPr>
          <w:b w:val="0"/>
          <w:bCs w:val="0"/>
        </w:rPr>
        <w:t xml:space="preserve">developing </w:t>
      </w:r>
      <w:r w:rsidR="00FA20ED" w:rsidRPr="002B016D">
        <w:rPr>
          <w:b w:val="0"/>
          <w:bCs w:val="0"/>
        </w:rPr>
        <w:t>their proposals,</w:t>
      </w:r>
      <w:r w:rsidRPr="002B016D">
        <w:rPr>
          <w:b w:val="0"/>
          <w:bCs w:val="0"/>
        </w:rPr>
        <w:t xml:space="preserve"> the Law </w:t>
      </w:r>
      <w:r w:rsidR="00E1558B" w:rsidRPr="002B016D">
        <w:rPr>
          <w:b w:val="0"/>
          <w:bCs w:val="0"/>
        </w:rPr>
        <w:t>Commission</w:t>
      </w:r>
      <w:r w:rsidR="003648FE" w:rsidRPr="002B016D">
        <w:rPr>
          <w:b w:val="0"/>
          <w:bCs w:val="0"/>
        </w:rPr>
        <w:t xml:space="preserve"> examined </w:t>
      </w:r>
      <w:r w:rsidR="000418FD" w:rsidRPr="002B016D">
        <w:rPr>
          <w:b w:val="0"/>
          <w:bCs w:val="0"/>
        </w:rPr>
        <w:t xml:space="preserve">the situation of a woman who </w:t>
      </w:r>
      <w:r w:rsidR="0044612F" w:rsidRPr="002B016D">
        <w:rPr>
          <w:b w:val="0"/>
          <w:bCs w:val="0"/>
        </w:rPr>
        <w:t xml:space="preserve">kills her abuser while he sleeps, </w:t>
      </w:r>
      <w:r w:rsidR="00EA2177" w:rsidRPr="002B016D">
        <w:rPr>
          <w:b w:val="0"/>
          <w:bCs w:val="0"/>
        </w:rPr>
        <w:t xml:space="preserve">in the belief that </w:t>
      </w:r>
      <w:r w:rsidR="003A534A" w:rsidRPr="002B016D">
        <w:rPr>
          <w:b w:val="0"/>
          <w:bCs w:val="0"/>
        </w:rPr>
        <w:t>th</w:t>
      </w:r>
      <w:r w:rsidR="007629ED" w:rsidRPr="002B016D">
        <w:rPr>
          <w:b w:val="0"/>
          <w:bCs w:val="0"/>
        </w:rPr>
        <w:t>is</w:t>
      </w:r>
      <w:r w:rsidR="003A534A" w:rsidRPr="002B016D">
        <w:rPr>
          <w:b w:val="0"/>
          <w:bCs w:val="0"/>
        </w:rPr>
        <w:t xml:space="preserve"> is the only way to escape. Her fatal actions are therefore motivated by fear and despai</w:t>
      </w:r>
      <w:r w:rsidR="00B20FBA" w:rsidRPr="002B016D">
        <w:rPr>
          <w:b w:val="0"/>
          <w:bCs w:val="0"/>
        </w:rPr>
        <w:t xml:space="preserve">r </w:t>
      </w:r>
      <w:r w:rsidR="00E1558B" w:rsidRPr="002B016D">
        <w:rPr>
          <w:b w:val="0"/>
          <w:bCs w:val="0"/>
        </w:rPr>
        <w:t>(La</w:t>
      </w:r>
      <w:r w:rsidR="00C000C7" w:rsidRPr="002B016D">
        <w:rPr>
          <w:b w:val="0"/>
          <w:bCs w:val="0"/>
        </w:rPr>
        <w:t>w Commission</w:t>
      </w:r>
      <w:r w:rsidR="00F24F87" w:rsidRPr="002B016D">
        <w:rPr>
          <w:b w:val="0"/>
          <w:bCs w:val="0"/>
        </w:rPr>
        <w:t>,</w:t>
      </w:r>
      <w:r w:rsidR="00C000C7" w:rsidRPr="002B016D">
        <w:rPr>
          <w:b w:val="0"/>
          <w:bCs w:val="0"/>
        </w:rPr>
        <w:t xml:space="preserve"> 2004:</w:t>
      </w:r>
      <w:r w:rsidR="00E1558B" w:rsidRPr="002B016D">
        <w:rPr>
          <w:b w:val="0"/>
          <w:bCs w:val="0"/>
        </w:rPr>
        <w:t xml:space="preserve"> para 391)</w:t>
      </w:r>
      <w:r w:rsidR="00B20FBA" w:rsidRPr="002B016D">
        <w:rPr>
          <w:b w:val="0"/>
          <w:bCs w:val="0"/>
        </w:rPr>
        <w:t xml:space="preserve">. In such circumstances, </w:t>
      </w:r>
      <w:r w:rsidR="00CC492C" w:rsidRPr="002B016D">
        <w:rPr>
          <w:b w:val="0"/>
          <w:bCs w:val="0"/>
        </w:rPr>
        <w:t xml:space="preserve">it </w:t>
      </w:r>
      <w:r w:rsidR="00053984" w:rsidRPr="002B016D">
        <w:rPr>
          <w:b w:val="0"/>
          <w:bCs w:val="0"/>
        </w:rPr>
        <w:t>was</w:t>
      </w:r>
      <w:r w:rsidR="00CC492C" w:rsidRPr="002B016D">
        <w:rPr>
          <w:b w:val="0"/>
          <w:bCs w:val="0"/>
        </w:rPr>
        <w:t xml:space="preserve"> thought</w:t>
      </w:r>
      <w:r w:rsidR="00E1558B" w:rsidRPr="002B016D">
        <w:rPr>
          <w:b w:val="0"/>
          <w:bCs w:val="0"/>
        </w:rPr>
        <w:t xml:space="preserve"> “wrong to rule out her plea simply because there was no evidence of a loss of self</w:t>
      </w:r>
      <w:r w:rsidR="00370EEA" w:rsidRPr="002B016D">
        <w:rPr>
          <w:b w:val="0"/>
          <w:bCs w:val="0"/>
        </w:rPr>
        <w:t>-</w:t>
      </w:r>
      <w:r w:rsidR="00E1558B" w:rsidRPr="002B016D">
        <w:rPr>
          <w:b w:val="0"/>
          <w:bCs w:val="0"/>
        </w:rPr>
        <w:t>control” (Law Com</w:t>
      </w:r>
      <w:r w:rsidR="00C000C7" w:rsidRPr="002B016D">
        <w:rPr>
          <w:b w:val="0"/>
          <w:bCs w:val="0"/>
        </w:rPr>
        <w:t>mission</w:t>
      </w:r>
      <w:r w:rsidR="00F24F87" w:rsidRPr="002B016D">
        <w:rPr>
          <w:b w:val="0"/>
          <w:bCs w:val="0"/>
        </w:rPr>
        <w:t>,</w:t>
      </w:r>
      <w:r w:rsidR="003B5713" w:rsidRPr="002B016D">
        <w:rPr>
          <w:b w:val="0"/>
          <w:bCs w:val="0"/>
        </w:rPr>
        <w:t xml:space="preserve"> 2006:</w:t>
      </w:r>
      <w:r w:rsidR="00E1558B" w:rsidRPr="002B016D">
        <w:rPr>
          <w:b w:val="0"/>
          <w:bCs w:val="0"/>
        </w:rPr>
        <w:t xml:space="preserve"> para 5.29)</w:t>
      </w:r>
      <w:r w:rsidR="004510D1">
        <w:rPr>
          <w:b w:val="0"/>
          <w:bCs w:val="0"/>
        </w:rPr>
        <w:t>.</w:t>
      </w:r>
      <w:r w:rsidR="00E1558B" w:rsidRPr="002B016D">
        <w:rPr>
          <w:b w:val="0"/>
          <w:bCs w:val="0"/>
        </w:rPr>
        <w:t xml:space="preserve"> The Law Commission </w:t>
      </w:r>
      <w:r w:rsidR="00053984" w:rsidRPr="002B016D">
        <w:rPr>
          <w:b w:val="0"/>
          <w:bCs w:val="0"/>
        </w:rPr>
        <w:t>further comment</w:t>
      </w:r>
      <w:r w:rsidR="00FB6C91" w:rsidRPr="002B016D">
        <w:rPr>
          <w:b w:val="0"/>
          <w:bCs w:val="0"/>
        </w:rPr>
        <w:t>ed</w:t>
      </w:r>
      <w:r w:rsidR="00E1558B" w:rsidRPr="002B016D">
        <w:rPr>
          <w:b w:val="0"/>
          <w:bCs w:val="0"/>
        </w:rPr>
        <w:t xml:space="preserve"> that “women’s reactions </w:t>
      </w:r>
      <w:r w:rsidR="00861524" w:rsidRPr="002B016D">
        <w:rPr>
          <w:b w:val="0"/>
          <w:bCs w:val="0"/>
        </w:rPr>
        <w:t xml:space="preserve">… </w:t>
      </w:r>
      <w:r w:rsidR="00E1558B" w:rsidRPr="002B016D">
        <w:rPr>
          <w:b w:val="0"/>
          <w:bCs w:val="0"/>
        </w:rPr>
        <w:t>more likely comprise a combination of anger, fear, frustration and a sense of desperation” (Law Com</w:t>
      </w:r>
      <w:r w:rsidR="0050267D" w:rsidRPr="002B016D">
        <w:rPr>
          <w:b w:val="0"/>
          <w:bCs w:val="0"/>
        </w:rPr>
        <w:t>mission</w:t>
      </w:r>
      <w:r w:rsidR="00F56076">
        <w:rPr>
          <w:b w:val="0"/>
          <w:bCs w:val="0"/>
        </w:rPr>
        <w:t>,</w:t>
      </w:r>
      <w:r w:rsidR="0050267D" w:rsidRPr="002B016D">
        <w:rPr>
          <w:b w:val="0"/>
          <w:bCs w:val="0"/>
        </w:rPr>
        <w:t xml:space="preserve"> 2006:</w:t>
      </w:r>
      <w:r w:rsidR="00E1558B" w:rsidRPr="002B016D">
        <w:rPr>
          <w:b w:val="0"/>
          <w:bCs w:val="0"/>
        </w:rPr>
        <w:t xml:space="preserve"> para 5.18)</w:t>
      </w:r>
      <w:r w:rsidR="004F325B">
        <w:rPr>
          <w:b w:val="0"/>
          <w:bCs w:val="0"/>
        </w:rPr>
        <w:t>.</w:t>
      </w:r>
      <w:r w:rsidR="00E1558B" w:rsidRPr="002B016D">
        <w:rPr>
          <w:b w:val="0"/>
          <w:bCs w:val="0"/>
        </w:rPr>
        <w:t xml:space="preserve"> </w:t>
      </w:r>
      <w:r w:rsidR="004B5D8B" w:rsidRPr="002B016D">
        <w:rPr>
          <w:b w:val="0"/>
          <w:bCs w:val="0"/>
        </w:rPr>
        <w:t>I</w:t>
      </w:r>
      <w:r w:rsidR="00FB6C91" w:rsidRPr="002B016D">
        <w:rPr>
          <w:b w:val="0"/>
          <w:bCs w:val="0"/>
        </w:rPr>
        <w:t>t was</w:t>
      </w:r>
      <w:r w:rsidR="004B5D8B" w:rsidRPr="002B016D">
        <w:rPr>
          <w:b w:val="0"/>
          <w:bCs w:val="0"/>
        </w:rPr>
        <w:t xml:space="preserve"> also</w:t>
      </w:r>
      <w:r w:rsidR="005022AE" w:rsidRPr="002B016D">
        <w:rPr>
          <w:b w:val="0"/>
          <w:bCs w:val="0"/>
        </w:rPr>
        <w:t xml:space="preserve"> noted that p</w:t>
      </w:r>
      <w:r w:rsidR="00B65DD9" w:rsidRPr="002B016D">
        <w:rPr>
          <w:b w:val="0"/>
          <w:bCs w:val="0"/>
        </w:rPr>
        <w:t>sychiatrists argue that</w:t>
      </w:r>
      <w:r w:rsidR="002D735D">
        <w:rPr>
          <w:b w:val="0"/>
          <w:bCs w:val="0"/>
        </w:rPr>
        <w:t>,</w:t>
      </w:r>
      <w:r w:rsidR="00B65DD9" w:rsidRPr="002B016D">
        <w:rPr>
          <w:b w:val="0"/>
          <w:bCs w:val="0"/>
        </w:rPr>
        <w:t xml:space="preserve"> generally</w:t>
      </w:r>
      <w:r w:rsidR="002D735D">
        <w:rPr>
          <w:b w:val="0"/>
          <w:bCs w:val="0"/>
        </w:rPr>
        <w:t>,</w:t>
      </w:r>
      <w:r w:rsidR="00B65DD9" w:rsidRPr="002B016D">
        <w:rPr>
          <w:b w:val="0"/>
          <w:bCs w:val="0"/>
        </w:rPr>
        <w:t xml:space="preserve"> people will only vent their anger by losing their </w:t>
      </w:r>
      <w:r w:rsidR="002D735D">
        <w:rPr>
          <w:b w:val="0"/>
          <w:bCs w:val="0"/>
        </w:rPr>
        <w:t>self-control</w:t>
      </w:r>
      <w:r w:rsidR="00B65DD9" w:rsidRPr="002B016D">
        <w:rPr>
          <w:b w:val="0"/>
          <w:bCs w:val="0"/>
        </w:rPr>
        <w:t xml:space="preserve"> with another when they “can afford to do so” (Law Com</w:t>
      </w:r>
      <w:r w:rsidR="0050267D" w:rsidRPr="002B016D">
        <w:rPr>
          <w:b w:val="0"/>
          <w:bCs w:val="0"/>
        </w:rPr>
        <w:t>mission</w:t>
      </w:r>
      <w:r w:rsidR="00F24F87" w:rsidRPr="002B016D">
        <w:rPr>
          <w:b w:val="0"/>
          <w:bCs w:val="0"/>
        </w:rPr>
        <w:t>,</w:t>
      </w:r>
      <w:r w:rsidR="0050267D" w:rsidRPr="002B016D">
        <w:rPr>
          <w:b w:val="0"/>
          <w:bCs w:val="0"/>
        </w:rPr>
        <w:t xml:space="preserve"> 2004:</w:t>
      </w:r>
      <w:r w:rsidR="00B65DD9" w:rsidRPr="002B016D">
        <w:rPr>
          <w:b w:val="0"/>
          <w:bCs w:val="0"/>
        </w:rPr>
        <w:t xml:space="preserve"> para 3.28)</w:t>
      </w:r>
      <w:r w:rsidR="002D47D4">
        <w:rPr>
          <w:b w:val="0"/>
          <w:bCs w:val="0"/>
        </w:rPr>
        <w:t>.</w:t>
      </w:r>
      <w:r w:rsidR="00B65DD9" w:rsidRPr="002B016D">
        <w:rPr>
          <w:b w:val="0"/>
          <w:bCs w:val="0"/>
        </w:rPr>
        <w:t xml:space="preserve"> This </w:t>
      </w:r>
      <w:r w:rsidR="008A225F" w:rsidRPr="002B016D">
        <w:rPr>
          <w:b w:val="0"/>
          <w:bCs w:val="0"/>
        </w:rPr>
        <w:t>perpetuate</w:t>
      </w:r>
      <w:r w:rsidR="00671B2D" w:rsidRPr="002B016D">
        <w:rPr>
          <w:b w:val="0"/>
          <w:bCs w:val="0"/>
        </w:rPr>
        <w:t>d</w:t>
      </w:r>
      <w:r w:rsidR="00B65DD9" w:rsidRPr="002B016D">
        <w:rPr>
          <w:b w:val="0"/>
          <w:bCs w:val="0"/>
        </w:rPr>
        <w:t xml:space="preserve"> </w:t>
      </w:r>
      <w:r w:rsidR="00671B2D" w:rsidRPr="002B016D">
        <w:rPr>
          <w:b w:val="0"/>
          <w:bCs w:val="0"/>
        </w:rPr>
        <w:t>provocation’s</w:t>
      </w:r>
      <w:r w:rsidR="00D947AA" w:rsidRPr="002B016D">
        <w:rPr>
          <w:b w:val="0"/>
          <w:bCs w:val="0"/>
        </w:rPr>
        <w:t xml:space="preserve"> </w:t>
      </w:r>
      <w:r w:rsidR="00B65DD9" w:rsidRPr="002B016D">
        <w:rPr>
          <w:b w:val="0"/>
          <w:bCs w:val="0"/>
        </w:rPr>
        <w:t xml:space="preserve">gender </w:t>
      </w:r>
      <w:r w:rsidR="008A225F" w:rsidRPr="002B016D">
        <w:rPr>
          <w:b w:val="0"/>
          <w:bCs w:val="0"/>
        </w:rPr>
        <w:t>bias</w:t>
      </w:r>
      <w:r w:rsidR="00D947AA" w:rsidRPr="002B016D">
        <w:rPr>
          <w:b w:val="0"/>
          <w:bCs w:val="0"/>
        </w:rPr>
        <w:t xml:space="preserve"> on the basis that</w:t>
      </w:r>
      <w:r w:rsidR="00B65DD9" w:rsidRPr="002B016D">
        <w:rPr>
          <w:b w:val="0"/>
          <w:bCs w:val="0"/>
        </w:rPr>
        <w:t xml:space="preserve"> it is unli</w:t>
      </w:r>
      <w:r w:rsidR="00D947AA" w:rsidRPr="002B016D">
        <w:rPr>
          <w:b w:val="0"/>
          <w:bCs w:val="0"/>
        </w:rPr>
        <w:t>kely</w:t>
      </w:r>
      <w:r w:rsidR="00B65DD9" w:rsidRPr="002B016D">
        <w:rPr>
          <w:b w:val="0"/>
          <w:bCs w:val="0"/>
        </w:rPr>
        <w:t xml:space="preserve"> a victim of domestic </w:t>
      </w:r>
      <w:r w:rsidR="00B85C3A" w:rsidRPr="002B016D">
        <w:rPr>
          <w:b w:val="0"/>
          <w:bCs w:val="0"/>
        </w:rPr>
        <w:t>abuse</w:t>
      </w:r>
      <w:r w:rsidR="00B65DD9" w:rsidRPr="002B016D">
        <w:rPr>
          <w:b w:val="0"/>
          <w:bCs w:val="0"/>
        </w:rPr>
        <w:t xml:space="preserve"> would feel </w:t>
      </w:r>
      <w:r w:rsidR="00D947AA" w:rsidRPr="002B016D">
        <w:rPr>
          <w:b w:val="0"/>
          <w:bCs w:val="0"/>
        </w:rPr>
        <w:t>able to</w:t>
      </w:r>
      <w:r w:rsidR="00B65DD9" w:rsidRPr="002B016D">
        <w:rPr>
          <w:b w:val="0"/>
          <w:bCs w:val="0"/>
        </w:rPr>
        <w:t xml:space="preserve"> lose self</w:t>
      </w:r>
      <w:r w:rsidR="0053255A" w:rsidRPr="002B016D">
        <w:rPr>
          <w:b w:val="0"/>
          <w:bCs w:val="0"/>
        </w:rPr>
        <w:t>-</w:t>
      </w:r>
      <w:r w:rsidR="00B65DD9" w:rsidRPr="002B016D">
        <w:rPr>
          <w:b w:val="0"/>
          <w:bCs w:val="0"/>
        </w:rPr>
        <w:t xml:space="preserve">control without placing herself in a significantly more vulnerable position. </w:t>
      </w:r>
      <w:r w:rsidR="002E3D6A" w:rsidRPr="002B016D">
        <w:rPr>
          <w:b w:val="0"/>
          <w:bCs w:val="0"/>
        </w:rPr>
        <w:t xml:space="preserve">As such, abolishing the concept </w:t>
      </w:r>
      <w:r w:rsidR="00671B2D" w:rsidRPr="002B016D">
        <w:rPr>
          <w:b w:val="0"/>
          <w:bCs w:val="0"/>
        </w:rPr>
        <w:t xml:space="preserve">can be seen </w:t>
      </w:r>
      <w:r w:rsidR="002E3D6A" w:rsidRPr="002B016D">
        <w:rPr>
          <w:b w:val="0"/>
          <w:bCs w:val="0"/>
        </w:rPr>
        <w:t>to be pivotal to achiev</w:t>
      </w:r>
      <w:r w:rsidR="00671B2D" w:rsidRPr="002B016D">
        <w:rPr>
          <w:b w:val="0"/>
          <w:bCs w:val="0"/>
        </w:rPr>
        <w:t>ing</w:t>
      </w:r>
      <w:r w:rsidR="002E3D6A" w:rsidRPr="002B016D">
        <w:rPr>
          <w:b w:val="0"/>
          <w:bCs w:val="0"/>
        </w:rPr>
        <w:t xml:space="preserve"> justice for abused women who kill.</w:t>
      </w:r>
      <w:r w:rsidR="00CE2DD1" w:rsidRPr="002B016D">
        <w:rPr>
          <w:b w:val="0"/>
          <w:bCs w:val="0"/>
          <w:color w:val="000000"/>
        </w:rPr>
        <w:t xml:space="preserve"> </w:t>
      </w:r>
      <w:r w:rsidR="00581F71" w:rsidRPr="002B016D">
        <w:rPr>
          <w:b w:val="0"/>
          <w:bCs w:val="0"/>
          <w:color w:val="000000"/>
        </w:rPr>
        <w:t xml:space="preserve">However, </w:t>
      </w:r>
      <w:r w:rsidR="00581F71" w:rsidRPr="002B016D">
        <w:rPr>
          <w:b w:val="0"/>
          <w:bCs w:val="0"/>
        </w:rPr>
        <w:t>d</w:t>
      </w:r>
      <w:r w:rsidR="008B7C2F" w:rsidRPr="002B016D">
        <w:rPr>
          <w:b w:val="0"/>
          <w:bCs w:val="0"/>
        </w:rPr>
        <w:t xml:space="preserve">espite the arguments put forward by the Law Commission, the Government </w:t>
      </w:r>
      <w:r w:rsidR="00CF5D4E" w:rsidRPr="002B016D">
        <w:rPr>
          <w:b w:val="0"/>
          <w:bCs w:val="0"/>
        </w:rPr>
        <w:t>retained the concept</w:t>
      </w:r>
      <w:r w:rsidR="008B7C2F" w:rsidRPr="002B016D">
        <w:rPr>
          <w:b w:val="0"/>
          <w:bCs w:val="0"/>
        </w:rPr>
        <w:t xml:space="preserve"> because of fears that it may be used in cases involving ‘honour </w:t>
      </w:r>
      <w:proofErr w:type="gramStart"/>
      <w:r w:rsidR="008B7C2F" w:rsidRPr="002B016D">
        <w:rPr>
          <w:b w:val="0"/>
          <w:bCs w:val="0"/>
        </w:rPr>
        <w:t>killings’</w:t>
      </w:r>
      <w:proofErr w:type="gramEnd"/>
      <w:r w:rsidR="008B7C2F" w:rsidRPr="002B016D">
        <w:rPr>
          <w:b w:val="0"/>
          <w:bCs w:val="0"/>
        </w:rPr>
        <w:t xml:space="preserve"> or gang-related violence (Ministry of Justice</w:t>
      </w:r>
      <w:r w:rsidR="00F24F87" w:rsidRPr="002B016D">
        <w:rPr>
          <w:b w:val="0"/>
          <w:bCs w:val="0"/>
        </w:rPr>
        <w:t>,</w:t>
      </w:r>
      <w:r w:rsidR="00403A1E" w:rsidRPr="002B016D">
        <w:rPr>
          <w:b w:val="0"/>
          <w:bCs w:val="0"/>
        </w:rPr>
        <w:t xml:space="preserve"> 2008:</w:t>
      </w:r>
      <w:r w:rsidR="008B7C2F" w:rsidRPr="002B016D">
        <w:rPr>
          <w:b w:val="0"/>
          <w:bCs w:val="0"/>
        </w:rPr>
        <w:t xml:space="preserve"> para 36)</w:t>
      </w:r>
      <w:r w:rsidR="000A7FD7" w:rsidRPr="002B016D">
        <w:rPr>
          <w:b w:val="0"/>
          <w:bCs w:val="0"/>
        </w:rPr>
        <w:t>.</w:t>
      </w:r>
      <w:r w:rsidR="00C30A83" w:rsidRPr="002B016D">
        <w:rPr>
          <w:b w:val="0"/>
          <w:bCs w:val="0"/>
        </w:rPr>
        <w:t xml:space="preserve"> </w:t>
      </w:r>
      <w:r w:rsidR="00D701AF" w:rsidRPr="002B016D">
        <w:rPr>
          <w:b w:val="0"/>
          <w:bCs w:val="0"/>
        </w:rPr>
        <w:t>Nevertheless</w:t>
      </w:r>
      <w:r w:rsidR="00C30A83" w:rsidRPr="002B016D">
        <w:rPr>
          <w:b w:val="0"/>
          <w:bCs w:val="0"/>
        </w:rPr>
        <w:t xml:space="preserve">, </w:t>
      </w:r>
      <w:r w:rsidR="007402F3" w:rsidRPr="002B016D">
        <w:rPr>
          <w:b w:val="0"/>
          <w:bCs w:val="0"/>
        </w:rPr>
        <w:t xml:space="preserve">it </w:t>
      </w:r>
      <w:r w:rsidR="007402F3" w:rsidRPr="002B016D">
        <w:rPr>
          <w:b w:val="0"/>
          <w:bCs w:val="0"/>
        </w:rPr>
        <w:lastRenderedPageBreak/>
        <w:t xml:space="preserve">can be argued that </w:t>
      </w:r>
      <w:r w:rsidR="00C30A83" w:rsidRPr="002B016D">
        <w:rPr>
          <w:b w:val="0"/>
          <w:bCs w:val="0"/>
        </w:rPr>
        <w:t xml:space="preserve">such cases </w:t>
      </w:r>
      <w:r w:rsidR="005C5BA8" w:rsidRPr="002B016D">
        <w:rPr>
          <w:b w:val="0"/>
          <w:bCs w:val="0"/>
        </w:rPr>
        <w:t>would</w:t>
      </w:r>
      <w:r w:rsidR="00A36F88" w:rsidRPr="002B016D">
        <w:rPr>
          <w:b w:val="0"/>
          <w:bCs w:val="0"/>
        </w:rPr>
        <w:t xml:space="preserve"> fall foul of the other defence requirements</w:t>
      </w:r>
      <w:r w:rsidR="007402F3" w:rsidRPr="002B016D">
        <w:rPr>
          <w:b w:val="0"/>
          <w:bCs w:val="0"/>
        </w:rPr>
        <w:t xml:space="preserve"> (which are set out below), </w:t>
      </w:r>
      <w:r w:rsidR="005C5BA8" w:rsidRPr="002B016D">
        <w:rPr>
          <w:b w:val="0"/>
          <w:bCs w:val="0"/>
        </w:rPr>
        <w:t xml:space="preserve">thus </w:t>
      </w:r>
      <w:r w:rsidR="007402F3" w:rsidRPr="002B016D">
        <w:rPr>
          <w:b w:val="0"/>
          <w:bCs w:val="0"/>
        </w:rPr>
        <w:t>disputing the need to retain the loss of control requirement</w:t>
      </w:r>
      <w:r w:rsidR="00EB3799" w:rsidRPr="002B016D">
        <w:rPr>
          <w:b w:val="0"/>
          <w:bCs w:val="0"/>
        </w:rPr>
        <w:t xml:space="preserve"> (Carline</w:t>
      </w:r>
      <w:r w:rsidR="00F24F87" w:rsidRPr="002B016D">
        <w:rPr>
          <w:b w:val="0"/>
          <w:bCs w:val="0"/>
        </w:rPr>
        <w:t>,</w:t>
      </w:r>
      <w:r w:rsidR="00EB3799" w:rsidRPr="002B016D">
        <w:rPr>
          <w:b w:val="0"/>
          <w:bCs w:val="0"/>
        </w:rPr>
        <w:t xml:space="preserve"> 2009)</w:t>
      </w:r>
      <w:r w:rsidR="007402F3" w:rsidRPr="002B016D">
        <w:rPr>
          <w:b w:val="0"/>
          <w:bCs w:val="0"/>
        </w:rPr>
        <w:t>.</w:t>
      </w:r>
    </w:p>
    <w:p w14:paraId="5B7A47AF" w14:textId="4F6B4B04" w:rsidR="00DC739E" w:rsidRPr="002B016D" w:rsidRDefault="00DC739E" w:rsidP="003D25D4">
      <w:pPr>
        <w:spacing w:line="360" w:lineRule="auto"/>
        <w:jc w:val="both"/>
        <w:rPr>
          <w:b w:val="0"/>
          <w:bCs w:val="0"/>
          <w:color w:val="000000"/>
        </w:rPr>
      </w:pPr>
    </w:p>
    <w:p w14:paraId="6229C061" w14:textId="7D7C5FCF" w:rsidR="00782E22" w:rsidRPr="002B016D" w:rsidRDefault="00782E22" w:rsidP="003D25D4">
      <w:pPr>
        <w:spacing w:line="360" w:lineRule="auto"/>
        <w:jc w:val="both"/>
        <w:rPr>
          <w:b w:val="0"/>
          <w:bCs w:val="0"/>
          <w:i/>
          <w:iCs/>
          <w:color w:val="000000"/>
        </w:rPr>
      </w:pPr>
      <w:r w:rsidRPr="002B016D">
        <w:rPr>
          <w:b w:val="0"/>
          <w:bCs w:val="0"/>
          <w:i/>
          <w:iCs/>
          <w:color w:val="000000"/>
        </w:rPr>
        <w:t>Loss of Control Defence</w:t>
      </w:r>
    </w:p>
    <w:p w14:paraId="2B95786C" w14:textId="77777777" w:rsidR="00782E22" w:rsidRPr="002B016D" w:rsidRDefault="00782E22" w:rsidP="003D25D4">
      <w:pPr>
        <w:spacing w:line="360" w:lineRule="auto"/>
        <w:jc w:val="both"/>
        <w:rPr>
          <w:b w:val="0"/>
          <w:bCs w:val="0"/>
          <w:color w:val="000000"/>
        </w:rPr>
      </w:pPr>
    </w:p>
    <w:p w14:paraId="0315972D" w14:textId="22C95FF7" w:rsidR="009D234A" w:rsidRPr="002B016D" w:rsidRDefault="00C523EE" w:rsidP="003D25D4">
      <w:pPr>
        <w:spacing w:line="360" w:lineRule="auto"/>
        <w:jc w:val="both"/>
        <w:rPr>
          <w:b w:val="0"/>
          <w:bCs w:val="0"/>
          <w:color w:val="000000"/>
        </w:rPr>
      </w:pPr>
      <w:r w:rsidRPr="002B016D">
        <w:rPr>
          <w:b w:val="0"/>
          <w:bCs w:val="0"/>
          <w:color w:val="000000"/>
        </w:rPr>
        <w:t>S</w:t>
      </w:r>
      <w:r w:rsidR="00637F4D" w:rsidRPr="002B016D">
        <w:rPr>
          <w:b w:val="0"/>
          <w:bCs w:val="0"/>
          <w:color w:val="000000"/>
        </w:rPr>
        <w:t>ection 54</w:t>
      </w:r>
      <w:r w:rsidR="00D261B8" w:rsidRPr="002B016D">
        <w:rPr>
          <w:b w:val="0"/>
          <w:bCs w:val="0"/>
          <w:color w:val="000000"/>
        </w:rPr>
        <w:t>(1)</w:t>
      </w:r>
      <w:r w:rsidR="00637F4D" w:rsidRPr="002B016D">
        <w:rPr>
          <w:b w:val="0"/>
          <w:bCs w:val="0"/>
          <w:color w:val="000000"/>
        </w:rPr>
        <w:t xml:space="preserve"> of the Coroners and Justice Act 2009, </w:t>
      </w:r>
      <w:r w:rsidR="00EA5E1C" w:rsidRPr="002B016D">
        <w:rPr>
          <w:b w:val="0"/>
          <w:bCs w:val="0"/>
          <w:color w:val="000000"/>
        </w:rPr>
        <w:t xml:space="preserve">sets out that the partial defence applies when </w:t>
      </w:r>
      <w:r w:rsidR="007F24A3" w:rsidRPr="002B016D">
        <w:rPr>
          <w:b w:val="0"/>
          <w:bCs w:val="0"/>
          <w:color w:val="000000"/>
        </w:rPr>
        <w:t>“</w:t>
      </w:r>
      <w:r w:rsidR="00637F4D" w:rsidRPr="002B016D">
        <w:rPr>
          <w:b w:val="0"/>
          <w:bCs w:val="0"/>
          <w:color w:val="000000"/>
        </w:rPr>
        <w:t>(a)</w:t>
      </w:r>
      <w:r w:rsidR="00D261B8" w:rsidRPr="002B016D">
        <w:rPr>
          <w:b w:val="0"/>
          <w:bCs w:val="0"/>
          <w:color w:val="000000"/>
        </w:rPr>
        <w:t xml:space="preserve"> </w:t>
      </w:r>
      <w:r w:rsidR="00637F4D" w:rsidRPr="002B016D">
        <w:rPr>
          <w:b w:val="0"/>
          <w:bCs w:val="0"/>
          <w:color w:val="000000"/>
        </w:rPr>
        <w:t>D's acts and omissions in doing or being a party to the killing resulted from D's loss of self-control,</w:t>
      </w:r>
      <w:r w:rsidR="00D261B8" w:rsidRPr="002B016D">
        <w:rPr>
          <w:b w:val="0"/>
          <w:bCs w:val="0"/>
          <w:color w:val="000000"/>
        </w:rPr>
        <w:t xml:space="preserve"> </w:t>
      </w:r>
      <w:r w:rsidR="00637F4D" w:rsidRPr="002B016D">
        <w:rPr>
          <w:b w:val="0"/>
          <w:bCs w:val="0"/>
          <w:color w:val="000000"/>
        </w:rPr>
        <w:t>(b)</w:t>
      </w:r>
      <w:r w:rsidR="00D261B8" w:rsidRPr="002B016D">
        <w:rPr>
          <w:b w:val="0"/>
          <w:bCs w:val="0"/>
          <w:color w:val="000000"/>
        </w:rPr>
        <w:t xml:space="preserve"> </w:t>
      </w:r>
      <w:r w:rsidR="00637F4D" w:rsidRPr="002B016D">
        <w:rPr>
          <w:b w:val="0"/>
          <w:bCs w:val="0"/>
          <w:color w:val="000000"/>
        </w:rPr>
        <w:t>the loss of self-control had a qualifying trigger, and</w:t>
      </w:r>
      <w:r w:rsidR="00D261B8" w:rsidRPr="002B016D">
        <w:rPr>
          <w:b w:val="0"/>
          <w:bCs w:val="0"/>
          <w:color w:val="000000"/>
        </w:rPr>
        <w:t xml:space="preserve"> </w:t>
      </w:r>
      <w:r w:rsidR="00637F4D" w:rsidRPr="002B016D">
        <w:rPr>
          <w:b w:val="0"/>
          <w:bCs w:val="0"/>
          <w:color w:val="000000"/>
        </w:rPr>
        <w:t>(c)</w:t>
      </w:r>
      <w:r w:rsidR="00D261B8" w:rsidRPr="002B016D">
        <w:rPr>
          <w:b w:val="0"/>
          <w:bCs w:val="0"/>
          <w:color w:val="000000"/>
        </w:rPr>
        <w:t xml:space="preserve"> </w:t>
      </w:r>
      <w:r w:rsidR="00637F4D" w:rsidRPr="002B016D">
        <w:rPr>
          <w:b w:val="0"/>
          <w:bCs w:val="0"/>
          <w:color w:val="000000"/>
        </w:rPr>
        <w:t xml:space="preserve">a person of D's sex and age, with a normal degree of tolerance and self-restraint and in the circumstances of D, might have reacted in the same or in a similar way to </w:t>
      </w:r>
      <w:proofErr w:type="spellStart"/>
      <w:r w:rsidR="00637F4D" w:rsidRPr="002B016D">
        <w:rPr>
          <w:b w:val="0"/>
          <w:bCs w:val="0"/>
          <w:color w:val="000000"/>
        </w:rPr>
        <w:t>D</w:t>
      </w:r>
      <w:proofErr w:type="spellEnd"/>
      <w:r w:rsidR="007F24A3" w:rsidRPr="002B016D">
        <w:rPr>
          <w:b w:val="0"/>
          <w:bCs w:val="0"/>
          <w:color w:val="000000"/>
        </w:rPr>
        <w:t>.</w:t>
      </w:r>
      <w:r w:rsidR="005631D5" w:rsidRPr="002B016D">
        <w:rPr>
          <w:b w:val="0"/>
          <w:bCs w:val="0"/>
          <w:color w:val="000000"/>
        </w:rPr>
        <w:t>”</w:t>
      </w:r>
      <w:r w:rsidR="00C0470F" w:rsidRPr="002B016D">
        <w:rPr>
          <w:b w:val="0"/>
          <w:bCs w:val="0"/>
          <w:color w:val="000000"/>
        </w:rPr>
        <w:t xml:space="preserve"> </w:t>
      </w:r>
      <w:r w:rsidR="005631D5" w:rsidRPr="002B016D">
        <w:rPr>
          <w:b w:val="0"/>
          <w:bCs w:val="0"/>
          <w:color w:val="000000"/>
        </w:rPr>
        <w:t>T</w:t>
      </w:r>
      <w:r w:rsidR="00014174" w:rsidRPr="002B016D">
        <w:rPr>
          <w:b w:val="0"/>
          <w:bCs w:val="0"/>
          <w:color w:val="000000"/>
        </w:rPr>
        <w:t>wo qualifying triggers are set out in s</w:t>
      </w:r>
      <w:r w:rsidR="0050160A">
        <w:rPr>
          <w:b w:val="0"/>
          <w:bCs w:val="0"/>
          <w:color w:val="000000"/>
        </w:rPr>
        <w:t xml:space="preserve">ection </w:t>
      </w:r>
      <w:r w:rsidR="00014174" w:rsidRPr="002B016D">
        <w:rPr>
          <w:b w:val="0"/>
          <w:bCs w:val="0"/>
          <w:color w:val="000000"/>
        </w:rPr>
        <w:t>55</w:t>
      </w:r>
      <w:r w:rsidR="004916CD" w:rsidRPr="002B016D">
        <w:rPr>
          <w:b w:val="0"/>
          <w:bCs w:val="0"/>
          <w:color w:val="000000"/>
        </w:rPr>
        <w:t>, with (3)</w:t>
      </w:r>
      <w:r w:rsidR="008B2343" w:rsidRPr="002B016D">
        <w:rPr>
          <w:b w:val="0"/>
          <w:bCs w:val="0"/>
          <w:color w:val="000000"/>
        </w:rPr>
        <w:t xml:space="preserve"> pertaining explicitly to domestic abuse, and app</w:t>
      </w:r>
      <w:r w:rsidR="00676AE7" w:rsidRPr="002B016D">
        <w:rPr>
          <w:b w:val="0"/>
          <w:bCs w:val="0"/>
          <w:color w:val="000000"/>
        </w:rPr>
        <w:t>lying</w:t>
      </w:r>
      <w:r w:rsidR="008B2343" w:rsidRPr="002B016D">
        <w:rPr>
          <w:b w:val="0"/>
          <w:bCs w:val="0"/>
          <w:color w:val="000000"/>
        </w:rPr>
        <w:t xml:space="preserve"> when</w:t>
      </w:r>
      <w:r w:rsidR="00EA1FC0" w:rsidRPr="002B016D">
        <w:rPr>
          <w:b w:val="0"/>
          <w:bCs w:val="0"/>
          <w:color w:val="000000"/>
        </w:rPr>
        <w:t xml:space="preserve"> D’s “</w:t>
      </w:r>
      <w:r w:rsidR="009D234A" w:rsidRPr="002B016D">
        <w:rPr>
          <w:b w:val="0"/>
          <w:bCs w:val="0"/>
          <w:color w:val="000000"/>
        </w:rPr>
        <w:t xml:space="preserve">loss of self-control was attributable to D's fear of serious violence from V against </w:t>
      </w:r>
      <w:proofErr w:type="gramStart"/>
      <w:r w:rsidR="009D234A" w:rsidRPr="002B016D">
        <w:rPr>
          <w:b w:val="0"/>
          <w:bCs w:val="0"/>
          <w:color w:val="000000"/>
        </w:rPr>
        <w:t>D</w:t>
      </w:r>
      <w:proofErr w:type="gramEnd"/>
      <w:r w:rsidR="009D234A" w:rsidRPr="002B016D">
        <w:rPr>
          <w:b w:val="0"/>
          <w:bCs w:val="0"/>
          <w:color w:val="000000"/>
        </w:rPr>
        <w:t xml:space="preserve"> or another identified person</w:t>
      </w:r>
      <w:r w:rsidR="00EA1FC0" w:rsidRPr="002B016D">
        <w:rPr>
          <w:b w:val="0"/>
          <w:bCs w:val="0"/>
          <w:color w:val="000000"/>
        </w:rPr>
        <w:t>”</w:t>
      </w:r>
      <w:r w:rsidR="007D44A7" w:rsidRPr="002B016D">
        <w:rPr>
          <w:b w:val="0"/>
          <w:bCs w:val="0"/>
          <w:color w:val="000000"/>
        </w:rPr>
        <w:t xml:space="preserve"> (frequently referred to as the fear trigger). </w:t>
      </w:r>
      <w:r w:rsidR="00EA1FC0" w:rsidRPr="002B016D">
        <w:rPr>
          <w:b w:val="0"/>
          <w:bCs w:val="0"/>
          <w:color w:val="000000"/>
        </w:rPr>
        <w:t>Subsection (</w:t>
      </w:r>
      <w:r w:rsidR="00F64CCD" w:rsidRPr="002B016D">
        <w:rPr>
          <w:b w:val="0"/>
          <w:bCs w:val="0"/>
          <w:color w:val="000000"/>
        </w:rPr>
        <w:t xml:space="preserve">4) sets out the ‘anger trigger’ and relates </w:t>
      </w:r>
      <w:r w:rsidR="00746255" w:rsidRPr="002B016D">
        <w:rPr>
          <w:b w:val="0"/>
          <w:bCs w:val="0"/>
          <w:color w:val="000000"/>
        </w:rPr>
        <w:t xml:space="preserve">to </w:t>
      </w:r>
      <w:r w:rsidR="00F64CCD" w:rsidRPr="002B016D">
        <w:rPr>
          <w:b w:val="0"/>
          <w:bCs w:val="0"/>
          <w:color w:val="000000"/>
        </w:rPr>
        <w:t xml:space="preserve">a loss </w:t>
      </w:r>
      <w:r w:rsidR="009D234A" w:rsidRPr="002B016D">
        <w:rPr>
          <w:b w:val="0"/>
          <w:bCs w:val="0"/>
          <w:color w:val="000000"/>
        </w:rPr>
        <w:t>of self-control</w:t>
      </w:r>
      <w:r w:rsidR="00874065" w:rsidRPr="002B016D">
        <w:rPr>
          <w:b w:val="0"/>
          <w:bCs w:val="0"/>
          <w:color w:val="000000"/>
        </w:rPr>
        <w:t xml:space="preserve"> that</w:t>
      </w:r>
      <w:r w:rsidR="009D234A" w:rsidRPr="002B016D">
        <w:rPr>
          <w:b w:val="0"/>
          <w:bCs w:val="0"/>
          <w:color w:val="000000"/>
        </w:rPr>
        <w:t xml:space="preserve"> </w:t>
      </w:r>
      <w:r w:rsidR="00874065" w:rsidRPr="002B016D">
        <w:rPr>
          <w:b w:val="0"/>
          <w:bCs w:val="0"/>
          <w:color w:val="000000"/>
        </w:rPr>
        <w:t>“</w:t>
      </w:r>
      <w:r w:rsidR="009D234A" w:rsidRPr="002B016D">
        <w:rPr>
          <w:b w:val="0"/>
          <w:bCs w:val="0"/>
          <w:color w:val="000000"/>
        </w:rPr>
        <w:t>was attributable to a thing or things done or said (or both) which—(a)</w:t>
      </w:r>
      <w:r w:rsidR="00874065" w:rsidRPr="002B016D">
        <w:rPr>
          <w:b w:val="0"/>
          <w:bCs w:val="0"/>
          <w:color w:val="000000"/>
        </w:rPr>
        <w:t xml:space="preserve"> </w:t>
      </w:r>
      <w:r w:rsidR="009D234A" w:rsidRPr="002B016D">
        <w:rPr>
          <w:b w:val="0"/>
          <w:bCs w:val="0"/>
          <w:color w:val="000000"/>
        </w:rPr>
        <w:t>constituted circumstances of an extremely grave character, and</w:t>
      </w:r>
      <w:r w:rsidR="00874065" w:rsidRPr="002B016D">
        <w:rPr>
          <w:b w:val="0"/>
          <w:bCs w:val="0"/>
          <w:color w:val="000000"/>
        </w:rPr>
        <w:t xml:space="preserve"> </w:t>
      </w:r>
      <w:r w:rsidR="009D234A" w:rsidRPr="002B016D">
        <w:rPr>
          <w:b w:val="0"/>
          <w:bCs w:val="0"/>
          <w:color w:val="000000"/>
        </w:rPr>
        <w:t>(b)</w:t>
      </w:r>
      <w:r w:rsidR="00E3204F" w:rsidRPr="002B016D">
        <w:rPr>
          <w:b w:val="0"/>
          <w:bCs w:val="0"/>
          <w:color w:val="000000"/>
        </w:rPr>
        <w:t xml:space="preserve"> </w:t>
      </w:r>
      <w:r w:rsidR="009D234A" w:rsidRPr="002B016D">
        <w:rPr>
          <w:b w:val="0"/>
          <w:bCs w:val="0"/>
          <w:color w:val="000000"/>
        </w:rPr>
        <w:t>caused D to have a justifiable sense of being seriously wronged</w:t>
      </w:r>
      <w:r w:rsidR="004E43F6">
        <w:rPr>
          <w:b w:val="0"/>
          <w:bCs w:val="0"/>
          <w:color w:val="000000"/>
        </w:rPr>
        <w:t>.</w:t>
      </w:r>
      <w:r w:rsidR="00874065" w:rsidRPr="002B016D">
        <w:rPr>
          <w:b w:val="0"/>
          <w:bCs w:val="0"/>
          <w:color w:val="000000"/>
        </w:rPr>
        <w:t>”</w:t>
      </w:r>
      <w:r w:rsidR="000C03D2" w:rsidRPr="002B016D">
        <w:rPr>
          <w:b w:val="0"/>
          <w:bCs w:val="0"/>
          <w:color w:val="000000"/>
        </w:rPr>
        <w:t xml:space="preserve"> </w:t>
      </w:r>
      <w:r w:rsidR="00D703BC" w:rsidRPr="002B016D">
        <w:rPr>
          <w:b w:val="0"/>
          <w:bCs w:val="0"/>
          <w:color w:val="000000"/>
        </w:rPr>
        <w:t>Two things are important to emphasis</w:t>
      </w:r>
      <w:r w:rsidR="00A27A15" w:rsidRPr="002B016D">
        <w:rPr>
          <w:b w:val="0"/>
          <w:bCs w:val="0"/>
          <w:color w:val="000000"/>
        </w:rPr>
        <w:t>e</w:t>
      </w:r>
      <w:r w:rsidR="00D703BC" w:rsidRPr="002B016D">
        <w:rPr>
          <w:b w:val="0"/>
          <w:bCs w:val="0"/>
          <w:color w:val="000000"/>
        </w:rPr>
        <w:t xml:space="preserve"> here. First, </w:t>
      </w:r>
      <w:r w:rsidR="00F82CD5" w:rsidRPr="002B016D">
        <w:rPr>
          <w:b w:val="0"/>
          <w:bCs w:val="0"/>
          <w:color w:val="000000"/>
        </w:rPr>
        <w:t>s</w:t>
      </w:r>
      <w:r w:rsidR="0050160A">
        <w:rPr>
          <w:b w:val="0"/>
          <w:bCs w:val="0"/>
          <w:color w:val="000000"/>
        </w:rPr>
        <w:t xml:space="preserve">ection </w:t>
      </w:r>
      <w:r w:rsidR="00F82CD5" w:rsidRPr="002B016D">
        <w:rPr>
          <w:b w:val="0"/>
          <w:bCs w:val="0"/>
          <w:color w:val="000000"/>
        </w:rPr>
        <w:t>55(4)</w:t>
      </w:r>
      <w:r w:rsidR="00E3204F" w:rsidRPr="002B016D">
        <w:rPr>
          <w:b w:val="0"/>
          <w:bCs w:val="0"/>
          <w:color w:val="000000"/>
        </w:rPr>
        <w:t xml:space="preserve"> </w:t>
      </w:r>
      <w:r w:rsidR="00487C63" w:rsidRPr="002B016D">
        <w:rPr>
          <w:b w:val="0"/>
          <w:bCs w:val="0"/>
          <w:color w:val="000000"/>
        </w:rPr>
        <w:t>introduces</w:t>
      </w:r>
      <w:r w:rsidR="00E3204F" w:rsidRPr="002B016D">
        <w:rPr>
          <w:b w:val="0"/>
          <w:bCs w:val="0"/>
          <w:color w:val="000000"/>
        </w:rPr>
        <w:t xml:space="preserve"> an </w:t>
      </w:r>
      <w:r w:rsidR="000C03D2" w:rsidRPr="002B016D">
        <w:rPr>
          <w:b w:val="0"/>
          <w:bCs w:val="0"/>
          <w:color w:val="000000"/>
        </w:rPr>
        <w:t>objective</w:t>
      </w:r>
      <w:r w:rsidR="00E3204F" w:rsidRPr="002B016D">
        <w:rPr>
          <w:b w:val="0"/>
          <w:bCs w:val="0"/>
          <w:color w:val="000000"/>
        </w:rPr>
        <w:t xml:space="preserve"> element to the anger trigger</w:t>
      </w:r>
      <w:r w:rsidR="00D877D6" w:rsidRPr="002B016D">
        <w:rPr>
          <w:b w:val="0"/>
          <w:bCs w:val="0"/>
          <w:color w:val="000000"/>
        </w:rPr>
        <w:t xml:space="preserve"> as</w:t>
      </w:r>
      <w:r w:rsidR="00D721DA" w:rsidRPr="002B016D">
        <w:rPr>
          <w:b w:val="0"/>
          <w:bCs w:val="0"/>
          <w:color w:val="000000"/>
        </w:rPr>
        <w:t xml:space="preserve"> the </w:t>
      </w:r>
      <w:r w:rsidR="00D877D6" w:rsidRPr="002B016D">
        <w:rPr>
          <w:b w:val="0"/>
          <w:bCs w:val="0"/>
          <w:color w:val="000000"/>
        </w:rPr>
        <w:t>sense of being wronged</w:t>
      </w:r>
      <w:r w:rsidR="00D721DA" w:rsidRPr="002B016D">
        <w:rPr>
          <w:b w:val="0"/>
          <w:bCs w:val="0"/>
          <w:color w:val="000000"/>
        </w:rPr>
        <w:t xml:space="preserve"> </w:t>
      </w:r>
      <w:proofErr w:type="gramStart"/>
      <w:r w:rsidR="00D721DA" w:rsidRPr="002B016D">
        <w:rPr>
          <w:b w:val="0"/>
          <w:bCs w:val="0"/>
          <w:color w:val="000000"/>
        </w:rPr>
        <w:t>has to</w:t>
      </w:r>
      <w:proofErr w:type="gramEnd"/>
      <w:r w:rsidR="00D721DA" w:rsidRPr="002B016D">
        <w:rPr>
          <w:b w:val="0"/>
          <w:bCs w:val="0"/>
          <w:color w:val="000000"/>
        </w:rPr>
        <w:t xml:space="preserve"> be </w:t>
      </w:r>
      <w:r w:rsidR="00D877D6" w:rsidRPr="002B016D">
        <w:rPr>
          <w:b w:val="0"/>
          <w:bCs w:val="0"/>
          <w:color w:val="000000"/>
        </w:rPr>
        <w:t>justified</w:t>
      </w:r>
      <w:r w:rsidR="00E3204F" w:rsidRPr="002B016D">
        <w:rPr>
          <w:b w:val="0"/>
          <w:bCs w:val="0"/>
          <w:color w:val="000000"/>
        </w:rPr>
        <w:t>.</w:t>
      </w:r>
      <w:r w:rsidR="00F82CD5" w:rsidRPr="002B016D">
        <w:rPr>
          <w:b w:val="0"/>
          <w:bCs w:val="0"/>
          <w:color w:val="000000"/>
        </w:rPr>
        <w:t xml:space="preserve"> Second,</w:t>
      </w:r>
      <w:r w:rsidR="003B615E" w:rsidRPr="002B016D">
        <w:rPr>
          <w:b w:val="0"/>
          <w:bCs w:val="0"/>
          <w:color w:val="000000"/>
        </w:rPr>
        <w:t xml:space="preserve"> </w:t>
      </w:r>
      <w:r w:rsidR="00F82CD5" w:rsidRPr="002B016D">
        <w:rPr>
          <w:b w:val="0"/>
          <w:bCs w:val="0"/>
          <w:color w:val="000000"/>
        </w:rPr>
        <w:t>under s</w:t>
      </w:r>
      <w:r w:rsidR="0050160A">
        <w:rPr>
          <w:b w:val="0"/>
          <w:bCs w:val="0"/>
          <w:color w:val="000000"/>
        </w:rPr>
        <w:t xml:space="preserve">ection </w:t>
      </w:r>
      <w:r w:rsidR="00F82CD5" w:rsidRPr="002B016D">
        <w:rPr>
          <w:b w:val="0"/>
          <w:bCs w:val="0"/>
          <w:color w:val="000000"/>
        </w:rPr>
        <w:t>55(6) sexual infidelity is explicitly excluded when</w:t>
      </w:r>
      <w:r w:rsidR="0005093B" w:rsidRPr="002B016D">
        <w:rPr>
          <w:b w:val="0"/>
          <w:bCs w:val="0"/>
          <w:color w:val="000000"/>
        </w:rPr>
        <w:t xml:space="preserve"> considering whether there was a qualifying trigger. </w:t>
      </w:r>
      <w:r w:rsidR="00C2236D" w:rsidRPr="007D7499">
        <w:rPr>
          <w:b w:val="0"/>
          <w:bCs w:val="0"/>
        </w:rPr>
        <w:t>In developing the legislation, the government felt that sexual infidelity should no longer amount to an exceptional circumstance which mitigated homicide</w:t>
      </w:r>
      <w:r w:rsidR="00247F23" w:rsidRPr="007D7499">
        <w:rPr>
          <w:b w:val="0"/>
          <w:bCs w:val="0"/>
        </w:rPr>
        <w:t xml:space="preserve"> (Ministry of Justice</w:t>
      </w:r>
      <w:r w:rsidR="00F24F87" w:rsidRPr="007D7499">
        <w:rPr>
          <w:b w:val="0"/>
          <w:bCs w:val="0"/>
        </w:rPr>
        <w:t>,</w:t>
      </w:r>
      <w:r w:rsidR="00247F23" w:rsidRPr="007D7499">
        <w:rPr>
          <w:b w:val="0"/>
          <w:bCs w:val="0"/>
        </w:rPr>
        <w:t xml:space="preserve"> 2008</w:t>
      </w:r>
      <w:r w:rsidR="00F2470B" w:rsidRPr="007D7499">
        <w:rPr>
          <w:b w:val="0"/>
          <w:bCs w:val="0"/>
        </w:rPr>
        <w:t>: 33</w:t>
      </w:r>
      <w:r w:rsidR="00247F23" w:rsidRPr="007D7499">
        <w:rPr>
          <w:b w:val="0"/>
          <w:bCs w:val="0"/>
        </w:rPr>
        <w:t>)</w:t>
      </w:r>
      <w:r w:rsidR="00C2236D" w:rsidRPr="007D7499">
        <w:rPr>
          <w:b w:val="0"/>
          <w:bCs w:val="0"/>
        </w:rPr>
        <w:t>, which was undoubtedly a radical</w:t>
      </w:r>
      <w:r w:rsidR="00CD50A1" w:rsidRPr="007D7499">
        <w:rPr>
          <w:b w:val="0"/>
          <w:bCs w:val="0"/>
        </w:rPr>
        <w:t xml:space="preserve"> – and a controversial -</w:t>
      </w:r>
      <w:r w:rsidR="00C2236D" w:rsidRPr="007D7499">
        <w:rPr>
          <w:b w:val="0"/>
          <w:bCs w:val="0"/>
        </w:rPr>
        <w:t xml:space="preserve"> change to the law</w:t>
      </w:r>
      <w:r w:rsidR="009F1191" w:rsidRPr="007D7499">
        <w:rPr>
          <w:b w:val="0"/>
          <w:bCs w:val="0"/>
        </w:rPr>
        <w:t xml:space="preserve"> (see</w:t>
      </w:r>
      <w:r w:rsidR="00974882">
        <w:rPr>
          <w:b w:val="0"/>
          <w:bCs w:val="0"/>
        </w:rPr>
        <w:t>,</w:t>
      </w:r>
      <w:r w:rsidR="009F1191" w:rsidRPr="007D7499">
        <w:rPr>
          <w:b w:val="0"/>
          <w:bCs w:val="0"/>
        </w:rPr>
        <w:t xml:space="preserve"> for example</w:t>
      </w:r>
      <w:r w:rsidR="00974882">
        <w:rPr>
          <w:b w:val="0"/>
          <w:bCs w:val="0"/>
        </w:rPr>
        <w:t>,</w:t>
      </w:r>
      <w:r w:rsidR="009F1191" w:rsidRPr="007D7499">
        <w:rPr>
          <w:b w:val="0"/>
          <w:bCs w:val="0"/>
        </w:rPr>
        <w:t xml:space="preserve"> the discussions in Edwards</w:t>
      </w:r>
      <w:r w:rsidR="00F24F87" w:rsidRPr="007D7499">
        <w:rPr>
          <w:b w:val="0"/>
          <w:bCs w:val="0"/>
        </w:rPr>
        <w:t>,</w:t>
      </w:r>
      <w:r w:rsidR="009F1191" w:rsidRPr="007D7499">
        <w:rPr>
          <w:b w:val="0"/>
          <w:bCs w:val="0"/>
        </w:rPr>
        <w:t xml:space="preserve"> 2011</w:t>
      </w:r>
      <w:r w:rsidR="00BE6215" w:rsidRPr="007D7499">
        <w:rPr>
          <w:b w:val="0"/>
          <w:bCs w:val="0"/>
        </w:rPr>
        <w:t xml:space="preserve">; </w:t>
      </w:r>
      <w:proofErr w:type="gramStart"/>
      <w:r w:rsidR="00BE6215" w:rsidRPr="007D7499">
        <w:rPr>
          <w:b w:val="0"/>
          <w:bCs w:val="0"/>
        </w:rPr>
        <w:t>Fitz-Gibbon</w:t>
      </w:r>
      <w:proofErr w:type="gramEnd"/>
      <w:r w:rsidR="00F24F87" w:rsidRPr="007D7499">
        <w:rPr>
          <w:b w:val="0"/>
          <w:bCs w:val="0"/>
        </w:rPr>
        <w:t>,</w:t>
      </w:r>
      <w:r w:rsidR="00BE6215" w:rsidRPr="007D7499">
        <w:rPr>
          <w:b w:val="0"/>
          <w:bCs w:val="0"/>
        </w:rPr>
        <w:t xml:space="preserve"> 2013</w:t>
      </w:r>
      <w:r w:rsidR="00AF6E06" w:rsidRPr="007D7499">
        <w:rPr>
          <w:b w:val="0"/>
          <w:bCs w:val="0"/>
        </w:rPr>
        <w:t>;</w:t>
      </w:r>
      <w:r w:rsidR="00BE6215" w:rsidRPr="007D7499">
        <w:rPr>
          <w:b w:val="0"/>
          <w:bCs w:val="0"/>
        </w:rPr>
        <w:t xml:space="preserve"> Mitchell</w:t>
      </w:r>
      <w:r w:rsidR="00F24F87" w:rsidRPr="007D7499">
        <w:rPr>
          <w:b w:val="0"/>
          <w:bCs w:val="0"/>
        </w:rPr>
        <w:t>,</w:t>
      </w:r>
      <w:r w:rsidR="00BE6215" w:rsidRPr="007D7499">
        <w:rPr>
          <w:b w:val="0"/>
          <w:bCs w:val="0"/>
        </w:rPr>
        <w:t xml:space="preserve"> 2011)</w:t>
      </w:r>
      <w:r w:rsidR="00247F23" w:rsidRPr="007D7499">
        <w:rPr>
          <w:b w:val="0"/>
          <w:bCs w:val="0"/>
        </w:rPr>
        <w:t>.</w:t>
      </w:r>
      <w:r w:rsidR="00DF2880" w:rsidRPr="002B016D">
        <w:rPr>
          <w:b w:val="0"/>
          <w:bCs w:val="0"/>
          <w:color w:val="000000"/>
        </w:rPr>
        <w:t xml:space="preserve"> </w:t>
      </w:r>
      <w:r w:rsidR="002D5483" w:rsidRPr="002B016D">
        <w:rPr>
          <w:b w:val="0"/>
          <w:bCs w:val="0"/>
          <w:color w:val="000000"/>
        </w:rPr>
        <w:t xml:space="preserve">It should also be </w:t>
      </w:r>
      <w:r w:rsidR="00DE590B" w:rsidRPr="002B016D">
        <w:rPr>
          <w:b w:val="0"/>
          <w:bCs w:val="0"/>
          <w:color w:val="000000"/>
        </w:rPr>
        <w:t>noted</w:t>
      </w:r>
      <w:r w:rsidR="002D5483" w:rsidRPr="002B016D">
        <w:rPr>
          <w:b w:val="0"/>
          <w:bCs w:val="0"/>
          <w:color w:val="000000"/>
        </w:rPr>
        <w:t xml:space="preserve"> that</w:t>
      </w:r>
      <w:r w:rsidR="00E3204F" w:rsidRPr="002B016D">
        <w:rPr>
          <w:b w:val="0"/>
          <w:bCs w:val="0"/>
          <w:color w:val="000000"/>
        </w:rPr>
        <w:t xml:space="preserve"> </w:t>
      </w:r>
      <w:r w:rsidR="002D5483" w:rsidRPr="002B016D">
        <w:rPr>
          <w:b w:val="0"/>
          <w:bCs w:val="0"/>
          <w:color w:val="000000"/>
        </w:rPr>
        <w:t>u</w:t>
      </w:r>
      <w:r w:rsidR="00121232" w:rsidRPr="002B016D">
        <w:rPr>
          <w:b w:val="0"/>
          <w:bCs w:val="0"/>
          <w:color w:val="000000"/>
        </w:rPr>
        <w:t>nder s</w:t>
      </w:r>
      <w:r w:rsidR="000E0450">
        <w:rPr>
          <w:b w:val="0"/>
          <w:bCs w:val="0"/>
          <w:color w:val="000000"/>
        </w:rPr>
        <w:t>ection</w:t>
      </w:r>
      <w:r w:rsidR="00676AE7" w:rsidRPr="002B016D">
        <w:rPr>
          <w:b w:val="0"/>
          <w:bCs w:val="0"/>
          <w:color w:val="000000"/>
        </w:rPr>
        <w:t xml:space="preserve"> </w:t>
      </w:r>
      <w:r w:rsidR="000E0450">
        <w:rPr>
          <w:b w:val="0"/>
          <w:bCs w:val="0"/>
          <w:color w:val="000000"/>
        </w:rPr>
        <w:t>55(</w:t>
      </w:r>
      <w:r w:rsidR="00121232" w:rsidRPr="002B016D">
        <w:rPr>
          <w:b w:val="0"/>
          <w:bCs w:val="0"/>
          <w:color w:val="000000"/>
        </w:rPr>
        <w:t xml:space="preserve">5) a defendant </w:t>
      </w:r>
      <w:r w:rsidR="0017737A" w:rsidRPr="002B016D">
        <w:rPr>
          <w:b w:val="0"/>
          <w:bCs w:val="0"/>
          <w:color w:val="000000"/>
        </w:rPr>
        <w:t>can</w:t>
      </w:r>
      <w:r w:rsidR="001457EE" w:rsidRPr="002B016D">
        <w:rPr>
          <w:b w:val="0"/>
          <w:bCs w:val="0"/>
          <w:color w:val="000000"/>
        </w:rPr>
        <w:t xml:space="preserve"> rely upon </w:t>
      </w:r>
      <w:r w:rsidR="00676AE7" w:rsidRPr="002B016D">
        <w:rPr>
          <w:b w:val="0"/>
          <w:bCs w:val="0"/>
          <w:color w:val="000000"/>
        </w:rPr>
        <w:t xml:space="preserve">a combination of </w:t>
      </w:r>
      <w:r w:rsidR="001457EE" w:rsidRPr="002B016D">
        <w:rPr>
          <w:b w:val="0"/>
          <w:bCs w:val="0"/>
          <w:color w:val="000000"/>
        </w:rPr>
        <w:t>both triggers, as such one does not preclude the other.</w:t>
      </w:r>
      <w:r w:rsidR="006F411A" w:rsidRPr="002B016D">
        <w:rPr>
          <w:b w:val="0"/>
          <w:bCs w:val="0"/>
          <w:color w:val="000000"/>
        </w:rPr>
        <w:t xml:space="preserve"> </w:t>
      </w:r>
    </w:p>
    <w:p w14:paraId="2688CC11" w14:textId="77777777" w:rsidR="00C21936" w:rsidRPr="002B016D" w:rsidRDefault="00C21936" w:rsidP="003D25D4">
      <w:pPr>
        <w:spacing w:line="360" w:lineRule="auto"/>
        <w:jc w:val="both"/>
        <w:rPr>
          <w:b w:val="0"/>
          <w:bCs w:val="0"/>
          <w:color w:val="000000"/>
        </w:rPr>
      </w:pPr>
    </w:p>
    <w:p w14:paraId="2084AFE3" w14:textId="663B0334" w:rsidR="00182E47" w:rsidRPr="00D87FC1" w:rsidRDefault="009C0C37" w:rsidP="00D87FC1">
      <w:pPr>
        <w:spacing w:line="360" w:lineRule="auto"/>
        <w:rPr>
          <w:b w:val="0"/>
          <w:bCs w:val="0"/>
          <w:color w:val="000000"/>
        </w:rPr>
      </w:pPr>
      <w:r w:rsidRPr="002B016D">
        <w:rPr>
          <w:b w:val="0"/>
          <w:bCs w:val="0"/>
          <w:color w:val="000000"/>
        </w:rPr>
        <w:t>C</w:t>
      </w:r>
      <w:r w:rsidR="00DC739E" w:rsidRPr="002B016D">
        <w:rPr>
          <w:b w:val="0"/>
          <w:bCs w:val="0"/>
          <w:color w:val="000000"/>
        </w:rPr>
        <w:t>oncern</w:t>
      </w:r>
      <w:r w:rsidRPr="002B016D">
        <w:rPr>
          <w:b w:val="0"/>
          <w:bCs w:val="0"/>
          <w:color w:val="000000"/>
        </w:rPr>
        <w:t xml:space="preserve"> ha</w:t>
      </w:r>
      <w:r w:rsidR="00367A22" w:rsidRPr="002B016D">
        <w:rPr>
          <w:b w:val="0"/>
          <w:bCs w:val="0"/>
          <w:color w:val="000000"/>
        </w:rPr>
        <w:t>s</w:t>
      </w:r>
      <w:r w:rsidRPr="002B016D">
        <w:rPr>
          <w:b w:val="0"/>
          <w:bCs w:val="0"/>
          <w:color w:val="000000"/>
        </w:rPr>
        <w:t xml:space="preserve"> been expressed</w:t>
      </w:r>
      <w:r w:rsidR="00DC739E" w:rsidRPr="002B016D">
        <w:rPr>
          <w:b w:val="0"/>
          <w:bCs w:val="0"/>
          <w:color w:val="000000"/>
        </w:rPr>
        <w:t xml:space="preserve"> that judges w</w:t>
      </w:r>
      <w:r w:rsidR="00D47F9E" w:rsidRPr="002B016D">
        <w:rPr>
          <w:b w:val="0"/>
          <w:bCs w:val="0"/>
          <w:color w:val="000000"/>
        </w:rPr>
        <w:t>ould</w:t>
      </w:r>
      <w:r w:rsidR="00DC739E" w:rsidRPr="002B016D">
        <w:rPr>
          <w:b w:val="0"/>
          <w:bCs w:val="0"/>
          <w:color w:val="000000"/>
        </w:rPr>
        <w:t xml:space="preserve"> be influenced by prior cases and</w:t>
      </w:r>
      <w:r w:rsidR="00815FDE">
        <w:rPr>
          <w:b w:val="0"/>
          <w:bCs w:val="0"/>
          <w:color w:val="000000"/>
        </w:rPr>
        <w:t>,</w:t>
      </w:r>
      <w:r w:rsidR="00DC739E" w:rsidRPr="002B016D">
        <w:rPr>
          <w:b w:val="0"/>
          <w:bCs w:val="0"/>
          <w:color w:val="000000"/>
        </w:rPr>
        <w:t xml:space="preserve"> as such</w:t>
      </w:r>
      <w:r w:rsidR="00815FDE">
        <w:rPr>
          <w:b w:val="0"/>
          <w:bCs w:val="0"/>
          <w:color w:val="000000"/>
        </w:rPr>
        <w:t>,</w:t>
      </w:r>
      <w:r w:rsidR="004D2ADB" w:rsidRPr="002B016D">
        <w:rPr>
          <w:b w:val="0"/>
          <w:bCs w:val="0"/>
          <w:color w:val="000000"/>
        </w:rPr>
        <w:t xml:space="preserve"> anger will be the main signifier of a loss of control</w:t>
      </w:r>
      <w:r w:rsidR="00DB1F02" w:rsidRPr="002B016D">
        <w:rPr>
          <w:b w:val="0"/>
          <w:bCs w:val="0"/>
          <w:color w:val="000000"/>
        </w:rPr>
        <w:t xml:space="preserve"> (Edwards</w:t>
      </w:r>
      <w:r w:rsidR="00F24F87" w:rsidRPr="002B016D">
        <w:rPr>
          <w:b w:val="0"/>
          <w:bCs w:val="0"/>
          <w:color w:val="000000"/>
        </w:rPr>
        <w:t>,</w:t>
      </w:r>
      <w:r w:rsidR="0060365B" w:rsidRPr="002B016D">
        <w:rPr>
          <w:b w:val="0"/>
          <w:bCs w:val="0"/>
          <w:color w:val="000000"/>
        </w:rPr>
        <w:t xml:space="preserve"> 2010</w:t>
      </w:r>
      <w:r w:rsidR="00DB1F02" w:rsidRPr="002B016D">
        <w:rPr>
          <w:b w:val="0"/>
          <w:bCs w:val="0"/>
          <w:color w:val="000000"/>
        </w:rPr>
        <w:t>)</w:t>
      </w:r>
      <w:r w:rsidR="004D2ADB" w:rsidRPr="002B016D">
        <w:rPr>
          <w:b w:val="0"/>
          <w:bCs w:val="0"/>
          <w:color w:val="000000"/>
        </w:rPr>
        <w:t>.</w:t>
      </w:r>
      <w:r w:rsidR="001033DD" w:rsidRPr="002B016D">
        <w:rPr>
          <w:b w:val="0"/>
          <w:bCs w:val="0"/>
          <w:color w:val="000000"/>
        </w:rPr>
        <w:t xml:space="preserve"> Nevertheless,</w:t>
      </w:r>
      <w:r w:rsidR="004D2ADB" w:rsidRPr="002B016D">
        <w:rPr>
          <w:b w:val="0"/>
          <w:bCs w:val="0"/>
          <w:color w:val="000000"/>
        </w:rPr>
        <w:t xml:space="preserve"> </w:t>
      </w:r>
      <w:r w:rsidR="001033DD" w:rsidRPr="002B016D">
        <w:rPr>
          <w:b w:val="0"/>
          <w:bCs w:val="0"/>
          <w:color w:val="000000"/>
        </w:rPr>
        <w:t>i</w:t>
      </w:r>
      <w:r w:rsidR="004D2ADB" w:rsidRPr="002B016D">
        <w:rPr>
          <w:b w:val="0"/>
          <w:bCs w:val="0"/>
          <w:color w:val="000000"/>
        </w:rPr>
        <w:t xml:space="preserve">n </w:t>
      </w:r>
      <w:r w:rsidR="00FE7204" w:rsidRPr="008108B0">
        <w:rPr>
          <w:b w:val="0"/>
          <w:bCs w:val="0"/>
          <w:i/>
          <w:iCs/>
        </w:rPr>
        <w:t xml:space="preserve">R v Clinton </w:t>
      </w:r>
      <w:r w:rsidR="00FE7204" w:rsidRPr="002B016D">
        <w:rPr>
          <w:b w:val="0"/>
          <w:bCs w:val="0"/>
          <w:color w:val="000000"/>
        </w:rPr>
        <w:t>[2012] EWCA Crim 2</w:t>
      </w:r>
      <w:r w:rsidR="004D2ADB" w:rsidRPr="002B016D">
        <w:rPr>
          <w:b w:val="0"/>
          <w:bCs w:val="0"/>
          <w:i/>
          <w:iCs/>
          <w:color w:val="000000"/>
        </w:rPr>
        <w:t xml:space="preserve">, </w:t>
      </w:r>
      <w:r w:rsidR="004D2ADB" w:rsidRPr="002B016D">
        <w:rPr>
          <w:b w:val="0"/>
          <w:bCs w:val="0"/>
          <w:color w:val="000000"/>
        </w:rPr>
        <w:t>the Court of Appeal made it clear that the</w:t>
      </w:r>
      <w:r w:rsidR="00C26296" w:rsidRPr="002B016D">
        <w:rPr>
          <w:b w:val="0"/>
          <w:bCs w:val="0"/>
          <w:color w:val="000000"/>
        </w:rPr>
        <w:t xml:space="preserve"> </w:t>
      </w:r>
      <w:r w:rsidR="00C26296" w:rsidRPr="00D87FC1">
        <w:rPr>
          <w:b w:val="0"/>
          <w:bCs w:val="0"/>
        </w:rPr>
        <w:t>“common law heritage is irrelevant”, and th</w:t>
      </w:r>
      <w:r w:rsidR="006611B6" w:rsidRPr="00D87FC1">
        <w:rPr>
          <w:b w:val="0"/>
          <w:bCs w:val="0"/>
        </w:rPr>
        <w:t xml:space="preserve">at the “full ambit of the defence is encompassed” within the </w:t>
      </w:r>
      <w:r w:rsidR="00261BCB" w:rsidRPr="00D87FC1">
        <w:rPr>
          <w:b w:val="0"/>
          <w:bCs w:val="0"/>
        </w:rPr>
        <w:t>2009 Act</w:t>
      </w:r>
      <w:r w:rsidR="00924D31" w:rsidRPr="00D87FC1">
        <w:rPr>
          <w:b w:val="0"/>
          <w:bCs w:val="0"/>
        </w:rPr>
        <w:t xml:space="preserve"> (2012: para </w:t>
      </w:r>
      <w:r w:rsidR="00E11B7F" w:rsidRPr="00D87FC1">
        <w:rPr>
          <w:b w:val="0"/>
          <w:bCs w:val="0"/>
        </w:rPr>
        <w:t>2)</w:t>
      </w:r>
      <w:r w:rsidR="00261BCB" w:rsidRPr="00D87FC1">
        <w:rPr>
          <w:b w:val="0"/>
          <w:bCs w:val="0"/>
        </w:rPr>
        <w:t xml:space="preserve">. </w:t>
      </w:r>
      <w:r w:rsidR="00DF1C5C" w:rsidRPr="00D87FC1">
        <w:rPr>
          <w:b w:val="0"/>
          <w:bCs w:val="0"/>
        </w:rPr>
        <w:t xml:space="preserve">While the section does state that the loss of control need not be sudden, hence moving away from the position </w:t>
      </w:r>
      <w:r w:rsidR="0017737A" w:rsidRPr="00D87FC1">
        <w:rPr>
          <w:b w:val="0"/>
          <w:bCs w:val="0"/>
        </w:rPr>
        <w:t>adopted</w:t>
      </w:r>
      <w:r w:rsidR="00DF1C5C" w:rsidRPr="00D87FC1">
        <w:rPr>
          <w:b w:val="0"/>
          <w:bCs w:val="0"/>
        </w:rPr>
        <w:t xml:space="preserve"> in </w:t>
      </w:r>
      <w:r w:rsidR="005E72C6" w:rsidRPr="00D87FC1">
        <w:rPr>
          <w:b w:val="0"/>
          <w:bCs w:val="0"/>
          <w:i/>
          <w:iCs/>
        </w:rPr>
        <w:t xml:space="preserve">R v </w:t>
      </w:r>
      <w:r w:rsidR="00DF1C5C" w:rsidRPr="00D87FC1">
        <w:rPr>
          <w:b w:val="0"/>
          <w:bCs w:val="0"/>
          <w:i/>
          <w:iCs/>
        </w:rPr>
        <w:t>Duffy</w:t>
      </w:r>
      <w:r w:rsidR="00DF1C5C" w:rsidRPr="00D87FC1">
        <w:rPr>
          <w:b w:val="0"/>
          <w:bCs w:val="0"/>
        </w:rPr>
        <w:t xml:space="preserve">, and potentially responding to the concerns that women have </w:t>
      </w:r>
      <w:r w:rsidR="004979EA" w:rsidRPr="00D87FC1">
        <w:rPr>
          <w:b w:val="0"/>
          <w:bCs w:val="0"/>
        </w:rPr>
        <w:t>slow-burning anger</w:t>
      </w:r>
      <w:r w:rsidR="00CC2977" w:rsidRPr="00D87FC1">
        <w:rPr>
          <w:b w:val="0"/>
          <w:bCs w:val="0"/>
        </w:rPr>
        <w:t>, there</w:t>
      </w:r>
      <w:r w:rsidR="003358A6" w:rsidRPr="00D87FC1">
        <w:rPr>
          <w:b w:val="0"/>
          <w:bCs w:val="0"/>
        </w:rPr>
        <w:t xml:space="preserve"> </w:t>
      </w:r>
      <w:r w:rsidR="00CC2977" w:rsidRPr="00D87FC1">
        <w:rPr>
          <w:b w:val="0"/>
          <w:bCs w:val="0"/>
        </w:rPr>
        <w:t>is no other guidance within the section</w:t>
      </w:r>
      <w:r w:rsidR="003358A6" w:rsidRPr="00D87FC1">
        <w:rPr>
          <w:b w:val="0"/>
          <w:bCs w:val="0"/>
        </w:rPr>
        <w:t xml:space="preserve"> which may aid judges.</w:t>
      </w:r>
      <w:r w:rsidR="00700786" w:rsidRPr="002B016D">
        <w:rPr>
          <w:b w:val="0"/>
          <w:bCs w:val="0"/>
          <w:color w:val="000000"/>
        </w:rPr>
        <w:t xml:space="preserve"> </w:t>
      </w:r>
      <w:r w:rsidR="00EB609C" w:rsidRPr="002B016D">
        <w:rPr>
          <w:b w:val="0"/>
          <w:bCs w:val="0"/>
          <w:color w:val="000000"/>
        </w:rPr>
        <w:t>Some</w:t>
      </w:r>
      <w:r w:rsidR="006A54F0" w:rsidRPr="002B016D">
        <w:rPr>
          <w:b w:val="0"/>
          <w:bCs w:val="0"/>
          <w:color w:val="000000"/>
        </w:rPr>
        <w:t xml:space="preserve"> guidance may be gleaned from some of the </w:t>
      </w:r>
      <w:r w:rsidR="006A54F0" w:rsidRPr="002B016D">
        <w:rPr>
          <w:b w:val="0"/>
          <w:bCs w:val="0"/>
          <w:color w:val="000000"/>
        </w:rPr>
        <w:lastRenderedPageBreak/>
        <w:t xml:space="preserve">Court of Appeal cases. </w:t>
      </w:r>
      <w:r w:rsidR="00EF2FBC" w:rsidRPr="002B016D">
        <w:rPr>
          <w:b w:val="0"/>
          <w:bCs w:val="0"/>
          <w:color w:val="000000"/>
        </w:rPr>
        <w:t xml:space="preserve">In </w:t>
      </w:r>
      <w:r w:rsidR="001612B3" w:rsidRPr="002B016D">
        <w:rPr>
          <w:b w:val="0"/>
          <w:bCs w:val="0"/>
          <w:i/>
          <w:iCs/>
          <w:color w:val="000000"/>
        </w:rPr>
        <w:t xml:space="preserve">R v </w:t>
      </w:r>
      <w:r w:rsidR="00EF2FBC" w:rsidRPr="002B016D">
        <w:rPr>
          <w:b w:val="0"/>
          <w:bCs w:val="0"/>
          <w:i/>
          <w:iCs/>
          <w:color w:val="000000"/>
        </w:rPr>
        <w:t>Jewell</w:t>
      </w:r>
      <w:r w:rsidR="001612B3" w:rsidRPr="002B016D">
        <w:rPr>
          <w:b w:val="0"/>
          <w:bCs w:val="0"/>
          <w:color w:val="000000"/>
        </w:rPr>
        <w:t xml:space="preserve"> [2014] EWCA Crim 414</w:t>
      </w:r>
      <w:r w:rsidR="00E11B7F" w:rsidRPr="002B016D">
        <w:rPr>
          <w:b w:val="0"/>
          <w:bCs w:val="0"/>
          <w:color w:val="000000"/>
        </w:rPr>
        <w:t xml:space="preserve"> </w:t>
      </w:r>
      <w:r w:rsidR="00EF2FBC" w:rsidRPr="002B016D">
        <w:rPr>
          <w:b w:val="0"/>
          <w:bCs w:val="0"/>
          <w:color w:val="000000"/>
        </w:rPr>
        <w:t>the court state</w:t>
      </w:r>
      <w:r w:rsidR="009B39F6" w:rsidRPr="002B016D">
        <w:rPr>
          <w:b w:val="0"/>
          <w:bCs w:val="0"/>
          <w:color w:val="000000"/>
        </w:rPr>
        <w:t>d</w:t>
      </w:r>
      <w:r w:rsidR="00EF2FBC" w:rsidRPr="002B016D">
        <w:rPr>
          <w:b w:val="0"/>
          <w:bCs w:val="0"/>
          <w:color w:val="000000"/>
        </w:rPr>
        <w:t xml:space="preserve">, following Smith and Hogan, that </w:t>
      </w:r>
      <w:r w:rsidR="007C52B5" w:rsidRPr="002B016D">
        <w:rPr>
          <w:b w:val="0"/>
          <w:bCs w:val="0"/>
          <w:color w:val="000000"/>
        </w:rPr>
        <w:t xml:space="preserve">a </w:t>
      </w:r>
      <w:r w:rsidR="00D12887" w:rsidRPr="002B016D">
        <w:rPr>
          <w:b w:val="0"/>
          <w:bCs w:val="0"/>
          <w:color w:val="000000"/>
        </w:rPr>
        <w:t>l</w:t>
      </w:r>
      <w:r w:rsidR="00EF2FBC" w:rsidRPr="002B016D">
        <w:rPr>
          <w:b w:val="0"/>
          <w:bCs w:val="0"/>
          <w:color w:val="000000"/>
        </w:rPr>
        <w:t xml:space="preserve">oss of control is considered </w:t>
      </w:r>
      <w:r w:rsidR="00C5269F" w:rsidRPr="002B016D">
        <w:rPr>
          <w:b w:val="0"/>
          <w:bCs w:val="0"/>
          <w:color w:val="000000"/>
        </w:rPr>
        <w:t>“</w:t>
      </w:r>
      <w:r w:rsidR="00EF2FBC" w:rsidRPr="002B016D">
        <w:rPr>
          <w:b w:val="0"/>
          <w:bCs w:val="0"/>
          <w:color w:val="000000"/>
        </w:rPr>
        <w:t>to mean a</w:t>
      </w:r>
      <w:r w:rsidR="00C5269F" w:rsidRPr="002B016D">
        <w:rPr>
          <w:b w:val="0"/>
          <w:bCs w:val="0"/>
          <w:color w:val="000000"/>
        </w:rPr>
        <w:t xml:space="preserve"> </w:t>
      </w:r>
      <w:r w:rsidR="00EF2FBC" w:rsidRPr="002B016D">
        <w:rPr>
          <w:b w:val="0"/>
          <w:bCs w:val="0"/>
          <w:color w:val="000000"/>
        </w:rPr>
        <w:t>loss of the</w:t>
      </w:r>
      <w:r w:rsidR="00AE4F33" w:rsidRPr="002B016D">
        <w:rPr>
          <w:b w:val="0"/>
          <w:bCs w:val="0"/>
          <w:color w:val="000000"/>
        </w:rPr>
        <w:t xml:space="preserve"> </w:t>
      </w:r>
      <w:r w:rsidR="00EF2FBC" w:rsidRPr="002B016D">
        <w:rPr>
          <w:b w:val="0"/>
          <w:bCs w:val="0"/>
          <w:color w:val="000000"/>
        </w:rPr>
        <w:t>ability to act in accordance with considered judgment or a loss of normal powers of reasoning</w:t>
      </w:r>
      <w:r w:rsidR="00C5269F" w:rsidRPr="002B016D">
        <w:rPr>
          <w:b w:val="0"/>
          <w:bCs w:val="0"/>
          <w:color w:val="000000"/>
        </w:rPr>
        <w:t>”</w:t>
      </w:r>
      <w:r w:rsidR="00AE4F33" w:rsidRPr="002B016D">
        <w:rPr>
          <w:b w:val="0"/>
          <w:bCs w:val="0"/>
          <w:color w:val="000000"/>
        </w:rPr>
        <w:t xml:space="preserve"> (</w:t>
      </w:r>
      <w:r w:rsidR="005C5EDC" w:rsidRPr="002B016D">
        <w:rPr>
          <w:b w:val="0"/>
          <w:bCs w:val="0"/>
          <w:color w:val="000000"/>
        </w:rPr>
        <w:t xml:space="preserve">at </w:t>
      </w:r>
      <w:r w:rsidR="00AE4F33" w:rsidRPr="002B016D">
        <w:rPr>
          <w:b w:val="0"/>
          <w:bCs w:val="0"/>
          <w:color w:val="000000"/>
        </w:rPr>
        <w:t>para 23)</w:t>
      </w:r>
      <w:r w:rsidR="00C5269F" w:rsidRPr="002B016D">
        <w:rPr>
          <w:b w:val="0"/>
          <w:bCs w:val="0"/>
          <w:color w:val="000000"/>
        </w:rPr>
        <w:t>.</w:t>
      </w:r>
      <w:r w:rsidR="007C52B5" w:rsidRPr="002B016D">
        <w:rPr>
          <w:b w:val="0"/>
          <w:bCs w:val="0"/>
          <w:color w:val="000000"/>
        </w:rPr>
        <w:t xml:space="preserve"> </w:t>
      </w:r>
      <w:r w:rsidR="00FE5787" w:rsidRPr="002B016D">
        <w:rPr>
          <w:b w:val="0"/>
          <w:bCs w:val="0"/>
          <w:color w:val="000000"/>
        </w:rPr>
        <w:t>Further guidance, particularly on the issue of suddenness, was provided by Lord Justice Judge</w:t>
      </w:r>
      <w:r w:rsidR="00EE47B0" w:rsidRPr="002B016D">
        <w:rPr>
          <w:b w:val="0"/>
          <w:bCs w:val="0"/>
          <w:color w:val="000000"/>
        </w:rPr>
        <w:t>,</w:t>
      </w:r>
      <w:r w:rsidR="00FE5787" w:rsidRPr="002B016D">
        <w:rPr>
          <w:b w:val="0"/>
          <w:bCs w:val="0"/>
          <w:color w:val="000000"/>
        </w:rPr>
        <w:t xml:space="preserve"> in </w:t>
      </w:r>
      <w:r w:rsidR="00F549ED" w:rsidRPr="002B016D">
        <w:rPr>
          <w:b w:val="0"/>
          <w:bCs w:val="0"/>
          <w:i/>
          <w:iCs/>
          <w:color w:val="000000"/>
        </w:rPr>
        <w:t xml:space="preserve">R v </w:t>
      </w:r>
      <w:r w:rsidR="00FE5787" w:rsidRPr="002B016D">
        <w:rPr>
          <w:b w:val="0"/>
          <w:bCs w:val="0"/>
          <w:i/>
          <w:iCs/>
          <w:color w:val="000000"/>
        </w:rPr>
        <w:t>Dawes</w:t>
      </w:r>
      <w:r w:rsidR="00E11B7F" w:rsidRPr="002B016D">
        <w:rPr>
          <w:b w:val="0"/>
          <w:bCs w:val="0"/>
          <w:color w:val="000000"/>
        </w:rPr>
        <w:t xml:space="preserve"> </w:t>
      </w:r>
      <w:r w:rsidR="00C556EA" w:rsidRPr="002B016D">
        <w:rPr>
          <w:b w:val="0"/>
          <w:bCs w:val="0"/>
          <w:color w:val="000000"/>
        </w:rPr>
        <w:t xml:space="preserve">[2013] </w:t>
      </w:r>
      <w:r w:rsidR="00F549ED" w:rsidRPr="002B016D">
        <w:rPr>
          <w:b w:val="0"/>
          <w:bCs w:val="0"/>
          <w:color w:val="000000"/>
        </w:rPr>
        <w:t>EWCA Crim 322</w:t>
      </w:r>
      <w:r w:rsidR="00FE5787" w:rsidRPr="002B016D">
        <w:rPr>
          <w:b w:val="0"/>
          <w:bCs w:val="0"/>
          <w:i/>
          <w:iCs/>
          <w:color w:val="000000"/>
        </w:rPr>
        <w:t xml:space="preserve">, </w:t>
      </w:r>
      <w:r w:rsidR="00FF2CA4" w:rsidRPr="002B016D">
        <w:rPr>
          <w:b w:val="0"/>
          <w:bCs w:val="0"/>
          <w:color w:val="000000"/>
        </w:rPr>
        <w:t>who</w:t>
      </w:r>
      <w:r w:rsidR="00FE5787" w:rsidRPr="002B016D">
        <w:rPr>
          <w:b w:val="0"/>
          <w:bCs w:val="0"/>
          <w:color w:val="000000"/>
        </w:rPr>
        <w:t xml:space="preserve"> stated: </w:t>
      </w:r>
      <w:r w:rsidR="007A7769" w:rsidRPr="002B016D">
        <w:rPr>
          <w:b w:val="0"/>
          <w:bCs w:val="0"/>
          <w:color w:val="000000"/>
        </w:rPr>
        <w:t>“</w:t>
      </w:r>
      <w:r w:rsidR="00182E47" w:rsidRPr="00D87FC1">
        <w:rPr>
          <w:b w:val="0"/>
          <w:bCs w:val="0"/>
        </w:rPr>
        <w:t>Provided there was a loss of control, it does not matter whether the loss was sudden or not. A reaction to circumstances of extreme gravity may be delayed</w:t>
      </w:r>
      <w:r w:rsidR="007A7769" w:rsidRPr="00D87FC1">
        <w:rPr>
          <w:b w:val="0"/>
          <w:bCs w:val="0"/>
        </w:rPr>
        <w:t>”</w:t>
      </w:r>
      <w:r w:rsidR="00395301" w:rsidRPr="00D87FC1">
        <w:rPr>
          <w:b w:val="0"/>
          <w:bCs w:val="0"/>
        </w:rPr>
        <w:t xml:space="preserve"> (</w:t>
      </w:r>
      <w:r w:rsidR="00C556EA" w:rsidRPr="00D87FC1">
        <w:rPr>
          <w:b w:val="0"/>
          <w:bCs w:val="0"/>
        </w:rPr>
        <w:t>at para</w:t>
      </w:r>
      <w:r w:rsidR="00395301" w:rsidRPr="00D87FC1">
        <w:rPr>
          <w:b w:val="0"/>
          <w:bCs w:val="0"/>
        </w:rPr>
        <w:t xml:space="preserve"> </w:t>
      </w:r>
      <w:r w:rsidR="009809BD" w:rsidRPr="00D87FC1">
        <w:rPr>
          <w:b w:val="0"/>
          <w:bCs w:val="0"/>
        </w:rPr>
        <w:t>54)</w:t>
      </w:r>
      <w:r w:rsidR="007A7769" w:rsidRPr="00D87FC1">
        <w:rPr>
          <w:b w:val="0"/>
          <w:bCs w:val="0"/>
        </w:rPr>
        <w:t xml:space="preserve">. </w:t>
      </w:r>
      <w:r w:rsidR="00084512" w:rsidRPr="00D87FC1">
        <w:rPr>
          <w:b w:val="0"/>
          <w:bCs w:val="0"/>
        </w:rPr>
        <w:t>It</w:t>
      </w:r>
      <w:r w:rsidR="007A7769" w:rsidRPr="00D87FC1">
        <w:rPr>
          <w:b w:val="0"/>
          <w:bCs w:val="0"/>
        </w:rPr>
        <w:t xml:space="preserve"> </w:t>
      </w:r>
      <w:r w:rsidR="009B39F6" w:rsidRPr="00D87FC1">
        <w:rPr>
          <w:b w:val="0"/>
          <w:bCs w:val="0"/>
        </w:rPr>
        <w:t>wa</w:t>
      </w:r>
      <w:r w:rsidR="007A7769" w:rsidRPr="00D87FC1">
        <w:rPr>
          <w:b w:val="0"/>
          <w:bCs w:val="0"/>
        </w:rPr>
        <w:t xml:space="preserve">s </w:t>
      </w:r>
      <w:r w:rsidR="00084512" w:rsidRPr="00D87FC1">
        <w:rPr>
          <w:b w:val="0"/>
          <w:bCs w:val="0"/>
        </w:rPr>
        <w:t xml:space="preserve">also </w:t>
      </w:r>
      <w:r w:rsidR="007A7769" w:rsidRPr="00D87FC1">
        <w:rPr>
          <w:b w:val="0"/>
          <w:bCs w:val="0"/>
        </w:rPr>
        <w:t>stressed that “</w:t>
      </w:r>
      <w:r w:rsidR="00182E47" w:rsidRPr="00D87FC1">
        <w:rPr>
          <w:b w:val="0"/>
          <w:bCs w:val="0"/>
        </w:rPr>
        <w:t>the loss of control may follow from the cumulative impact of earlier events</w:t>
      </w:r>
      <w:r w:rsidR="00CE737E" w:rsidRPr="00D87FC1">
        <w:rPr>
          <w:b w:val="0"/>
          <w:bCs w:val="0"/>
        </w:rPr>
        <w:t>”</w:t>
      </w:r>
      <w:r w:rsidR="000D798C" w:rsidRPr="00D87FC1">
        <w:rPr>
          <w:b w:val="0"/>
          <w:bCs w:val="0"/>
        </w:rPr>
        <w:t xml:space="preserve"> (</w:t>
      </w:r>
      <w:r w:rsidR="00C556EA" w:rsidRPr="00D87FC1">
        <w:rPr>
          <w:b w:val="0"/>
          <w:bCs w:val="0"/>
        </w:rPr>
        <w:t xml:space="preserve">at </w:t>
      </w:r>
      <w:r w:rsidR="000D798C" w:rsidRPr="00D87FC1">
        <w:rPr>
          <w:b w:val="0"/>
          <w:bCs w:val="0"/>
        </w:rPr>
        <w:t xml:space="preserve">para </w:t>
      </w:r>
      <w:r w:rsidR="009F4FEB" w:rsidRPr="00D87FC1">
        <w:rPr>
          <w:b w:val="0"/>
          <w:bCs w:val="0"/>
        </w:rPr>
        <w:t>54</w:t>
      </w:r>
      <w:r w:rsidR="00C556EA" w:rsidRPr="00D87FC1">
        <w:rPr>
          <w:b w:val="0"/>
          <w:bCs w:val="0"/>
        </w:rPr>
        <w:t>). H</w:t>
      </w:r>
      <w:r w:rsidR="00B41B8C" w:rsidRPr="00D87FC1">
        <w:rPr>
          <w:b w:val="0"/>
          <w:bCs w:val="0"/>
        </w:rPr>
        <w:t xml:space="preserve">ence ensuring that the jury may consider the whole course of abusive conduct and </w:t>
      </w:r>
      <w:r w:rsidR="00BB609E" w:rsidRPr="00D87FC1">
        <w:rPr>
          <w:b w:val="0"/>
          <w:bCs w:val="0"/>
        </w:rPr>
        <w:t xml:space="preserve">contemplate its effect on the defendant. </w:t>
      </w:r>
      <w:r w:rsidR="00036003" w:rsidRPr="00D87FC1">
        <w:rPr>
          <w:b w:val="0"/>
          <w:bCs w:val="0"/>
        </w:rPr>
        <w:t>Nevertheless, w</w:t>
      </w:r>
      <w:r w:rsidR="006D23E0" w:rsidRPr="00D87FC1">
        <w:rPr>
          <w:b w:val="0"/>
          <w:bCs w:val="0"/>
        </w:rPr>
        <w:t>hile</w:t>
      </w:r>
      <w:r w:rsidR="00036003" w:rsidRPr="00D87FC1">
        <w:rPr>
          <w:b w:val="0"/>
          <w:bCs w:val="0"/>
        </w:rPr>
        <w:t xml:space="preserve"> the</w:t>
      </w:r>
      <w:r w:rsidR="00443D82" w:rsidRPr="00D87FC1">
        <w:rPr>
          <w:b w:val="0"/>
          <w:bCs w:val="0"/>
        </w:rPr>
        <w:t xml:space="preserve"> pronouncements</w:t>
      </w:r>
      <w:r w:rsidR="00471DFC" w:rsidRPr="00D87FC1">
        <w:rPr>
          <w:b w:val="0"/>
          <w:bCs w:val="0"/>
        </w:rPr>
        <w:t xml:space="preserve"> </w:t>
      </w:r>
      <w:r w:rsidR="006D23E0" w:rsidRPr="00D87FC1">
        <w:rPr>
          <w:b w:val="0"/>
          <w:bCs w:val="0"/>
        </w:rPr>
        <w:t>indicate</w:t>
      </w:r>
      <w:r w:rsidR="006A54F0" w:rsidRPr="00D87FC1">
        <w:rPr>
          <w:b w:val="0"/>
          <w:bCs w:val="0"/>
        </w:rPr>
        <w:t xml:space="preserve"> that the new defence may be </w:t>
      </w:r>
      <w:r w:rsidR="00350A6C" w:rsidRPr="00D87FC1">
        <w:rPr>
          <w:b w:val="0"/>
          <w:bCs w:val="0"/>
        </w:rPr>
        <w:t>more accessible to abused women</w:t>
      </w:r>
      <w:r w:rsidR="006D23E0" w:rsidRPr="00D87FC1">
        <w:rPr>
          <w:b w:val="0"/>
          <w:bCs w:val="0"/>
        </w:rPr>
        <w:t xml:space="preserve">, </w:t>
      </w:r>
      <w:r w:rsidR="00C36AE7" w:rsidRPr="00D87FC1">
        <w:rPr>
          <w:b w:val="0"/>
          <w:bCs w:val="0"/>
        </w:rPr>
        <w:t>requiring a loss of control</w:t>
      </w:r>
      <w:r w:rsidR="006D23E0" w:rsidRPr="00D87FC1">
        <w:rPr>
          <w:b w:val="0"/>
          <w:bCs w:val="0"/>
        </w:rPr>
        <w:t xml:space="preserve"> is still likely to cause difficulties</w:t>
      </w:r>
      <w:r w:rsidR="0035748D" w:rsidRPr="00D87FC1">
        <w:rPr>
          <w:b w:val="0"/>
          <w:bCs w:val="0"/>
        </w:rPr>
        <w:t xml:space="preserve"> (Clough</w:t>
      </w:r>
      <w:r w:rsidR="00F24F87" w:rsidRPr="00D87FC1">
        <w:rPr>
          <w:b w:val="0"/>
          <w:bCs w:val="0"/>
        </w:rPr>
        <w:t>,</w:t>
      </w:r>
      <w:r w:rsidR="0035748D" w:rsidRPr="00D87FC1">
        <w:rPr>
          <w:b w:val="0"/>
          <w:bCs w:val="0"/>
        </w:rPr>
        <w:t xml:space="preserve"> </w:t>
      </w:r>
      <w:r w:rsidR="003B634F" w:rsidRPr="00D87FC1">
        <w:rPr>
          <w:b w:val="0"/>
          <w:bCs w:val="0"/>
        </w:rPr>
        <w:t>2016</w:t>
      </w:r>
      <w:r w:rsidR="004870C3" w:rsidRPr="00D87FC1">
        <w:rPr>
          <w:b w:val="0"/>
          <w:bCs w:val="0"/>
        </w:rPr>
        <w:t>; Edwards</w:t>
      </w:r>
      <w:r w:rsidR="00F24F87" w:rsidRPr="00D87FC1">
        <w:rPr>
          <w:b w:val="0"/>
          <w:bCs w:val="0"/>
        </w:rPr>
        <w:t>,</w:t>
      </w:r>
      <w:r w:rsidR="004870C3" w:rsidRPr="00D87FC1">
        <w:rPr>
          <w:b w:val="0"/>
          <w:bCs w:val="0"/>
        </w:rPr>
        <w:t xml:space="preserve"> 2010</w:t>
      </w:r>
      <w:r w:rsidR="00B054F8" w:rsidRPr="00D87FC1">
        <w:rPr>
          <w:b w:val="0"/>
          <w:bCs w:val="0"/>
        </w:rPr>
        <w:t>; Mitchell</w:t>
      </w:r>
      <w:r w:rsidR="00F24F87" w:rsidRPr="00D87FC1">
        <w:rPr>
          <w:b w:val="0"/>
          <w:bCs w:val="0"/>
        </w:rPr>
        <w:t>,</w:t>
      </w:r>
      <w:r w:rsidR="00B054F8" w:rsidRPr="00D87FC1">
        <w:rPr>
          <w:b w:val="0"/>
          <w:bCs w:val="0"/>
        </w:rPr>
        <w:t xml:space="preserve"> 2011</w:t>
      </w:r>
      <w:r w:rsidR="007379FB" w:rsidRPr="00D87FC1">
        <w:rPr>
          <w:b w:val="0"/>
          <w:bCs w:val="0"/>
        </w:rPr>
        <w:t>; W</w:t>
      </w:r>
      <w:r w:rsidR="004C752B" w:rsidRPr="00D87FC1">
        <w:rPr>
          <w:b w:val="0"/>
          <w:bCs w:val="0"/>
        </w:rPr>
        <w:t>ithey 2011</w:t>
      </w:r>
      <w:r w:rsidR="003B634F" w:rsidRPr="00D87FC1">
        <w:rPr>
          <w:b w:val="0"/>
          <w:bCs w:val="0"/>
        </w:rPr>
        <w:t>)</w:t>
      </w:r>
      <w:r w:rsidR="006D23E0" w:rsidRPr="00D87FC1">
        <w:rPr>
          <w:b w:val="0"/>
          <w:bCs w:val="0"/>
        </w:rPr>
        <w:t>.</w:t>
      </w:r>
    </w:p>
    <w:p w14:paraId="4A73CA35" w14:textId="57212958" w:rsidR="00157EB6" w:rsidRPr="00D87FC1" w:rsidRDefault="00157EB6" w:rsidP="003D25D4">
      <w:pPr>
        <w:spacing w:line="360" w:lineRule="auto"/>
        <w:jc w:val="both"/>
        <w:rPr>
          <w:b w:val="0"/>
          <w:bCs w:val="0"/>
        </w:rPr>
      </w:pPr>
    </w:p>
    <w:p w14:paraId="17419DF3" w14:textId="725EF65C" w:rsidR="001102AB" w:rsidRPr="00D87FC1" w:rsidRDefault="00157EB6" w:rsidP="003D25D4">
      <w:pPr>
        <w:spacing w:line="360" w:lineRule="auto"/>
        <w:jc w:val="both"/>
      </w:pPr>
      <w:r w:rsidRPr="00D87FC1">
        <w:rPr>
          <w:b w:val="0"/>
          <w:bCs w:val="0"/>
        </w:rPr>
        <w:t xml:space="preserve">It is </w:t>
      </w:r>
      <w:r w:rsidR="001B141E" w:rsidRPr="00D87FC1">
        <w:rPr>
          <w:b w:val="0"/>
          <w:bCs w:val="0"/>
        </w:rPr>
        <w:t xml:space="preserve">also </w:t>
      </w:r>
      <w:r w:rsidRPr="00D87FC1">
        <w:rPr>
          <w:b w:val="0"/>
          <w:bCs w:val="0"/>
        </w:rPr>
        <w:t>clear that the new defence has a higher threshold than provocation</w:t>
      </w:r>
      <w:r w:rsidR="0015239B" w:rsidRPr="00D87FC1">
        <w:rPr>
          <w:b w:val="0"/>
          <w:bCs w:val="0"/>
        </w:rPr>
        <w:t>, and</w:t>
      </w:r>
      <w:r w:rsidR="008B4674" w:rsidRPr="00D87FC1">
        <w:rPr>
          <w:b w:val="0"/>
          <w:bCs w:val="0"/>
        </w:rPr>
        <w:t xml:space="preserve"> loss of control</w:t>
      </w:r>
      <w:r w:rsidR="000D33AC" w:rsidRPr="00D87FC1">
        <w:rPr>
          <w:b w:val="0"/>
          <w:bCs w:val="0"/>
        </w:rPr>
        <w:t xml:space="preserve"> </w:t>
      </w:r>
      <w:r w:rsidR="008B4674" w:rsidRPr="00D87FC1">
        <w:rPr>
          <w:b w:val="0"/>
          <w:bCs w:val="0"/>
        </w:rPr>
        <w:t xml:space="preserve">should not be left </w:t>
      </w:r>
      <w:r w:rsidR="000D33AC" w:rsidRPr="00D87FC1">
        <w:rPr>
          <w:b w:val="0"/>
          <w:bCs w:val="0"/>
        </w:rPr>
        <w:t xml:space="preserve">to the jury unless </w:t>
      </w:r>
      <w:r w:rsidR="00F0419C" w:rsidRPr="00D87FC1">
        <w:rPr>
          <w:b w:val="0"/>
          <w:bCs w:val="0"/>
        </w:rPr>
        <w:t>“</w:t>
      </w:r>
      <w:r w:rsidR="000D33AC" w:rsidRPr="00D87FC1">
        <w:rPr>
          <w:b w:val="0"/>
          <w:bCs w:val="0"/>
        </w:rPr>
        <w:t>sufficient evidence</w:t>
      </w:r>
      <w:r w:rsidR="00F0419C" w:rsidRPr="00D87FC1">
        <w:rPr>
          <w:b w:val="0"/>
          <w:bCs w:val="0"/>
        </w:rPr>
        <w:t xml:space="preserve"> is adduced</w:t>
      </w:r>
      <w:r w:rsidR="00237B08" w:rsidRPr="00D87FC1">
        <w:rPr>
          <w:b w:val="0"/>
          <w:bCs w:val="0"/>
        </w:rPr>
        <w:t>”</w:t>
      </w:r>
      <w:r w:rsidR="004B3D83" w:rsidRPr="00D87FC1">
        <w:rPr>
          <w:b w:val="0"/>
          <w:bCs w:val="0"/>
        </w:rPr>
        <w:t xml:space="preserve"> (see s</w:t>
      </w:r>
      <w:r w:rsidR="0050160A">
        <w:rPr>
          <w:b w:val="0"/>
          <w:bCs w:val="0"/>
        </w:rPr>
        <w:t xml:space="preserve">ection </w:t>
      </w:r>
      <w:r w:rsidR="00884E27" w:rsidRPr="00D87FC1">
        <w:rPr>
          <w:b w:val="0"/>
          <w:bCs w:val="0"/>
        </w:rPr>
        <w:t xml:space="preserve">54(6) </w:t>
      </w:r>
      <w:r w:rsidR="00593490">
        <w:rPr>
          <w:b w:val="0"/>
          <w:bCs w:val="0"/>
        </w:rPr>
        <w:t xml:space="preserve">of the </w:t>
      </w:r>
      <w:r w:rsidR="00884E27" w:rsidRPr="00D87FC1">
        <w:rPr>
          <w:b w:val="0"/>
          <w:bCs w:val="0"/>
        </w:rPr>
        <w:t>Coroners and Justice Act</w:t>
      </w:r>
      <w:r w:rsidR="00593490">
        <w:rPr>
          <w:b w:val="0"/>
          <w:bCs w:val="0"/>
        </w:rPr>
        <w:t xml:space="preserve"> </w:t>
      </w:r>
      <w:r w:rsidR="00884E27" w:rsidRPr="00D87FC1">
        <w:rPr>
          <w:b w:val="0"/>
          <w:bCs w:val="0"/>
        </w:rPr>
        <w:t>2009</w:t>
      </w:r>
      <w:r w:rsidR="00ED2DFA" w:rsidRPr="00D87FC1">
        <w:rPr>
          <w:b w:val="0"/>
          <w:bCs w:val="0"/>
        </w:rPr>
        <w:t xml:space="preserve">; </w:t>
      </w:r>
      <w:r w:rsidR="009A5058" w:rsidRPr="00D87FC1">
        <w:rPr>
          <w:b w:val="0"/>
          <w:bCs w:val="0"/>
        </w:rPr>
        <w:t>Stannard</w:t>
      </w:r>
      <w:r w:rsidR="00593490">
        <w:rPr>
          <w:b w:val="0"/>
          <w:bCs w:val="0"/>
        </w:rPr>
        <w:t>,</w:t>
      </w:r>
      <w:r w:rsidR="009A5058" w:rsidRPr="00D87FC1">
        <w:rPr>
          <w:b w:val="0"/>
          <w:bCs w:val="0"/>
        </w:rPr>
        <w:t xml:space="preserve"> </w:t>
      </w:r>
      <w:r w:rsidR="00CC5ADF" w:rsidRPr="00D87FC1">
        <w:rPr>
          <w:b w:val="0"/>
          <w:bCs w:val="0"/>
        </w:rPr>
        <w:t xml:space="preserve">2019; </w:t>
      </w:r>
      <w:r w:rsidR="00ED2DFA" w:rsidRPr="00D87FC1">
        <w:rPr>
          <w:b w:val="0"/>
          <w:bCs w:val="0"/>
        </w:rPr>
        <w:t>Sto</w:t>
      </w:r>
      <w:r w:rsidR="00442917" w:rsidRPr="00D87FC1">
        <w:rPr>
          <w:b w:val="0"/>
          <w:bCs w:val="0"/>
        </w:rPr>
        <w:t>rey</w:t>
      </w:r>
      <w:r w:rsidR="00593490">
        <w:rPr>
          <w:b w:val="0"/>
          <w:bCs w:val="0"/>
        </w:rPr>
        <w:t>,</w:t>
      </w:r>
      <w:r w:rsidR="00442917" w:rsidRPr="00D87FC1">
        <w:rPr>
          <w:b w:val="0"/>
          <w:bCs w:val="0"/>
        </w:rPr>
        <w:t xml:space="preserve"> 2015</w:t>
      </w:r>
      <w:r w:rsidR="00884E27" w:rsidRPr="00D87FC1">
        <w:rPr>
          <w:b w:val="0"/>
          <w:bCs w:val="0"/>
        </w:rPr>
        <w:t>)</w:t>
      </w:r>
      <w:r w:rsidR="00237B08" w:rsidRPr="00D87FC1">
        <w:rPr>
          <w:b w:val="0"/>
          <w:bCs w:val="0"/>
        </w:rPr>
        <w:t xml:space="preserve">. In contrast, provocation could be left to the jury if there was some evidence </w:t>
      </w:r>
      <w:r w:rsidR="00050C09" w:rsidRPr="00D87FC1">
        <w:rPr>
          <w:b w:val="0"/>
          <w:bCs w:val="0"/>
        </w:rPr>
        <w:t xml:space="preserve">of the defence and a loss of self-control. Hence, the judge’s role as a gatekeeper for the defence has been heightened, and </w:t>
      </w:r>
      <w:proofErr w:type="gramStart"/>
      <w:r w:rsidR="00050C09" w:rsidRPr="00D87FC1">
        <w:rPr>
          <w:b w:val="0"/>
          <w:bCs w:val="0"/>
        </w:rPr>
        <w:t xml:space="preserve">it is clear that </w:t>
      </w:r>
      <w:r w:rsidR="00656FAA" w:rsidRPr="00D87FC1">
        <w:rPr>
          <w:b w:val="0"/>
          <w:bCs w:val="0"/>
        </w:rPr>
        <w:t>s/he</w:t>
      </w:r>
      <w:proofErr w:type="gramEnd"/>
      <w:r w:rsidR="00656FAA" w:rsidRPr="00D87FC1">
        <w:rPr>
          <w:b w:val="0"/>
          <w:bCs w:val="0"/>
        </w:rPr>
        <w:t xml:space="preserve"> is expected to thoroughly evaluate the evidence and that the Court of Appeal is reluctant to interfere with their </w:t>
      </w:r>
      <w:r w:rsidR="007C18EB" w:rsidRPr="00D87FC1">
        <w:rPr>
          <w:b w:val="0"/>
          <w:bCs w:val="0"/>
        </w:rPr>
        <w:t>decision. Consequently</w:t>
      </w:r>
      <w:r w:rsidR="00047309" w:rsidRPr="00D87FC1">
        <w:rPr>
          <w:b w:val="0"/>
          <w:bCs w:val="0"/>
        </w:rPr>
        <w:t>,</w:t>
      </w:r>
      <w:r w:rsidR="007C18EB" w:rsidRPr="00D87FC1">
        <w:rPr>
          <w:b w:val="0"/>
          <w:bCs w:val="0"/>
        </w:rPr>
        <w:t xml:space="preserve"> the Court of Appeal cases tell an interesting story of when and in what circumstances judges consider the</w:t>
      </w:r>
      <w:r w:rsidR="00047309" w:rsidRPr="00D87FC1">
        <w:rPr>
          <w:b w:val="0"/>
          <w:bCs w:val="0"/>
        </w:rPr>
        <w:t>re</w:t>
      </w:r>
      <w:r w:rsidR="007C18EB" w:rsidRPr="00D87FC1">
        <w:rPr>
          <w:b w:val="0"/>
          <w:bCs w:val="0"/>
        </w:rPr>
        <w:t xml:space="preserve"> to be sufficient evidence of the defence. </w:t>
      </w:r>
      <w:r w:rsidR="007D5A42" w:rsidRPr="00D87FC1">
        <w:rPr>
          <w:b w:val="0"/>
          <w:bCs w:val="0"/>
        </w:rPr>
        <w:t xml:space="preserve">Further, in exploring these cases we can also </w:t>
      </w:r>
      <w:r w:rsidR="007B7D0F" w:rsidRPr="00D87FC1">
        <w:rPr>
          <w:b w:val="0"/>
          <w:bCs w:val="0"/>
        </w:rPr>
        <w:t>develop</w:t>
      </w:r>
      <w:r w:rsidR="007D5A42" w:rsidRPr="00D87FC1">
        <w:rPr>
          <w:b w:val="0"/>
          <w:bCs w:val="0"/>
        </w:rPr>
        <w:t xml:space="preserve"> an understanding of how the law constructs domestic homicide and appropriate responses to provocative conduct. We can likewise trace through these cases understandings of how the law produces certain ideal gender scripts and explore how the law can be seen to play a role in recogni</w:t>
      </w:r>
      <w:r w:rsidR="007D7499">
        <w:rPr>
          <w:b w:val="0"/>
          <w:bCs w:val="0"/>
        </w:rPr>
        <w:t>s</w:t>
      </w:r>
      <w:r w:rsidR="007D5A42" w:rsidRPr="00D87FC1">
        <w:rPr>
          <w:b w:val="0"/>
          <w:bCs w:val="0"/>
        </w:rPr>
        <w:t>ing, and responding to vulnerability</w:t>
      </w:r>
      <w:r w:rsidR="005D5EE2" w:rsidRPr="00D87FC1">
        <w:rPr>
          <w:b w:val="0"/>
          <w:bCs w:val="0"/>
        </w:rPr>
        <w:t xml:space="preserve">, </w:t>
      </w:r>
      <w:r w:rsidR="007D5A42" w:rsidRPr="00D87FC1">
        <w:rPr>
          <w:b w:val="0"/>
          <w:bCs w:val="0"/>
        </w:rPr>
        <w:t>precariousness</w:t>
      </w:r>
      <w:r w:rsidR="00D573C9">
        <w:rPr>
          <w:b w:val="0"/>
          <w:bCs w:val="0"/>
        </w:rPr>
        <w:t>,</w:t>
      </w:r>
      <w:r w:rsidR="005D5EE2" w:rsidRPr="00D87FC1">
        <w:rPr>
          <w:b w:val="0"/>
          <w:bCs w:val="0"/>
        </w:rPr>
        <w:t xml:space="preserve"> and the</w:t>
      </w:r>
      <w:r w:rsidR="007D5A42" w:rsidRPr="00D87FC1">
        <w:rPr>
          <w:b w:val="0"/>
          <w:bCs w:val="0"/>
        </w:rPr>
        <w:t xml:space="preserve"> distribution of precarity</w:t>
      </w:r>
      <w:r w:rsidR="00E077A4" w:rsidRPr="00D87FC1">
        <w:rPr>
          <w:b w:val="0"/>
          <w:bCs w:val="0"/>
        </w:rPr>
        <w:t xml:space="preserve"> (Butler</w:t>
      </w:r>
      <w:r w:rsidR="00F24F87" w:rsidRPr="00D87FC1">
        <w:rPr>
          <w:b w:val="0"/>
          <w:bCs w:val="0"/>
        </w:rPr>
        <w:t>,</w:t>
      </w:r>
      <w:r w:rsidR="00E077A4" w:rsidRPr="00D87FC1">
        <w:rPr>
          <w:b w:val="0"/>
          <w:bCs w:val="0"/>
        </w:rPr>
        <w:t xml:space="preserve"> </w:t>
      </w:r>
      <w:r w:rsidR="00F27806" w:rsidRPr="00D87FC1">
        <w:rPr>
          <w:b w:val="0"/>
          <w:bCs w:val="0"/>
        </w:rPr>
        <w:t>1999</w:t>
      </w:r>
      <w:r w:rsidR="00593490">
        <w:rPr>
          <w:b w:val="0"/>
          <w:bCs w:val="0"/>
        </w:rPr>
        <w:t>,</w:t>
      </w:r>
      <w:r w:rsidR="00F27806" w:rsidRPr="00D87FC1">
        <w:rPr>
          <w:b w:val="0"/>
          <w:bCs w:val="0"/>
        </w:rPr>
        <w:t xml:space="preserve"> </w:t>
      </w:r>
      <w:r w:rsidR="00E077A4" w:rsidRPr="002B016D">
        <w:rPr>
          <w:b w:val="0"/>
          <w:bCs w:val="0"/>
          <w:sz w:val="23"/>
          <w:szCs w:val="23"/>
        </w:rPr>
        <w:t>2009b)</w:t>
      </w:r>
      <w:r w:rsidR="007D5A42" w:rsidRPr="00D87FC1">
        <w:rPr>
          <w:b w:val="0"/>
          <w:bCs w:val="0"/>
        </w:rPr>
        <w:t>.</w:t>
      </w:r>
    </w:p>
    <w:p w14:paraId="11B5790F" w14:textId="401E20A8" w:rsidR="009E607C" w:rsidRPr="002B016D" w:rsidRDefault="00470882" w:rsidP="00D87FC1">
      <w:pPr>
        <w:pStyle w:val="Heading1"/>
        <w:rPr>
          <w:b w:val="0"/>
          <w:bCs w:val="0"/>
        </w:rPr>
      </w:pPr>
      <w:r w:rsidRPr="002B016D">
        <w:t xml:space="preserve">Court of Appeal </w:t>
      </w:r>
      <w:r w:rsidR="002F25CA" w:rsidRPr="002B016D">
        <w:t xml:space="preserve">Cases </w:t>
      </w:r>
      <w:r w:rsidRPr="002B016D">
        <w:t>and Loss of Control</w:t>
      </w:r>
    </w:p>
    <w:p w14:paraId="0F7356E2" w14:textId="5ED7A2F9" w:rsidR="004B4140" w:rsidRPr="00D87FC1" w:rsidRDefault="004B4140" w:rsidP="00D87FC1">
      <w:pPr>
        <w:pStyle w:val="Heading2"/>
        <w:rPr>
          <w:b/>
          <w:bCs/>
        </w:rPr>
      </w:pPr>
      <w:r w:rsidRPr="00860094">
        <w:t>Sexual Infide</w:t>
      </w:r>
      <w:r w:rsidR="00A40CCD" w:rsidRPr="00860094">
        <w:t>lity</w:t>
      </w:r>
      <w:r w:rsidR="00254C67" w:rsidRPr="00860094">
        <w:t xml:space="preserve"> and </w:t>
      </w:r>
      <w:r w:rsidR="00387765">
        <w:t xml:space="preserve">R v </w:t>
      </w:r>
      <w:r w:rsidR="00254C67" w:rsidRPr="00860094">
        <w:t>Clinton</w:t>
      </w:r>
    </w:p>
    <w:p w14:paraId="75F695DD" w14:textId="1D6B8163" w:rsidR="00E07644" w:rsidRPr="00D87FC1" w:rsidRDefault="00636AAE" w:rsidP="003D25D4">
      <w:pPr>
        <w:spacing w:line="360" w:lineRule="auto"/>
        <w:jc w:val="both"/>
        <w:rPr>
          <w:b w:val="0"/>
          <w:bCs w:val="0"/>
        </w:rPr>
      </w:pPr>
      <w:r w:rsidRPr="00D87FC1">
        <w:rPr>
          <w:b w:val="0"/>
          <w:bCs w:val="0"/>
        </w:rPr>
        <w:t xml:space="preserve">One of the first cases </w:t>
      </w:r>
      <w:r w:rsidR="00E62DC4" w:rsidRPr="00D87FC1">
        <w:rPr>
          <w:b w:val="0"/>
          <w:bCs w:val="0"/>
        </w:rPr>
        <w:t>to</w:t>
      </w:r>
      <w:r w:rsidRPr="00D87FC1">
        <w:rPr>
          <w:b w:val="0"/>
          <w:bCs w:val="0"/>
        </w:rPr>
        <w:t xml:space="preserve"> deal with the loss of control defence was </w:t>
      </w:r>
      <w:r w:rsidR="00A8157A" w:rsidRPr="00D87FC1">
        <w:rPr>
          <w:b w:val="0"/>
          <w:bCs w:val="0"/>
          <w:i/>
          <w:iCs/>
        </w:rPr>
        <w:t xml:space="preserve">R v </w:t>
      </w:r>
      <w:r w:rsidRPr="00D87FC1">
        <w:rPr>
          <w:b w:val="0"/>
          <w:bCs w:val="0"/>
          <w:i/>
          <w:iCs/>
        </w:rPr>
        <w:t>Clinton</w:t>
      </w:r>
      <w:r w:rsidR="00EA2A9D" w:rsidRPr="00D87FC1">
        <w:rPr>
          <w:b w:val="0"/>
          <w:bCs w:val="0"/>
          <w:i/>
          <w:iCs/>
        </w:rPr>
        <w:t xml:space="preserve"> </w:t>
      </w:r>
      <w:r w:rsidR="00387765">
        <w:rPr>
          <w:b w:val="0"/>
          <w:bCs w:val="0"/>
          <w:color w:val="000000"/>
        </w:rPr>
        <w:t>in 2012</w:t>
      </w:r>
      <w:r w:rsidR="00915304" w:rsidRPr="00D87FC1">
        <w:rPr>
          <w:b w:val="0"/>
          <w:bCs w:val="0"/>
          <w:i/>
          <w:iCs/>
        </w:rPr>
        <w:t xml:space="preserve">. </w:t>
      </w:r>
      <w:r w:rsidR="004027AE" w:rsidRPr="00D87FC1">
        <w:rPr>
          <w:b w:val="0"/>
          <w:bCs w:val="0"/>
        </w:rPr>
        <w:t>The case ha</w:t>
      </w:r>
      <w:r w:rsidR="00064F77" w:rsidRPr="00D87FC1">
        <w:rPr>
          <w:b w:val="0"/>
          <w:bCs w:val="0"/>
        </w:rPr>
        <w:t>s</w:t>
      </w:r>
      <w:r w:rsidR="004027AE" w:rsidRPr="00D87FC1">
        <w:rPr>
          <w:b w:val="0"/>
          <w:bCs w:val="0"/>
        </w:rPr>
        <w:t xml:space="preserve"> attracted attention</w:t>
      </w:r>
      <w:r w:rsidR="00D55BEC" w:rsidRPr="00D87FC1">
        <w:rPr>
          <w:b w:val="0"/>
          <w:bCs w:val="0"/>
        </w:rPr>
        <w:t>,</w:t>
      </w:r>
      <w:r w:rsidR="004027AE" w:rsidRPr="00D87FC1">
        <w:rPr>
          <w:b w:val="0"/>
          <w:bCs w:val="0"/>
        </w:rPr>
        <w:t xml:space="preserve"> as</w:t>
      </w:r>
      <w:r w:rsidR="00D55BEC" w:rsidRPr="00D87FC1">
        <w:rPr>
          <w:b w:val="0"/>
          <w:bCs w:val="0"/>
        </w:rPr>
        <w:t xml:space="preserve"> the</w:t>
      </w:r>
      <w:r w:rsidR="00915304" w:rsidRPr="00D87FC1">
        <w:rPr>
          <w:b w:val="0"/>
          <w:bCs w:val="0"/>
        </w:rPr>
        <w:t xml:space="preserve"> </w:t>
      </w:r>
      <w:r w:rsidR="001F5E52" w:rsidRPr="00D87FC1">
        <w:rPr>
          <w:b w:val="0"/>
          <w:bCs w:val="0"/>
        </w:rPr>
        <w:t>Court of Appeal held that the</w:t>
      </w:r>
      <w:r w:rsidR="00A4758A" w:rsidRPr="00D87FC1">
        <w:rPr>
          <w:b w:val="0"/>
          <w:bCs w:val="0"/>
        </w:rPr>
        <w:t xml:space="preserve"> </w:t>
      </w:r>
      <w:r w:rsidR="00AA1B88" w:rsidRPr="00D87FC1">
        <w:rPr>
          <w:b w:val="0"/>
          <w:bCs w:val="0"/>
        </w:rPr>
        <w:t>victim’s</w:t>
      </w:r>
      <w:r w:rsidR="00A4758A" w:rsidRPr="00D87FC1">
        <w:rPr>
          <w:b w:val="0"/>
          <w:bCs w:val="0"/>
        </w:rPr>
        <w:t xml:space="preserve"> sexual infidelity </w:t>
      </w:r>
      <w:r w:rsidR="00B62B38" w:rsidRPr="00D87FC1">
        <w:rPr>
          <w:b w:val="0"/>
          <w:bCs w:val="0"/>
        </w:rPr>
        <w:t xml:space="preserve">could be </w:t>
      </w:r>
      <w:proofErr w:type="gramStart"/>
      <w:r w:rsidR="000E1F37" w:rsidRPr="00D87FC1">
        <w:rPr>
          <w:b w:val="0"/>
          <w:bCs w:val="0"/>
        </w:rPr>
        <w:t>taken into account</w:t>
      </w:r>
      <w:proofErr w:type="gramEnd"/>
      <w:r w:rsidR="00CB16AA" w:rsidRPr="00D87FC1">
        <w:rPr>
          <w:b w:val="0"/>
          <w:bCs w:val="0"/>
        </w:rPr>
        <w:t>,</w:t>
      </w:r>
      <w:r w:rsidR="00B62B38" w:rsidRPr="00D87FC1">
        <w:rPr>
          <w:b w:val="0"/>
          <w:bCs w:val="0"/>
        </w:rPr>
        <w:t xml:space="preserve"> despite the</w:t>
      </w:r>
      <w:r w:rsidR="00E90010" w:rsidRPr="00D87FC1">
        <w:rPr>
          <w:b w:val="0"/>
          <w:bCs w:val="0"/>
        </w:rPr>
        <w:t xml:space="preserve"> fact it is expressly excluded under</w:t>
      </w:r>
      <w:r w:rsidR="00B62B38" w:rsidRPr="00D87FC1">
        <w:rPr>
          <w:b w:val="0"/>
          <w:bCs w:val="0"/>
        </w:rPr>
        <w:t xml:space="preserve"> </w:t>
      </w:r>
      <w:r w:rsidR="00915304" w:rsidRPr="00D87FC1">
        <w:rPr>
          <w:b w:val="0"/>
          <w:bCs w:val="0"/>
        </w:rPr>
        <w:t>s</w:t>
      </w:r>
      <w:r w:rsidR="0050160A">
        <w:rPr>
          <w:b w:val="0"/>
          <w:bCs w:val="0"/>
        </w:rPr>
        <w:t xml:space="preserve">ection </w:t>
      </w:r>
      <w:r w:rsidR="00915304" w:rsidRPr="00D87FC1">
        <w:rPr>
          <w:b w:val="0"/>
          <w:bCs w:val="0"/>
        </w:rPr>
        <w:t>55(6)(c)</w:t>
      </w:r>
      <w:r w:rsidR="00E90010" w:rsidRPr="00D87FC1">
        <w:rPr>
          <w:b w:val="0"/>
          <w:bCs w:val="0"/>
        </w:rPr>
        <w:t xml:space="preserve"> of the 2009 Act</w:t>
      </w:r>
      <w:r w:rsidR="00817848" w:rsidRPr="00D87FC1">
        <w:rPr>
          <w:b w:val="0"/>
          <w:bCs w:val="0"/>
        </w:rPr>
        <w:t xml:space="preserve"> </w:t>
      </w:r>
      <w:r w:rsidR="006979F0" w:rsidRPr="00D87FC1">
        <w:rPr>
          <w:b w:val="0"/>
          <w:bCs w:val="0"/>
        </w:rPr>
        <w:t>(</w:t>
      </w:r>
      <w:r w:rsidR="008365E2" w:rsidRPr="00D87FC1">
        <w:rPr>
          <w:b w:val="0"/>
          <w:bCs w:val="0"/>
        </w:rPr>
        <w:t>for analysis see</w:t>
      </w:r>
      <w:r w:rsidR="00D36093" w:rsidRPr="00D87FC1">
        <w:rPr>
          <w:b w:val="0"/>
          <w:bCs w:val="0"/>
        </w:rPr>
        <w:t>:</w:t>
      </w:r>
      <w:r w:rsidR="002F6C87" w:rsidRPr="00D87FC1">
        <w:rPr>
          <w:b w:val="0"/>
          <w:bCs w:val="0"/>
        </w:rPr>
        <w:t xml:space="preserve"> </w:t>
      </w:r>
      <w:r w:rsidR="00DC75DD" w:rsidRPr="00D87FC1">
        <w:rPr>
          <w:b w:val="0"/>
          <w:bCs w:val="0"/>
        </w:rPr>
        <w:t xml:space="preserve">Baker </w:t>
      </w:r>
      <w:r w:rsidR="00F24F87" w:rsidRPr="00D87FC1">
        <w:rPr>
          <w:b w:val="0"/>
          <w:bCs w:val="0"/>
        </w:rPr>
        <w:t>and</w:t>
      </w:r>
      <w:r w:rsidR="005B7C45" w:rsidRPr="00D87FC1">
        <w:rPr>
          <w:b w:val="0"/>
          <w:bCs w:val="0"/>
        </w:rPr>
        <w:t xml:space="preserve"> Zhao</w:t>
      </w:r>
      <w:r w:rsidR="00F24F87" w:rsidRPr="00D87FC1">
        <w:rPr>
          <w:b w:val="0"/>
          <w:bCs w:val="0"/>
        </w:rPr>
        <w:t>,</w:t>
      </w:r>
      <w:r w:rsidR="005B7C45" w:rsidRPr="00D87FC1">
        <w:rPr>
          <w:b w:val="0"/>
          <w:bCs w:val="0"/>
        </w:rPr>
        <w:t xml:space="preserve"> 2012; </w:t>
      </w:r>
      <w:r w:rsidR="002F6C87" w:rsidRPr="00D87FC1">
        <w:rPr>
          <w:b w:val="0"/>
          <w:bCs w:val="0"/>
        </w:rPr>
        <w:t>Clough</w:t>
      </w:r>
      <w:r w:rsidR="00F24F87" w:rsidRPr="00D87FC1">
        <w:rPr>
          <w:b w:val="0"/>
          <w:bCs w:val="0"/>
        </w:rPr>
        <w:t>,</w:t>
      </w:r>
      <w:r w:rsidR="002F6C87" w:rsidRPr="00D87FC1">
        <w:rPr>
          <w:b w:val="0"/>
          <w:bCs w:val="0"/>
        </w:rPr>
        <w:t xml:space="preserve"> 2012</w:t>
      </w:r>
      <w:r w:rsidR="00E16F8A" w:rsidRPr="00D87FC1">
        <w:rPr>
          <w:b w:val="0"/>
          <w:bCs w:val="0"/>
        </w:rPr>
        <w:t>;</w:t>
      </w:r>
      <w:r w:rsidR="004027AE" w:rsidRPr="00D87FC1">
        <w:rPr>
          <w:b w:val="0"/>
          <w:bCs w:val="0"/>
        </w:rPr>
        <w:t xml:space="preserve"> Slater</w:t>
      </w:r>
      <w:r w:rsidR="00F24F87" w:rsidRPr="00D87FC1">
        <w:rPr>
          <w:b w:val="0"/>
          <w:bCs w:val="0"/>
        </w:rPr>
        <w:t>,</w:t>
      </w:r>
      <w:r w:rsidR="004027AE" w:rsidRPr="00D87FC1">
        <w:rPr>
          <w:b w:val="0"/>
          <w:bCs w:val="0"/>
        </w:rPr>
        <w:t xml:space="preserve"> 2012;</w:t>
      </w:r>
      <w:r w:rsidR="00E16F8A" w:rsidRPr="00D87FC1">
        <w:rPr>
          <w:b w:val="0"/>
          <w:bCs w:val="0"/>
        </w:rPr>
        <w:t xml:space="preserve"> </w:t>
      </w:r>
      <w:r w:rsidR="00924D24" w:rsidRPr="00D87FC1">
        <w:rPr>
          <w:b w:val="0"/>
          <w:bCs w:val="0"/>
        </w:rPr>
        <w:t>Stark</w:t>
      </w:r>
      <w:r w:rsidR="00F24F87" w:rsidRPr="00D87FC1">
        <w:rPr>
          <w:b w:val="0"/>
          <w:bCs w:val="0"/>
        </w:rPr>
        <w:t>,</w:t>
      </w:r>
      <w:r w:rsidR="00924D24" w:rsidRPr="00D87FC1">
        <w:rPr>
          <w:b w:val="0"/>
          <w:bCs w:val="0"/>
        </w:rPr>
        <w:t xml:space="preserve"> 2012; </w:t>
      </w:r>
      <w:r w:rsidR="002D2BCC" w:rsidRPr="00D87FC1">
        <w:rPr>
          <w:b w:val="0"/>
          <w:bCs w:val="0"/>
        </w:rPr>
        <w:t>Parsons</w:t>
      </w:r>
      <w:r w:rsidR="00F24F87" w:rsidRPr="00D87FC1">
        <w:rPr>
          <w:b w:val="0"/>
          <w:bCs w:val="0"/>
        </w:rPr>
        <w:t>,</w:t>
      </w:r>
      <w:r w:rsidR="002D2BCC" w:rsidRPr="00D87FC1">
        <w:rPr>
          <w:b w:val="0"/>
          <w:bCs w:val="0"/>
        </w:rPr>
        <w:t xml:space="preserve"> </w:t>
      </w:r>
      <w:r w:rsidR="002D2BCC" w:rsidRPr="00D87FC1">
        <w:rPr>
          <w:b w:val="0"/>
          <w:bCs w:val="0"/>
        </w:rPr>
        <w:lastRenderedPageBreak/>
        <w:t>2015</w:t>
      </w:r>
      <w:r w:rsidR="00F73370" w:rsidRPr="00D87FC1">
        <w:rPr>
          <w:b w:val="0"/>
          <w:bCs w:val="0"/>
        </w:rPr>
        <w:t xml:space="preserve">; </w:t>
      </w:r>
      <w:r w:rsidR="00D33D4E" w:rsidRPr="00D87FC1">
        <w:rPr>
          <w:b w:val="0"/>
          <w:bCs w:val="0"/>
        </w:rPr>
        <w:t xml:space="preserve">Quick </w:t>
      </w:r>
      <w:r w:rsidR="00F24F87" w:rsidRPr="00D87FC1">
        <w:rPr>
          <w:b w:val="0"/>
          <w:bCs w:val="0"/>
        </w:rPr>
        <w:t>and</w:t>
      </w:r>
      <w:r w:rsidR="00D33D4E" w:rsidRPr="00D87FC1">
        <w:rPr>
          <w:b w:val="0"/>
          <w:bCs w:val="0"/>
        </w:rPr>
        <w:t xml:space="preserve"> Wells</w:t>
      </w:r>
      <w:r w:rsidR="00F24F87" w:rsidRPr="00D87FC1">
        <w:rPr>
          <w:b w:val="0"/>
          <w:bCs w:val="0"/>
        </w:rPr>
        <w:t>,</w:t>
      </w:r>
      <w:r w:rsidR="00D33D4E" w:rsidRPr="00D87FC1">
        <w:rPr>
          <w:b w:val="0"/>
          <w:bCs w:val="0"/>
        </w:rPr>
        <w:t xml:space="preserve"> 2012; </w:t>
      </w:r>
      <w:r w:rsidR="00F73370" w:rsidRPr="00D87FC1">
        <w:rPr>
          <w:b w:val="0"/>
          <w:bCs w:val="0"/>
        </w:rPr>
        <w:t>Wake</w:t>
      </w:r>
      <w:r w:rsidR="00F24F87" w:rsidRPr="00D87FC1">
        <w:rPr>
          <w:b w:val="0"/>
          <w:bCs w:val="0"/>
        </w:rPr>
        <w:t>,</w:t>
      </w:r>
      <w:r w:rsidR="00F73370" w:rsidRPr="00D87FC1">
        <w:rPr>
          <w:b w:val="0"/>
          <w:bCs w:val="0"/>
        </w:rPr>
        <w:t xml:space="preserve"> 2012</w:t>
      </w:r>
      <w:r w:rsidR="00593490">
        <w:rPr>
          <w:b w:val="0"/>
          <w:bCs w:val="0"/>
        </w:rPr>
        <w:t xml:space="preserve">, </w:t>
      </w:r>
      <w:r w:rsidR="00F73370" w:rsidRPr="00D87FC1">
        <w:rPr>
          <w:b w:val="0"/>
          <w:bCs w:val="0"/>
        </w:rPr>
        <w:t>2013</w:t>
      </w:r>
      <w:r w:rsidR="002D2BCC" w:rsidRPr="00D87FC1">
        <w:rPr>
          <w:b w:val="0"/>
          <w:bCs w:val="0"/>
        </w:rPr>
        <w:t>).</w:t>
      </w:r>
      <w:r w:rsidR="00E74ABC" w:rsidRPr="00D87FC1">
        <w:rPr>
          <w:b w:val="0"/>
          <w:bCs w:val="0"/>
        </w:rPr>
        <w:t xml:space="preserve"> </w:t>
      </w:r>
      <w:r w:rsidR="00C62283" w:rsidRPr="00D87FC1">
        <w:rPr>
          <w:b w:val="0"/>
          <w:bCs w:val="0"/>
        </w:rPr>
        <w:t>Whether the judgment i</w:t>
      </w:r>
      <w:r w:rsidR="00AF60BA" w:rsidRPr="00D87FC1">
        <w:rPr>
          <w:b w:val="0"/>
          <w:bCs w:val="0"/>
        </w:rPr>
        <w:t>s</w:t>
      </w:r>
      <w:r w:rsidR="00C62283" w:rsidRPr="00D87FC1">
        <w:rPr>
          <w:b w:val="0"/>
          <w:bCs w:val="0"/>
        </w:rPr>
        <w:t xml:space="preserve"> doctrinally </w:t>
      </w:r>
      <w:r w:rsidR="0009387F" w:rsidRPr="00D87FC1">
        <w:rPr>
          <w:b w:val="0"/>
          <w:bCs w:val="0"/>
        </w:rPr>
        <w:t>correct is</w:t>
      </w:r>
      <w:r w:rsidR="00C62283" w:rsidRPr="00D87FC1">
        <w:rPr>
          <w:b w:val="0"/>
          <w:bCs w:val="0"/>
        </w:rPr>
        <w:t xml:space="preserve"> less of the issue here.</w:t>
      </w:r>
      <w:r w:rsidR="00B5621D" w:rsidRPr="00D87FC1">
        <w:rPr>
          <w:b w:val="0"/>
          <w:bCs w:val="0"/>
        </w:rPr>
        <w:t xml:space="preserve"> What will be of focus is </w:t>
      </w:r>
      <w:r w:rsidR="00C91A9C" w:rsidRPr="00D87FC1">
        <w:rPr>
          <w:b w:val="0"/>
          <w:bCs w:val="0"/>
        </w:rPr>
        <w:t>how</w:t>
      </w:r>
      <w:r w:rsidR="00B5621D" w:rsidRPr="00D87FC1">
        <w:rPr>
          <w:b w:val="0"/>
          <w:bCs w:val="0"/>
        </w:rPr>
        <w:t xml:space="preserve"> the case constructs gendered scripts and deals with issues pertaining to </w:t>
      </w:r>
      <w:proofErr w:type="spellStart"/>
      <w:r w:rsidR="00421A06" w:rsidRPr="00D87FC1">
        <w:rPr>
          <w:b w:val="0"/>
          <w:bCs w:val="0"/>
        </w:rPr>
        <w:t>grievability</w:t>
      </w:r>
      <w:proofErr w:type="spellEnd"/>
      <w:r w:rsidR="00421A06" w:rsidRPr="00D87FC1">
        <w:rPr>
          <w:b w:val="0"/>
          <w:bCs w:val="0"/>
        </w:rPr>
        <w:t xml:space="preserve">, </w:t>
      </w:r>
      <w:r w:rsidR="00B5621D" w:rsidRPr="00D87FC1">
        <w:rPr>
          <w:b w:val="0"/>
          <w:bCs w:val="0"/>
        </w:rPr>
        <w:t>vulnerability and precariousness.</w:t>
      </w:r>
      <w:r w:rsidR="00DF2880" w:rsidRPr="00D87FC1">
        <w:rPr>
          <w:b w:val="0"/>
          <w:bCs w:val="0"/>
        </w:rPr>
        <w:t xml:space="preserve"> </w:t>
      </w:r>
      <w:r w:rsidR="00217042" w:rsidRPr="00D87FC1">
        <w:rPr>
          <w:b w:val="0"/>
          <w:bCs w:val="0"/>
        </w:rPr>
        <w:t>Given that it</w:t>
      </w:r>
      <w:r w:rsidR="00421A06" w:rsidRPr="00D87FC1">
        <w:rPr>
          <w:b w:val="0"/>
          <w:bCs w:val="0"/>
        </w:rPr>
        <w:t xml:space="preserve"> is</w:t>
      </w:r>
      <w:r w:rsidR="00217042" w:rsidRPr="00D87FC1">
        <w:rPr>
          <w:b w:val="0"/>
          <w:bCs w:val="0"/>
        </w:rPr>
        <w:t xml:space="preserve"> a lengthy judgment, </w:t>
      </w:r>
      <w:r w:rsidR="00391142" w:rsidRPr="00D87FC1">
        <w:rPr>
          <w:b w:val="0"/>
          <w:bCs w:val="0"/>
        </w:rPr>
        <w:t>two key</w:t>
      </w:r>
      <w:r w:rsidR="00217042" w:rsidRPr="00D87FC1">
        <w:rPr>
          <w:b w:val="0"/>
          <w:bCs w:val="0"/>
        </w:rPr>
        <w:t xml:space="preserve"> examples will be </w:t>
      </w:r>
      <w:r w:rsidR="00006218" w:rsidRPr="00D87FC1">
        <w:rPr>
          <w:b w:val="0"/>
          <w:bCs w:val="0"/>
        </w:rPr>
        <w:t xml:space="preserve">drawn upon to </w:t>
      </w:r>
      <w:r w:rsidR="00533AA0" w:rsidRPr="00D87FC1">
        <w:rPr>
          <w:b w:val="0"/>
          <w:bCs w:val="0"/>
        </w:rPr>
        <w:t xml:space="preserve">support the argument being developed. </w:t>
      </w:r>
    </w:p>
    <w:p w14:paraId="0A4D19CB" w14:textId="4AE33AAA" w:rsidR="00861A5E" w:rsidRPr="00D87FC1" w:rsidRDefault="00861A5E" w:rsidP="003D25D4">
      <w:pPr>
        <w:spacing w:line="360" w:lineRule="auto"/>
        <w:jc w:val="both"/>
        <w:rPr>
          <w:b w:val="0"/>
          <w:bCs w:val="0"/>
        </w:rPr>
      </w:pPr>
    </w:p>
    <w:p w14:paraId="0A4E7543" w14:textId="6F00A029" w:rsidR="00861A5E" w:rsidRPr="00D87FC1" w:rsidRDefault="00CB177F" w:rsidP="00E62DC4">
      <w:pPr>
        <w:spacing w:line="360" w:lineRule="auto"/>
        <w:jc w:val="both"/>
        <w:rPr>
          <w:b w:val="0"/>
          <w:bCs w:val="0"/>
        </w:rPr>
      </w:pPr>
      <w:r w:rsidRPr="00D87FC1">
        <w:rPr>
          <w:b w:val="0"/>
          <w:bCs w:val="0"/>
        </w:rPr>
        <w:t xml:space="preserve">In </w:t>
      </w:r>
      <w:r w:rsidR="00C47DEB" w:rsidRPr="00D87FC1">
        <w:rPr>
          <w:b w:val="0"/>
          <w:bCs w:val="0"/>
          <w:i/>
          <w:iCs/>
        </w:rPr>
        <w:t xml:space="preserve">R v </w:t>
      </w:r>
      <w:r w:rsidRPr="00D87FC1">
        <w:rPr>
          <w:b w:val="0"/>
          <w:bCs w:val="0"/>
          <w:i/>
          <w:iCs/>
        </w:rPr>
        <w:t xml:space="preserve">Clinton, </w:t>
      </w:r>
      <w:r w:rsidRPr="00D87FC1">
        <w:rPr>
          <w:b w:val="0"/>
          <w:bCs w:val="0"/>
        </w:rPr>
        <w:t>t</w:t>
      </w:r>
      <w:r w:rsidR="00BA16FB" w:rsidRPr="00D87FC1">
        <w:rPr>
          <w:b w:val="0"/>
          <w:bCs w:val="0"/>
        </w:rPr>
        <w:t xml:space="preserve">he appellant killed his wife in the context of </w:t>
      </w:r>
      <w:r w:rsidR="007C4217" w:rsidRPr="00D87FC1">
        <w:rPr>
          <w:b w:val="0"/>
          <w:bCs w:val="0"/>
        </w:rPr>
        <w:t xml:space="preserve">her taunting him about having affairs </w:t>
      </w:r>
      <w:proofErr w:type="gramStart"/>
      <w:r w:rsidR="007C4217" w:rsidRPr="00D87FC1">
        <w:rPr>
          <w:b w:val="0"/>
          <w:bCs w:val="0"/>
        </w:rPr>
        <w:t>and also</w:t>
      </w:r>
      <w:proofErr w:type="gramEnd"/>
      <w:r w:rsidR="007C4217" w:rsidRPr="00D87FC1">
        <w:rPr>
          <w:b w:val="0"/>
          <w:bCs w:val="0"/>
        </w:rPr>
        <w:t xml:space="preserve"> his threats to </w:t>
      </w:r>
      <w:r w:rsidR="0080347A" w:rsidRPr="00D87FC1">
        <w:rPr>
          <w:b w:val="0"/>
          <w:bCs w:val="0"/>
        </w:rPr>
        <w:t>take his own life</w:t>
      </w:r>
      <w:r w:rsidR="00760718" w:rsidRPr="00D87FC1">
        <w:rPr>
          <w:b w:val="0"/>
          <w:bCs w:val="0"/>
        </w:rPr>
        <w:t xml:space="preserve"> (for a</w:t>
      </w:r>
      <w:r w:rsidR="005B7C45" w:rsidRPr="00D87FC1">
        <w:rPr>
          <w:b w:val="0"/>
          <w:bCs w:val="0"/>
        </w:rPr>
        <w:t xml:space="preserve"> </w:t>
      </w:r>
      <w:r w:rsidR="00760718" w:rsidRPr="00D87FC1">
        <w:rPr>
          <w:b w:val="0"/>
          <w:bCs w:val="0"/>
        </w:rPr>
        <w:t>detailed discussion of the facts see</w:t>
      </w:r>
      <w:r w:rsidR="00EE1454" w:rsidRPr="00D87FC1">
        <w:rPr>
          <w:b w:val="0"/>
          <w:bCs w:val="0"/>
        </w:rPr>
        <w:t xml:space="preserve"> Baker </w:t>
      </w:r>
      <w:r w:rsidR="00F24F87" w:rsidRPr="00D87FC1">
        <w:rPr>
          <w:b w:val="0"/>
          <w:bCs w:val="0"/>
        </w:rPr>
        <w:t>and</w:t>
      </w:r>
      <w:r w:rsidR="00EE1454" w:rsidRPr="00D87FC1">
        <w:rPr>
          <w:b w:val="0"/>
          <w:bCs w:val="0"/>
        </w:rPr>
        <w:t xml:space="preserve"> Zhao</w:t>
      </w:r>
      <w:r w:rsidR="00F24F87" w:rsidRPr="00D87FC1">
        <w:rPr>
          <w:b w:val="0"/>
          <w:bCs w:val="0"/>
        </w:rPr>
        <w:t>,</w:t>
      </w:r>
      <w:r w:rsidR="00EE1454" w:rsidRPr="00D87FC1">
        <w:rPr>
          <w:b w:val="0"/>
          <w:bCs w:val="0"/>
        </w:rPr>
        <w:t xml:space="preserve"> </w:t>
      </w:r>
      <w:r w:rsidR="0081683F" w:rsidRPr="00D87FC1">
        <w:rPr>
          <w:b w:val="0"/>
          <w:bCs w:val="0"/>
        </w:rPr>
        <w:t>2012).</w:t>
      </w:r>
      <w:r w:rsidR="0080347A" w:rsidRPr="00D87FC1">
        <w:rPr>
          <w:b w:val="0"/>
          <w:bCs w:val="0"/>
        </w:rPr>
        <w:t xml:space="preserve"> </w:t>
      </w:r>
      <w:r w:rsidR="00861A5E" w:rsidRPr="00D87FC1">
        <w:rPr>
          <w:b w:val="0"/>
          <w:bCs w:val="0"/>
        </w:rPr>
        <w:t>In holding that acts of sexual infidelity were not subject to a blanket exclusion</w:t>
      </w:r>
      <w:r w:rsidR="00CB0A1F" w:rsidRPr="00D87FC1">
        <w:rPr>
          <w:b w:val="0"/>
          <w:bCs w:val="0"/>
        </w:rPr>
        <w:t xml:space="preserve">, </w:t>
      </w:r>
      <w:r w:rsidR="00E54689" w:rsidRPr="00D87FC1">
        <w:rPr>
          <w:b w:val="0"/>
          <w:bCs w:val="0"/>
        </w:rPr>
        <w:t>the Lord Chief Justice</w:t>
      </w:r>
      <w:r w:rsidR="00CB0A1F" w:rsidRPr="00D87FC1">
        <w:rPr>
          <w:b w:val="0"/>
          <w:bCs w:val="0"/>
        </w:rPr>
        <w:t xml:space="preserve"> </w:t>
      </w:r>
      <w:r w:rsidR="00BC63DF" w:rsidRPr="00D87FC1">
        <w:rPr>
          <w:b w:val="0"/>
          <w:bCs w:val="0"/>
        </w:rPr>
        <w:t>state</w:t>
      </w:r>
      <w:r w:rsidR="00BE4875" w:rsidRPr="00D87FC1">
        <w:rPr>
          <w:b w:val="0"/>
          <w:bCs w:val="0"/>
        </w:rPr>
        <w:t>d</w:t>
      </w:r>
      <w:r w:rsidR="00BC63DF" w:rsidRPr="00D87FC1">
        <w:rPr>
          <w:b w:val="0"/>
          <w:bCs w:val="0"/>
        </w:rPr>
        <w:t>:</w:t>
      </w:r>
    </w:p>
    <w:p w14:paraId="779586FF" w14:textId="080D2E54" w:rsidR="00BC63DF" w:rsidRPr="00D87FC1" w:rsidRDefault="00D56288" w:rsidP="003D25D4">
      <w:pPr>
        <w:autoSpaceDE w:val="0"/>
        <w:autoSpaceDN w:val="0"/>
        <w:adjustRightInd w:val="0"/>
        <w:spacing w:line="360" w:lineRule="auto"/>
        <w:ind w:left="720"/>
        <w:contextualSpacing/>
        <w:jc w:val="both"/>
        <w:rPr>
          <w:b w:val="0"/>
          <w:bCs w:val="0"/>
        </w:rPr>
      </w:pPr>
      <w:r w:rsidRPr="00D87FC1">
        <w:rPr>
          <w:b w:val="0"/>
          <w:bCs w:val="0"/>
        </w:rPr>
        <w:t>[D]</w:t>
      </w:r>
      <w:proofErr w:type="spellStart"/>
      <w:r w:rsidR="00BC63DF" w:rsidRPr="00D87FC1">
        <w:rPr>
          <w:b w:val="0"/>
          <w:bCs w:val="0"/>
        </w:rPr>
        <w:t>aily</w:t>
      </w:r>
      <w:proofErr w:type="spellEnd"/>
      <w:r w:rsidR="00BC63DF" w:rsidRPr="00D87FC1">
        <w:rPr>
          <w:b w:val="0"/>
          <w:bCs w:val="0"/>
        </w:rPr>
        <w:t xml:space="preserve"> experience in both criminal and family courts demonstrates that the breakdown of relationships, whenever they occur, and for whatever reason, is always</w:t>
      </w:r>
      <w:r w:rsidR="006A0E2C" w:rsidRPr="00D87FC1">
        <w:rPr>
          <w:b w:val="0"/>
          <w:bCs w:val="0"/>
        </w:rPr>
        <w:t xml:space="preserve"> </w:t>
      </w:r>
      <w:r w:rsidR="00BC63DF" w:rsidRPr="00D87FC1">
        <w:rPr>
          <w:b w:val="0"/>
          <w:bCs w:val="0"/>
        </w:rPr>
        <w:t>fraught with tension and difficulty, with the possibility of misunderstanding and the potential</w:t>
      </w:r>
      <w:r w:rsidR="006A0E2C" w:rsidRPr="00D87FC1">
        <w:rPr>
          <w:b w:val="0"/>
          <w:bCs w:val="0"/>
        </w:rPr>
        <w:t xml:space="preserve"> </w:t>
      </w:r>
      <w:r w:rsidR="00BC63DF" w:rsidRPr="00D87FC1">
        <w:rPr>
          <w:b w:val="0"/>
          <w:bCs w:val="0"/>
        </w:rPr>
        <w:t>for apparently irrational fury. Meanwhile experience over many generations has shown that, however it may become apparent, when it does, sexual infidelity has the potential to create a highly emotional situation or to exacerbate a fraught situation, and to produce a completely unpredictable, and sometimes violent response. This may have nothing to do with any notional “rights” that the one may believe that he or she has over the other, and often stems from a sense of betrayal and heartbreak, and crushed dreams</w:t>
      </w:r>
      <w:r w:rsidR="00723F31" w:rsidRPr="00D87FC1">
        <w:rPr>
          <w:b w:val="0"/>
          <w:bCs w:val="0"/>
        </w:rPr>
        <w:t xml:space="preserve"> (</w:t>
      </w:r>
      <w:r w:rsidR="00EA2A9D" w:rsidRPr="00D87FC1">
        <w:rPr>
          <w:b w:val="0"/>
          <w:bCs w:val="0"/>
        </w:rPr>
        <w:t xml:space="preserve">2012: </w:t>
      </w:r>
      <w:r w:rsidR="00723F31" w:rsidRPr="00D87FC1">
        <w:rPr>
          <w:b w:val="0"/>
          <w:bCs w:val="0"/>
        </w:rPr>
        <w:t xml:space="preserve">para </w:t>
      </w:r>
      <w:r w:rsidR="00EB38E6" w:rsidRPr="00D87FC1">
        <w:rPr>
          <w:b w:val="0"/>
          <w:bCs w:val="0"/>
        </w:rPr>
        <w:t>16)</w:t>
      </w:r>
      <w:r w:rsidR="00B72EDC" w:rsidRPr="00D87FC1">
        <w:rPr>
          <w:b w:val="0"/>
          <w:bCs w:val="0"/>
        </w:rPr>
        <w:t>.</w:t>
      </w:r>
    </w:p>
    <w:p w14:paraId="0C469B44" w14:textId="15E31AC6" w:rsidR="008C49DF" w:rsidRPr="00D87FC1" w:rsidRDefault="00B86F4A" w:rsidP="003D25D4">
      <w:pPr>
        <w:autoSpaceDE w:val="0"/>
        <w:autoSpaceDN w:val="0"/>
        <w:adjustRightInd w:val="0"/>
        <w:spacing w:line="360" w:lineRule="auto"/>
        <w:contextualSpacing/>
        <w:jc w:val="both"/>
        <w:rPr>
          <w:b w:val="0"/>
          <w:bCs w:val="0"/>
        </w:rPr>
      </w:pPr>
      <w:r w:rsidRPr="00D87FC1">
        <w:rPr>
          <w:b w:val="0"/>
          <w:bCs w:val="0"/>
        </w:rPr>
        <w:t>It is argued that c</w:t>
      </w:r>
      <w:r w:rsidR="00EB38E6" w:rsidRPr="00D87FC1">
        <w:rPr>
          <w:b w:val="0"/>
          <w:bCs w:val="0"/>
        </w:rPr>
        <w:t>ommencing the</w:t>
      </w:r>
      <w:r w:rsidR="008C49DF" w:rsidRPr="00D87FC1">
        <w:rPr>
          <w:b w:val="0"/>
          <w:bCs w:val="0"/>
        </w:rPr>
        <w:t xml:space="preserve"> discussion of the exclusion of sexual infidelity </w:t>
      </w:r>
      <w:r w:rsidR="00C74753" w:rsidRPr="00D87FC1">
        <w:rPr>
          <w:b w:val="0"/>
          <w:bCs w:val="0"/>
        </w:rPr>
        <w:t>in</w:t>
      </w:r>
      <w:r w:rsidR="008C49DF" w:rsidRPr="00D87FC1">
        <w:rPr>
          <w:b w:val="0"/>
          <w:bCs w:val="0"/>
        </w:rPr>
        <w:t xml:space="preserve"> this manner</w:t>
      </w:r>
      <w:r w:rsidR="00EB38E6" w:rsidRPr="00D87FC1">
        <w:rPr>
          <w:b w:val="0"/>
          <w:bCs w:val="0"/>
        </w:rPr>
        <w:t xml:space="preserve"> sets the scene in which </w:t>
      </w:r>
      <w:r w:rsidR="00AD2468" w:rsidRPr="00D87FC1">
        <w:rPr>
          <w:b w:val="0"/>
          <w:bCs w:val="0"/>
        </w:rPr>
        <w:t xml:space="preserve">the </w:t>
      </w:r>
      <w:proofErr w:type="spellStart"/>
      <w:r w:rsidR="00AD2468" w:rsidRPr="00D87FC1">
        <w:rPr>
          <w:b w:val="0"/>
          <w:bCs w:val="0"/>
        </w:rPr>
        <w:t>grievability</w:t>
      </w:r>
      <w:proofErr w:type="spellEnd"/>
      <w:r w:rsidR="00AD2468" w:rsidRPr="00D87FC1">
        <w:rPr>
          <w:b w:val="0"/>
          <w:bCs w:val="0"/>
        </w:rPr>
        <w:t xml:space="preserve"> of those</w:t>
      </w:r>
      <w:r w:rsidR="00505BAB" w:rsidRPr="00D87FC1">
        <w:rPr>
          <w:b w:val="0"/>
          <w:bCs w:val="0"/>
        </w:rPr>
        <w:t xml:space="preserve"> women</w:t>
      </w:r>
      <w:r w:rsidR="00AD2468" w:rsidRPr="00D87FC1">
        <w:rPr>
          <w:b w:val="0"/>
          <w:bCs w:val="0"/>
        </w:rPr>
        <w:t xml:space="preserve"> who are killed in such circumstances is diminished</w:t>
      </w:r>
      <w:r w:rsidR="00BE4875" w:rsidRPr="00D87FC1">
        <w:rPr>
          <w:b w:val="0"/>
          <w:bCs w:val="0"/>
        </w:rPr>
        <w:t>.</w:t>
      </w:r>
      <w:r w:rsidR="002E0C7D" w:rsidRPr="00D87FC1">
        <w:rPr>
          <w:b w:val="0"/>
          <w:bCs w:val="0"/>
        </w:rPr>
        <w:t xml:space="preserve"> </w:t>
      </w:r>
      <w:r w:rsidR="00E07A1E" w:rsidRPr="00D87FC1">
        <w:rPr>
          <w:b w:val="0"/>
          <w:bCs w:val="0"/>
        </w:rPr>
        <w:t>Premising the argument on</w:t>
      </w:r>
      <w:r w:rsidR="003B7FB0" w:rsidRPr="00D87FC1">
        <w:rPr>
          <w:b w:val="0"/>
          <w:bCs w:val="0"/>
        </w:rPr>
        <w:t xml:space="preserve"> </w:t>
      </w:r>
      <w:r w:rsidR="005E0716">
        <w:rPr>
          <w:b w:val="0"/>
          <w:bCs w:val="0"/>
        </w:rPr>
        <w:t>“</w:t>
      </w:r>
      <w:r w:rsidR="003B7FB0" w:rsidRPr="00D87FC1">
        <w:rPr>
          <w:b w:val="0"/>
          <w:bCs w:val="0"/>
        </w:rPr>
        <w:t>experience</w:t>
      </w:r>
      <w:r w:rsidR="005E0716">
        <w:rPr>
          <w:b w:val="0"/>
          <w:bCs w:val="0"/>
        </w:rPr>
        <w:t>”</w:t>
      </w:r>
      <w:r w:rsidR="00E07A1E" w:rsidRPr="00D87FC1">
        <w:rPr>
          <w:b w:val="0"/>
          <w:bCs w:val="0"/>
        </w:rPr>
        <w:t xml:space="preserve"> in this way </w:t>
      </w:r>
      <w:r w:rsidR="005727C8" w:rsidRPr="00D87FC1">
        <w:rPr>
          <w:b w:val="0"/>
          <w:bCs w:val="0"/>
        </w:rPr>
        <w:t xml:space="preserve">distinguishes the judge from the government in that the </w:t>
      </w:r>
      <w:r w:rsidR="00D76B9E" w:rsidRPr="00D87FC1">
        <w:rPr>
          <w:b w:val="0"/>
          <w:bCs w:val="0"/>
        </w:rPr>
        <w:t xml:space="preserve">former </w:t>
      </w:r>
      <w:r w:rsidR="005727C8" w:rsidRPr="00D87FC1">
        <w:rPr>
          <w:b w:val="0"/>
          <w:bCs w:val="0"/>
        </w:rPr>
        <w:t xml:space="preserve">is constructed to be founded upon a more solid basis </w:t>
      </w:r>
      <w:r w:rsidR="00F5003C" w:rsidRPr="00D87FC1">
        <w:rPr>
          <w:b w:val="0"/>
          <w:bCs w:val="0"/>
        </w:rPr>
        <w:t>for</w:t>
      </w:r>
      <w:r w:rsidR="005727C8" w:rsidRPr="00D87FC1">
        <w:rPr>
          <w:b w:val="0"/>
          <w:bCs w:val="0"/>
        </w:rPr>
        <w:t xml:space="preserve"> understanding the reality of such cases. This attem</w:t>
      </w:r>
      <w:r w:rsidR="007F212A" w:rsidRPr="00D87FC1">
        <w:rPr>
          <w:b w:val="0"/>
          <w:bCs w:val="0"/>
        </w:rPr>
        <w:t xml:space="preserve">pt to </w:t>
      </w:r>
      <w:r w:rsidR="003B1044" w:rsidRPr="00D87FC1">
        <w:rPr>
          <w:b w:val="0"/>
          <w:bCs w:val="0"/>
        </w:rPr>
        <w:t>ground the judgment in a certain reality</w:t>
      </w:r>
      <w:r w:rsidR="007F212A" w:rsidRPr="00D87FC1">
        <w:rPr>
          <w:b w:val="0"/>
          <w:bCs w:val="0"/>
        </w:rPr>
        <w:t xml:space="preserve"> is further perpetuated by </w:t>
      </w:r>
      <w:r w:rsidR="003B1044" w:rsidRPr="00D87FC1">
        <w:rPr>
          <w:b w:val="0"/>
          <w:bCs w:val="0"/>
        </w:rPr>
        <w:t xml:space="preserve">the comment that such homicides are less to with rights than they are with </w:t>
      </w:r>
      <w:r w:rsidR="003B4FA9">
        <w:rPr>
          <w:b w:val="0"/>
          <w:bCs w:val="0"/>
        </w:rPr>
        <w:t>“</w:t>
      </w:r>
      <w:r w:rsidR="0051154A" w:rsidRPr="00D87FC1">
        <w:rPr>
          <w:b w:val="0"/>
          <w:bCs w:val="0"/>
        </w:rPr>
        <w:t>betrayal and heartbreak.</w:t>
      </w:r>
      <w:r w:rsidR="003B4FA9">
        <w:rPr>
          <w:b w:val="0"/>
          <w:bCs w:val="0"/>
        </w:rPr>
        <w:t>”</w:t>
      </w:r>
      <w:r w:rsidR="0051154A" w:rsidRPr="00D87FC1">
        <w:rPr>
          <w:b w:val="0"/>
          <w:bCs w:val="0"/>
        </w:rPr>
        <w:t xml:space="preserve"> Herein, we see the construction of the defendant not as one who is concerned with possessiveness</w:t>
      </w:r>
      <w:r w:rsidR="00382E90" w:rsidRPr="00D87FC1">
        <w:rPr>
          <w:b w:val="0"/>
          <w:bCs w:val="0"/>
        </w:rPr>
        <w:t xml:space="preserve"> – which was identified by the government as an inappropriate </w:t>
      </w:r>
      <w:r w:rsidR="007079F9" w:rsidRPr="00D87FC1">
        <w:rPr>
          <w:b w:val="0"/>
          <w:bCs w:val="0"/>
        </w:rPr>
        <w:t>basis for the defence -</w:t>
      </w:r>
      <w:r w:rsidR="0051154A" w:rsidRPr="00D87FC1">
        <w:rPr>
          <w:b w:val="0"/>
          <w:bCs w:val="0"/>
        </w:rPr>
        <w:t xml:space="preserve"> </w:t>
      </w:r>
      <w:r w:rsidR="00002283" w:rsidRPr="00D87FC1">
        <w:rPr>
          <w:b w:val="0"/>
          <w:bCs w:val="0"/>
        </w:rPr>
        <w:t>but rather as a forlorn</w:t>
      </w:r>
      <w:r w:rsidR="00E52916" w:rsidRPr="00D87FC1">
        <w:rPr>
          <w:b w:val="0"/>
          <w:bCs w:val="0"/>
        </w:rPr>
        <w:t xml:space="preserve"> individual. In co</w:t>
      </w:r>
      <w:r w:rsidR="00DC455E" w:rsidRPr="00D87FC1">
        <w:rPr>
          <w:b w:val="0"/>
          <w:bCs w:val="0"/>
        </w:rPr>
        <w:t>ntrast</w:t>
      </w:r>
      <w:r w:rsidR="005F2BCA" w:rsidRPr="00D87FC1">
        <w:rPr>
          <w:b w:val="0"/>
          <w:bCs w:val="0"/>
        </w:rPr>
        <w:t>,</w:t>
      </w:r>
      <w:r w:rsidR="00DC455E" w:rsidRPr="00D87FC1">
        <w:rPr>
          <w:b w:val="0"/>
          <w:bCs w:val="0"/>
        </w:rPr>
        <w:t xml:space="preserve"> the actions of the victim are constructed as </w:t>
      </w:r>
      <w:r w:rsidR="005D5DFE" w:rsidRPr="00D87FC1">
        <w:rPr>
          <w:b w:val="0"/>
          <w:bCs w:val="0"/>
        </w:rPr>
        <w:t>intensifying</w:t>
      </w:r>
      <w:r w:rsidR="00DC455E" w:rsidRPr="00D87FC1">
        <w:rPr>
          <w:b w:val="0"/>
          <w:bCs w:val="0"/>
        </w:rPr>
        <w:t xml:space="preserve"> an already </w:t>
      </w:r>
      <w:r w:rsidR="00487C68" w:rsidRPr="00D87FC1">
        <w:rPr>
          <w:b w:val="0"/>
          <w:bCs w:val="0"/>
        </w:rPr>
        <w:t>stressful</w:t>
      </w:r>
      <w:r w:rsidR="00327019" w:rsidRPr="00D87FC1">
        <w:rPr>
          <w:b w:val="0"/>
          <w:bCs w:val="0"/>
        </w:rPr>
        <w:t xml:space="preserve"> and painful</w:t>
      </w:r>
      <w:r w:rsidR="00DC455E" w:rsidRPr="00D87FC1">
        <w:rPr>
          <w:b w:val="0"/>
          <w:bCs w:val="0"/>
        </w:rPr>
        <w:t xml:space="preserve"> situation. </w:t>
      </w:r>
      <w:r w:rsidR="005D5DFE" w:rsidRPr="00D87FC1">
        <w:rPr>
          <w:b w:val="0"/>
          <w:bCs w:val="0"/>
        </w:rPr>
        <w:t xml:space="preserve">Throughout, the </w:t>
      </w:r>
      <w:r w:rsidR="00A95930" w:rsidRPr="00D87FC1">
        <w:rPr>
          <w:b w:val="0"/>
          <w:bCs w:val="0"/>
        </w:rPr>
        <w:t>judgment</w:t>
      </w:r>
      <w:r w:rsidR="00F27806" w:rsidRPr="00D87FC1">
        <w:rPr>
          <w:b w:val="0"/>
          <w:bCs w:val="0"/>
        </w:rPr>
        <w:t xml:space="preserve"> </w:t>
      </w:r>
      <w:r w:rsidR="009F0C65" w:rsidRPr="00D87FC1">
        <w:rPr>
          <w:b w:val="0"/>
          <w:bCs w:val="0"/>
        </w:rPr>
        <w:t xml:space="preserve">aims to engender our sympathies for the </w:t>
      </w:r>
      <w:r w:rsidR="00524CA8" w:rsidRPr="00D87FC1">
        <w:rPr>
          <w:b w:val="0"/>
          <w:bCs w:val="0"/>
        </w:rPr>
        <w:t xml:space="preserve">defendant, as opposed to the deceased. </w:t>
      </w:r>
      <w:r w:rsidR="002E7F2E" w:rsidRPr="00D87FC1">
        <w:rPr>
          <w:b w:val="0"/>
          <w:bCs w:val="0"/>
        </w:rPr>
        <w:t xml:space="preserve">As such, from the beginning of the judgment, the </w:t>
      </w:r>
      <w:r w:rsidR="0080264A" w:rsidRPr="00D87FC1">
        <w:rPr>
          <w:b w:val="0"/>
          <w:bCs w:val="0"/>
        </w:rPr>
        <w:t>Court of Appeal</w:t>
      </w:r>
      <w:r w:rsidR="00F44783" w:rsidRPr="00D87FC1">
        <w:rPr>
          <w:b w:val="0"/>
          <w:bCs w:val="0"/>
        </w:rPr>
        <w:t xml:space="preserve"> </w:t>
      </w:r>
      <w:r w:rsidR="00327019" w:rsidRPr="00D87FC1">
        <w:rPr>
          <w:b w:val="0"/>
          <w:bCs w:val="0"/>
        </w:rPr>
        <w:t xml:space="preserve">can be seen to </w:t>
      </w:r>
      <w:r w:rsidR="00B4754C" w:rsidRPr="00D87FC1">
        <w:rPr>
          <w:b w:val="0"/>
          <w:bCs w:val="0"/>
        </w:rPr>
        <w:t xml:space="preserve">privilege the </w:t>
      </w:r>
      <w:r w:rsidR="00FF27B1" w:rsidRPr="00D87FC1">
        <w:rPr>
          <w:b w:val="0"/>
          <w:bCs w:val="0"/>
        </w:rPr>
        <w:t>situation</w:t>
      </w:r>
      <w:r w:rsidR="00404494" w:rsidRPr="00D87FC1">
        <w:rPr>
          <w:b w:val="0"/>
          <w:bCs w:val="0"/>
        </w:rPr>
        <w:t xml:space="preserve"> of the </w:t>
      </w:r>
      <w:r w:rsidR="00F00A06" w:rsidRPr="00D87FC1">
        <w:rPr>
          <w:b w:val="0"/>
          <w:bCs w:val="0"/>
        </w:rPr>
        <w:t>cheated</w:t>
      </w:r>
      <w:r w:rsidR="00404494" w:rsidRPr="00D87FC1">
        <w:rPr>
          <w:b w:val="0"/>
          <w:bCs w:val="0"/>
        </w:rPr>
        <w:t xml:space="preserve"> </w:t>
      </w:r>
      <w:r w:rsidR="00992578" w:rsidRPr="00D87FC1">
        <w:rPr>
          <w:b w:val="0"/>
          <w:bCs w:val="0"/>
        </w:rPr>
        <w:t xml:space="preserve">(male) </w:t>
      </w:r>
      <w:r w:rsidR="00404494" w:rsidRPr="00D87FC1">
        <w:rPr>
          <w:b w:val="0"/>
          <w:bCs w:val="0"/>
        </w:rPr>
        <w:t xml:space="preserve">defendant over the </w:t>
      </w:r>
      <w:proofErr w:type="spellStart"/>
      <w:r w:rsidR="00404494" w:rsidRPr="00D87FC1">
        <w:rPr>
          <w:b w:val="0"/>
          <w:bCs w:val="0"/>
        </w:rPr>
        <w:t>grievability</w:t>
      </w:r>
      <w:proofErr w:type="spellEnd"/>
      <w:r w:rsidR="00404494" w:rsidRPr="00D87FC1">
        <w:rPr>
          <w:b w:val="0"/>
          <w:bCs w:val="0"/>
        </w:rPr>
        <w:t xml:space="preserve"> of the </w:t>
      </w:r>
      <w:r w:rsidR="00992578" w:rsidRPr="00D87FC1">
        <w:rPr>
          <w:b w:val="0"/>
          <w:bCs w:val="0"/>
        </w:rPr>
        <w:t xml:space="preserve">(female) </w:t>
      </w:r>
      <w:r w:rsidR="00014BFB" w:rsidRPr="00D87FC1">
        <w:rPr>
          <w:b w:val="0"/>
          <w:bCs w:val="0"/>
        </w:rPr>
        <w:lastRenderedPageBreak/>
        <w:t>deceased</w:t>
      </w:r>
      <w:r w:rsidR="002254D3" w:rsidRPr="00D87FC1">
        <w:rPr>
          <w:b w:val="0"/>
          <w:bCs w:val="0"/>
        </w:rPr>
        <w:t xml:space="preserve"> (Butler</w:t>
      </w:r>
      <w:r w:rsidR="00F24F87" w:rsidRPr="00D87FC1">
        <w:rPr>
          <w:b w:val="0"/>
          <w:bCs w:val="0"/>
        </w:rPr>
        <w:t>,</w:t>
      </w:r>
      <w:r w:rsidR="002254D3" w:rsidRPr="00D87FC1">
        <w:rPr>
          <w:b w:val="0"/>
          <w:bCs w:val="0"/>
        </w:rPr>
        <w:t xml:space="preserve"> 2006</w:t>
      </w:r>
      <w:r w:rsidR="00593490">
        <w:rPr>
          <w:b w:val="0"/>
          <w:bCs w:val="0"/>
        </w:rPr>
        <w:t>,</w:t>
      </w:r>
      <w:r w:rsidR="003256F7" w:rsidRPr="00D87FC1">
        <w:rPr>
          <w:b w:val="0"/>
          <w:bCs w:val="0"/>
        </w:rPr>
        <w:t xml:space="preserve"> 2009a</w:t>
      </w:r>
      <w:r w:rsidR="002254D3" w:rsidRPr="00D87FC1">
        <w:rPr>
          <w:b w:val="0"/>
          <w:bCs w:val="0"/>
        </w:rPr>
        <w:t>)</w:t>
      </w:r>
      <w:r w:rsidR="00A67595" w:rsidRPr="00D87FC1">
        <w:rPr>
          <w:b w:val="0"/>
          <w:bCs w:val="0"/>
        </w:rPr>
        <w:t>,</w:t>
      </w:r>
      <w:r w:rsidR="00F924C6" w:rsidRPr="00D87FC1">
        <w:rPr>
          <w:rStyle w:val="EndnoteReference"/>
          <w:b w:val="0"/>
          <w:bCs w:val="0"/>
        </w:rPr>
        <w:endnoteReference w:id="2"/>
      </w:r>
      <w:r w:rsidR="00A67595" w:rsidRPr="00D87FC1">
        <w:rPr>
          <w:b w:val="0"/>
          <w:bCs w:val="0"/>
        </w:rPr>
        <w:t xml:space="preserve"> which in turn frames loss of control around the body of the masculine subject</w:t>
      </w:r>
      <w:r w:rsidR="000F5A24" w:rsidRPr="00D87FC1">
        <w:rPr>
          <w:b w:val="0"/>
          <w:bCs w:val="0"/>
        </w:rPr>
        <w:t xml:space="preserve"> (Monckton Smith</w:t>
      </w:r>
      <w:r w:rsidR="00F24F87" w:rsidRPr="00D87FC1">
        <w:rPr>
          <w:b w:val="0"/>
          <w:bCs w:val="0"/>
        </w:rPr>
        <w:t>,</w:t>
      </w:r>
      <w:r w:rsidR="000F5A24" w:rsidRPr="00D87FC1">
        <w:rPr>
          <w:b w:val="0"/>
          <w:bCs w:val="0"/>
        </w:rPr>
        <w:t xml:space="preserve"> 2012).</w:t>
      </w:r>
    </w:p>
    <w:p w14:paraId="5834EB12" w14:textId="012AF4C0" w:rsidR="00177A88" w:rsidRPr="00D87FC1" w:rsidRDefault="00177A88" w:rsidP="003D25D4">
      <w:pPr>
        <w:autoSpaceDE w:val="0"/>
        <w:autoSpaceDN w:val="0"/>
        <w:adjustRightInd w:val="0"/>
        <w:spacing w:line="360" w:lineRule="auto"/>
        <w:contextualSpacing/>
        <w:jc w:val="both"/>
        <w:rPr>
          <w:b w:val="0"/>
          <w:bCs w:val="0"/>
        </w:rPr>
      </w:pPr>
    </w:p>
    <w:p w14:paraId="2E79D576" w14:textId="6741A909" w:rsidR="00031CF1" w:rsidRPr="00D87FC1" w:rsidRDefault="00CD7F18" w:rsidP="003D25D4">
      <w:pPr>
        <w:autoSpaceDE w:val="0"/>
        <w:autoSpaceDN w:val="0"/>
        <w:adjustRightInd w:val="0"/>
        <w:spacing w:line="360" w:lineRule="auto"/>
        <w:contextualSpacing/>
        <w:jc w:val="both"/>
        <w:rPr>
          <w:b w:val="0"/>
          <w:bCs w:val="0"/>
        </w:rPr>
      </w:pPr>
      <w:r w:rsidRPr="00D87FC1">
        <w:rPr>
          <w:b w:val="0"/>
          <w:bCs w:val="0"/>
        </w:rPr>
        <w:t>The second</w:t>
      </w:r>
      <w:r w:rsidR="00D51D67" w:rsidRPr="00D87FC1">
        <w:rPr>
          <w:b w:val="0"/>
          <w:bCs w:val="0"/>
        </w:rPr>
        <w:t xml:space="preserve"> example pertains to </w:t>
      </w:r>
      <w:r w:rsidR="00A85BF4" w:rsidRPr="00D87FC1">
        <w:rPr>
          <w:b w:val="0"/>
          <w:bCs w:val="0"/>
        </w:rPr>
        <w:t>a scenario in which a female defendant, after suffering many years of physical abuse, finally losses control and ki</w:t>
      </w:r>
      <w:r w:rsidR="005E14C0" w:rsidRPr="00D87FC1">
        <w:rPr>
          <w:b w:val="0"/>
          <w:bCs w:val="0"/>
        </w:rPr>
        <w:t>lls the abuser who “</w:t>
      </w:r>
      <w:r w:rsidR="00F95A4D" w:rsidRPr="00D87FC1">
        <w:rPr>
          <w:b w:val="0"/>
          <w:bCs w:val="0"/>
        </w:rPr>
        <w:t xml:space="preserve">for the first time, </w:t>
      </w:r>
      <w:r w:rsidR="005E14C0" w:rsidRPr="00D87FC1">
        <w:rPr>
          <w:b w:val="0"/>
          <w:bCs w:val="0"/>
        </w:rPr>
        <w:t>during the final beating, taunts of his sexual activities with another woman or other women” (</w:t>
      </w:r>
      <w:r w:rsidR="006D489F" w:rsidRPr="00D87FC1">
        <w:rPr>
          <w:b w:val="0"/>
          <w:bCs w:val="0"/>
        </w:rPr>
        <w:t xml:space="preserve">at para </w:t>
      </w:r>
      <w:proofErr w:type="spellStart"/>
      <w:r w:rsidR="003161EE" w:rsidRPr="00D87FC1">
        <w:rPr>
          <w:b w:val="0"/>
          <w:bCs w:val="0"/>
        </w:rPr>
        <w:t>para</w:t>
      </w:r>
      <w:proofErr w:type="spellEnd"/>
      <w:r w:rsidR="003161EE" w:rsidRPr="00D87FC1">
        <w:rPr>
          <w:b w:val="0"/>
          <w:bCs w:val="0"/>
        </w:rPr>
        <w:t xml:space="preserve"> 24). </w:t>
      </w:r>
      <w:r w:rsidR="0045769C" w:rsidRPr="00D87FC1">
        <w:rPr>
          <w:b w:val="0"/>
          <w:bCs w:val="0"/>
        </w:rPr>
        <w:t>In addressing this issue, the Court of Appeal contemplate</w:t>
      </w:r>
      <w:r w:rsidR="00D221FE" w:rsidRPr="00D87FC1">
        <w:rPr>
          <w:b w:val="0"/>
          <w:bCs w:val="0"/>
        </w:rPr>
        <w:t>s</w:t>
      </w:r>
      <w:r w:rsidR="0045769C" w:rsidRPr="00D87FC1">
        <w:rPr>
          <w:b w:val="0"/>
          <w:bCs w:val="0"/>
        </w:rPr>
        <w:t xml:space="preserve"> that the evidence suggests that in </w:t>
      </w:r>
      <w:r w:rsidR="0077436E" w:rsidRPr="00D87FC1">
        <w:rPr>
          <w:b w:val="0"/>
          <w:bCs w:val="0"/>
        </w:rPr>
        <w:t xml:space="preserve">the </w:t>
      </w:r>
      <w:r w:rsidR="00C93799" w:rsidRPr="00D87FC1">
        <w:rPr>
          <w:b w:val="0"/>
          <w:bCs w:val="0"/>
        </w:rPr>
        <w:t>absence</w:t>
      </w:r>
      <w:r w:rsidR="0045769C" w:rsidRPr="00D87FC1">
        <w:rPr>
          <w:b w:val="0"/>
          <w:bCs w:val="0"/>
        </w:rPr>
        <w:t xml:space="preserve"> of his admissions, the defendant would not </w:t>
      </w:r>
      <w:r w:rsidR="00B75627" w:rsidRPr="00D87FC1">
        <w:rPr>
          <w:b w:val="0"/>
          <w:bCs w:val="0"/>
        </w:rPr>
        <w:t xml:space="preserve">have </w:t>
      </w:r>
      <w:r w:rsidR="0045769C" w:rsidRPr="00D87FC1">
        <w:rPr>
          <w:b w:val="0"/>
          <w:bCs w:val="0"/>
        </w:rPr>
        <w:t>lost her control and continued to suffer t</w:t>
      </w:r>
      <w:r w:rsidR="002F34A4" w:rsidRPr="00D87FC1">
        <w:rPr>
          <w:b w:val="0"/>
          <w:bCs w:val="0"/>
        </w:rPr>
        <w:t xml:space="preserve">he </w:t>
      </w:r>
      <w:r w:rsidR="0045769C" w:rsidRPr="00D87FC1">
        <w:rPr>
          <w:b w:val="0"/>
          <w:bCs w:val="0"/>
        </w:rPr>
        <w:t>beatings. On this basis,</w:t>
      </w:r>
      <w:r w:rsidR="00FB4223" w:rsidRPr="00D87FC1">
        <w:rPr>
          <w:b w:val="0"/>
          <w:bCs w:val="0"/>
        </w:rPr>
        <w:t xml:space="preserve"> i</w:t>
      </w:r>
      <w:r w:rsidR="004D111C" w:rsidRPr="00D87FC1">
        <w:rPr>
          <w:b w:val="0"/>
          <w:bCs w:val="0"/>
        </w:rPr>
        <w:t>t is</w:t>
      </w:r>
      <w:r w:rsidR="00FB4223" w:rsidRPr="00D87FC1">
        <w:rPr>
          <w:b w:val="0"/>
          <w:bCs w:val="0"/>
        </w:rPr>
        <w:t xml:space="preserve"> asserted</w:t>
      </w:r>
      <w:r w:rsidR="004D111C" w:rsidRPr="00D87FC1">
        <w:rPr>
          <w:b w:val="0"/>
          <w:bCs w:val="0"/>
        </w:rPr>
        <w:t xml:space="preserve"> that</w:t>
      </w:r>
      <w:r w:rsidR="00FB4223" w:rsidRPr="00D87FC1">
        <w:rPr>
          <w:b w:val="0"/>
          <w:bCs w:val="0"/>
        </w:rPr>
        <w:t xml:space="preserve"> </w:t>
      </w:r>
      <w:r w:rsidR="004D111C" w:rsidRPr="00D87FC1">
        <w:rPr>
          <w:b w:val="0"/>
          <w:bCs w:val="0"/>
        </w:rPr>
        <w:t>there would</w:t>
      </w:r>
      <w:r w:rsidR="00ED526E" w:rsidRPr="00D87FC1">
        <w:rPr>
          <w:b w:val="0"/>
          <w:bCs w:val="0"/>
        </w:rPr>
        <w:t xml:space="preserve"> be</w:t>
      </w:r>
      <w:r w:rsidR="004D111C" w:rsidRPr="00D87FC1">
        <w:rPr>
          <w:b w:val="0"/>
          <w:bCs w:val="0"/>
        </w:rPr>
        <w:t xml:space="preserve"> </w:t>
      </w:r>
      <w:r w:rsidR="00ED526E" w:rsidRPr="00D87FC1">
        <w:rPr>
          <w:b w:val="0"/>
          <w:bCs w:val="0"/>
        </w:rPr>
        <w:t>insufficient</w:t>
      </w:r>
      <w:r w:rsidR="004D111C" w:rsidRPr="00D87FC1">
        <w:rPr>
          <w:b w:val="0"/>
          <w:bCs w:val="0"/>
        </w:rPr>
        <w:t xml:space="preserve"> evidence of a qualifying trigger</w:t>
      </w:r>
      <w:r w:rsidR="005F2BCA" w:rsidRPr="00D87FC1">
        <w:rPr>
          <w:b w:val="0"/>
          <w:bCs w:val="0"/>
        </w:rPr>
        <w:t xml:space="preserve"> -</w:t>
      </w:r>
      <w:r w:rsidR="004D111C" w:rsidRPr="00D87FC1">
        <w:rPr>
          <w:b w:val="0"/>
          <w:bCs w:val="0"/>
        </w:rPr>
        <w:t xml:space="preserve"> </w:t>
      </w:r>
      <w:r w:rsidR="009133B6" w:rsidRPr="00D87FC1">
        <w:rPr>
          <w:b w:val="0"/>
          <w:bCs w:val="0"/>
        </w:rPr>
        <w:t>unless the taunts regarding his sexual misadventures were taken into consideration</w:t>
      </w:r>
      <w:r w:rsidR="00ED526E" w:rsidRPr="00D87FC1">
        <w:rPr>
          <w:b w:val="0"/>
          <w:bCs w:val="0"/>
        </w:rPr>
        <w:t xml:space="preserve">. </w:t>
      </w:r>
      <w:r w:rsidR="00576D78" w:rsidRPr="00D87FC1">
        <w:rPr>
          <w:b w:val="0"/>
          <w:bCs w:val="0"/>
        </w:rPr>
        <w:t>T</w:t>
      </w:r>
      <w:r w:rsidR="00FF12C4" w:rsidRPr="00D87FC1">
        <w:rPr>
          <w:b w:val="0"/>
          <w:bCs w:val="0"/>
        </w:rPr>
        <w:t xml:space="preserve">his example can be critiqued on </w:t>
      </w:r>
      <w:proofErr w:type="gramStart"/>
      <w:r w:rsidR="00C05226" w:rsidRPr="00D87FC1">
        <w:rPr>
          <w:b w:val="0"/>
          <w:bCs w:val="0"/>
        </w:rPr>
        <w:t xml:space="preserve">a </w:t>
      </w:r>
      <w:r w:rsidR="00FF12C4" w:rsidRPr="00D87FC1">
        <w:rPr>
          <w:b w:val="0"/>
          <w:bCs w:val="0"/>
        </w:rPr>
        <w:t>number of</w:t>
      </w:r>
      <w:proofErr w:type="gramEnd"/>
      <w:r w:rsidR="00FF12C4" w:rsidRPr="00D87FC1">
        <w:rPr>
          <w:b w:val="0"/>
          <w:bCs w:val="0"/>
        </w:rPr>
        <w:t xml:space="preserve"> different levels. First,</w:t>
      </w:r>
      <w:r w:rsidR="003550B5" w:rsidRPr="00D87FC1">
        <w:rPr>
          <w:b w:val="0"/>
          <w:bCs w:val="0"/>
        </w:rPr>
        <w:t xml:space="preserve"> the</w:t>
      </w:r>
      <w:r w:rsidR="00FF12C4" w:rsidRPr="00D87FC1">
        <w:rPr>
          <w:b w:val="0"/>
          <w:bCs w:val="0"/>
        </w:rPr>
        <w:t xml:space="preserve"> Lord </w:t>
      </w:r>
      <w:r w:rsidR="00600F41" w:rsidRPr="00D87FC1">
        <w:rPr>
          <w:b w:val="0"/>
          <w:bCs w:val="0"/>
        </w:rPr>
        <w:t>Chief Justice had already established</w:t>
      </w:r>
      <w:r w:rsidR="00AE09C6" w:rsidRPr="00D87FC1">
        <w:rPr>
          <w:b w:val="0"/>
          <w:bCs w:val="0"/>
        </w:rPr>
        <w:t xml:space="preserve"> in his judgment</w:t>
      </w:r>
      <w:r w:rsidR="00600F41" w:rsidRPr="00D87FC1">
        <w:rPr>
          <w:b w:val="0"/>
          <w:bCs w:val="0"/>
        </w:rPr>
        <w:t xml:space="preserve"> that taunts pertaining to extra-relationship activity do not </w:t>
      </w:r>
      <w:r w:rsidR="000F6C67">
        <w:rPr>
          <w:b w:val="0"/>
          <w:bCs w:val="0"/>
        </w:rPr>
        <w:t>f</w:t>
      </w:r>
      <w:r w:rsidR="00600F41" w:rsidRPr="00D87FC1">
        <w:rPr>
          <w:b w:val="0"/>
          <w:bCs w:val="0"/>
        </w:rPr>
        <w:t xml:space="preserve">all within the </w:t>
      </w:r>
      <w:r w:rsidR="003F57AF" w:rsidRPr="00D87FC1">
        <w:rPr>
          <w:b w:val="0"/>
          <w:bCs w:val="0"/>
        </w:rPr>
        <w:t>s</w:t>
      </w:r>
      <w:r w:rsidR="00D350F7">
        <w:rPr>
          <w:b w:val="0"/>
          <w:bCs w:val="0"/>
        </w:rPr>
        <w:t xml:space="preserve">ection </w:t>
      </w:r>
      <w:r w:rsidR="003F57AF" w:rsidRPr="00D87FC1">
        <w:rPr>
          <w:b w:val="0"/>
          <w:bCs w:val="0"/>
        </w:rPr>
        <w:t>55</w:t>
      </w:r>
      <w:r w:rsidR="009A6BA2" w:rsidRPr="00D87FC1">
        <w:rPr>
          <w:b w:val="0"/>
          <w:bCs w:val="0"/>
        </w:rPr>
        <w:t>(6)(c) exclusion</w:t>
      </w:r>
      <w:r w:rsidR="00C73519" w:rsidRPr="00D87FC1">
        <w:rPr>
          <w:b w:val="0"/>
          <w:bCs w:val="0"/>
        </w:rPr>
        <w:t xml:space="preserve"> (as they do not in themselves amount to sexual infidelity)</w:t>
      </w:r>
      <w:r w:rsidR="009A6BA2" w:rsidRPr="00D87FC1">
        <w:rPr>
          <w:b w:val="0"/>
          <w:bCs w:val="0"/>
        </w:rPr>
        <w:t xml:space="preserve">. Hence, this example in no way strengthens the argument being developed. Second, </w:t>
      </w:r>
      <w:r w:rsidR="009576DE" w:rsidRPr="00D87FC1">
        <w:rPr>
          <w:b w:val="0"/>
          <w:bCs w:val="0"/>
        </w:rPr>
        <w:t xml:space="preserve">how </w:t>
      </w:r>
      <w:r w:rsidR="001368CE" w:rsidRPr="00D87FC1">
        <w:rPr>
          <w:b w:val="0"/>
          <w:bCs w:val="0"/>
        </w:rPr>
        <w:t>would it be possible to know that the abuse suffered was not a significant factor in the loss of control, and likewise that the defendant would otherwise have continued to put up with the abuse</w:t>
      </w:r>
      <w:r w:rsidR="001E6F71" w:rsidRPr="00D87FC1">
        <w:rPr>
          <w:b w:val="0"/>
          <w:bCs w:val="0"/>
        </w:rPr>
        <w:t>?</w:t>
      </w:r>
      <w:r w:rsidR="001368CE" w:rsidRPr="00D87FC1">
        <w:rPr>
          <w:b w:val="0"/>
          <w:bCs w:val="0"/>
        </w:rPr>
        <w:t xml:space="preserve"> These are fictions generated to </w:t>
      </w:r>
      <w:r w:rsidR="00F84F62" w:rsidRPr="00D87FC1">
        <w:rPr>
          <w:b w:val="0"/>
          <w:bCs w:val="0"/>
        </w:rPr>
        <w:t xml:space="preserve">justify </w:t>
      </w:r>
      <w:r w:rsidR="007F201E" w:rsidRPr="00D87FC1">
        <w:rPr>
          <w:b w:val="0"/>
          <w:bCs w:val="0"/>
        </w:rPr>
        <w:t>permitting sexual infidelity to be a factor in th</w:t>
      </w:r>
      <w:r w:rsidR="00ED183E" w:rsidRPr="00D87FC1">
        <w:rPr>
          <w:b w:val="0"/>
          <w:bCs w:val="0"/>
        </w:rPr>
        <w:t>e</w:t>
      </w:r>
      <w:r w:rsidR="007F201E" w:rsidRPr="00D87FC1">
        <w:rPr>
          <w:b w:val="0"/>
          <w:bCs w:val="0"/>
        </w:rPr>
        <w:t xml:space="preserve"> case</w:t>
      </w:r>
      <w:r w:rsidR="00ED183E" w:rsidRPr="00D87FC1">
        <w:rPr>
          <w:b w:val="0"/>
          <w:bCs w:val="0"/>
        </w:rPr>
        <w:t xml:space="preserve"> at hand</w:t>
      </w:r>
      <w:r w:rsidR="00CD3080" w:rsidRPr="00D87FC1">
        <w:rPr>
          <w:b w:val="0"/>
          <w:bCs w:val="0"/>
        </w:rPr>
        <w:t xml:space="preserve"> and arguabl</w:t>
      </w:r>
      <w:r w:rsidR="0077436E" w:rsidRPr="00D87FC1">
        <w:rPr>
          <w:b w:val="0"/>
          <w:bCs w:val="0"/>
        </w:rPr>
        <w:t>y</w:t>
      </w:r>
      <w:r w:rsidR="00CD3080" w:rsidRPr="00D87FC1">
        <w:rPr>
          <w:b w:val="0"/>
          <w:bCs w:val="0"/>
        </w:rPr>
        <w:t xml:space="preserve"> stem from the ongoing requirement </w:t>
      </w:r>
      <w:r w:rsidR="00454A8B" w:rsidRPr="00D87FC1">
        <w:rPr>
          <w:b w:val="0"/>
          <w:bCs w:val="0"/>
        </w:rPr>
        <w:t>of</w:t>
      </w:r>
      <w:r w:rsidR="00CD3080" w:rsidRPr="00D87FC1">
        <w:rPr>
          <w:b w:val="0"/>
          <w:bCs w:val="0"/>
        </w:rPr>
        <w:t xml:space="preserve"> a loss of control which is triggered by a </w:t>
      </w:r>
      <w:r w:rsidR="00686540" w:rsidRPr="00D87FC1">
        <w:rPr>
          <w:b w:val="0"/>
          <w:bCs w:val="0"/>
        </w:rPr>
        <w:t xml:space="preserve">specific </w:t>
      </w:r>
      <w:r w:rsidR="00CD3080" w:rsidRPr="00D87FC1">
        <w:rPr>
          <w:b w:val="0"/>
          <w:bCs w:val="0"/>
        </w:rPr>
        <w:t xml:space="preserve">event, which fails to capture the lived reality of </w:t>
      </w:r>
      <w:r w:rsidR="00454A8B" w:rsidRPr="00D87FC1">
        <w:rPr>
          <w:b w:val="0"/>
          <w:bCs w:val="0"/>
        </w:rPr>
        <w:t>abusive relationships.</w:t>
      </w:r>
      <w:r w:rsidR="00CD3080" w:rsidRPr="00D87FC1">
        <w:rPr>
          <w:b w:val="0"/>
          <w:bCs w:val="0"/>
        </w:rPr>
        <w:t xml:space="preserve"> </w:t>
      </w:r>
      <w:r w:rsidR="007F201E" w:rsidRPr="00D87FC1">
        <w:rPr>
          <w:b w:val="0"/>
          <w:bCs w:val="0"/>
        </w:rPr>
        <w:t xml:space="preserve">Using the plight of an abused woman </w:t>
      </w:r>
      <w:r w:rsidR="00EA3CCB" w:rsidRPr="00D87FC1">
        <w:rPr>
          <w:b w:val="0"/>
          <w:bCs w:val="0"/>
        </w:rPr>
        <w:t xml:space="preserve">to </w:t>
      </w:r>
      <w:r w:rsidR="00FC2855" w:rsidRPr="00D87FC1">
        <w:rPr>
          <w:b w:val="0"/>
          <w:bCs w:val="0"/>
        </w:rPr>
        <w:t xml:space="preserve">permit an interpretation of the law to </w:t>
      </w:r>
      <w:r w:rsidR="00DE1184" w:rsidRPr="00D87FC1">
        <w:rPr>
          <w:b w:val="0"/>
          <w:bCs w:val="0"/>
        </w:rPr>
        <w:t xml:space="preserve">mitigate </w:t>
      </w:r>
      <w:r w:rsidR="00E057AD" w:rsidRPr="00D87FC1">
        <w:rPr>
          <w:b w:val="0"/>
          <w:bCs w:val="0"/>
        </w:rPr>
        <w:t xml:space="preserve">the situation in which men frequently kill women, </w:t>
      </w:r>
      <w:proofErr w:type="gramStart"/>
      <w:r w:rsidR="00E057AD" w:rsidRPr="00D87FC1">
        <w:rPr>
          <w:b w:val="0"/>
          <w:bCs w:val="0"/>
        </w:rPr>
        <w:t>despite the fact that</w:t>
      </w:r>
      <w:proofErr w:type="gramEnd"/>
      <w:r w:rsidR="00511C5A" w:rsidRPr="00D87FC1">
        <w:rPr>
          <w:b w:val="0"/>
          <w:bCs w:val="0"/>
        </w:rPr>
        <w:t xml:space="preserve"> the government had expressly excluded such a scenario, </w:t>
      </w:r>
      <w:r w:rsidR="00692BD1" w:rsidRPr="00D87FC1">
        <w:rPr>
          <w:b w:val="0"/>
          <w:bCs w:val="0"/>
        </w:rPr>
        <w:t xml:space="preserve">is </w:t>
      </w:r>
      <w:r w:rsidR="000A503C" w:rsidRPr="00D87FC1">
        <w:rPr>
          <w:b w:val="0"/>
          <w:bCs w:val="0"/>
        </w:rPr>
        <w:t>an unethical use of vulnerability</w:t>
      </w:r>
      <w:r w:rsidR="00511C5A" w:rsidRPr="00D87FC1">
        <w:rPr>
          <w:b w:val="0"/>
          <w:bCs w:val="0"/>
        </w:rPr>
        <w:t xml:space="preserve"> and a</w:t>
      </w:r>
      <w:r w:rsidR="00933B71" w:rsidRPr="00D87FC1">
        <w:rPr>
          <w:b w:val="0"/>
          <w:bCs w:val="0"/>
        </w:rPr>
        <w:t>rguable</w:t>
      </w:r>
      <w:r w:rsidR="00511C5A" w:rsidRPr="00D87FC1">
        <w:rPr>
          <w:b w:val="0"/>
          <w:bCs w:val="0"/>
        </w:rPr>
        <w:t xml:space="preserve"> highlights </w:t>
      </w:r>
      <w:r w:rsidR="00933B71" w:rsidRPr="00D87FC1">
        <w:rPr>
          <w:b w:val="0"/>
          <w:bCs w:val="0"/>
        </w:rPr>
        <w:t xml:space="preserve">how the law </w:t>
      </w:r>
      <w:r w:rsidR="001739AF" w:rsidRPr="00D87FC1">
        <w:rPr>
          <w:b w:val="0"/>
          <w:bCs w:val="0"/>
        </w:rPr>
        <w:t xml:space="preserve">continues to </w:t>
      </w:r>
      <w:r w:rsidR="005B63C5" w:rsidRPr="00D87FC1">
        <w:rPr>
          <w:b w:val="0"/>
          <w:bCs w:val="0"/>
        </w:rPr>
        <w:t>exclude the lived reality of abused women.</w:t>
      </w:r>
      <w:r w:rsidR="000A503C" w:rsidRPr="00D87FC1">
        <w:rPr>
          <w:b w:val="0"/>
          <w:bCs w:val="0"/>
        </w:rPr>
        <w:t xml:space="preserve"> </w:t>
      </w:r>
      <w:r w:rsidR="00A7404C" w:rsidRPr="00D87FC1">
        <w:rPr>
          <w:b w:val="0"/>
          <w:bCs w:val="0"/>
        </w:rPr>
        <w:t xml:space="preserve">Overall, through </w:t>
      </w:r>
      <w:r w:rsidR="00E66BFE" w:rsidRPr="00D87FC1">
        <w:rPr>
          <w:b w:val="0"/>
          <w:bCs w:val="0"/>
          <w:i/>
          <w:iCs/>
        </w:rPr>
        <w:t xml:space="preserve">R v </w:t>
      </w:r>
      <w:r w:rsidR="00A7404C" w:rsidRPr="00D87FC1">
        <w:rPr>
          <w:b w:val="0"/>
          <w:bCs w:val="0"/>
          <w:i/>
          <w:iCs/>
        </w:rPr>
        <w:t>Clinton</w:t>
      </w:r>
      <w:r w:rsidR="00B44829" w:rsidRPr="00D87FC1">
        <w:rPr>
          <w:b w:val="0"/>
          <w:bCs w:val="0"/>
        </w:rPr>
        <w:t>,</w:t>
      </w:r>
      <w:r w:rsidR="00A7404C" w:rsidRPr="00D87FC1">
        <w:rPr>
          <w:b w:val="0"/>
          <w:bCs w:val="0"/>
        </w:rPr>
        <w:t xml:space="preserve"> we can see the </w:t>
      </w:r>
      <w:r w:rsidR="006C0542" w:rsidRPr="00D87FC1">
        <w:rPr>
          <w:b w:val="0"/>
          <w:bCs w:val="0"/>
        </w:rPr>
        <w:t>perpetuation</w:t>
      </w:r>
      <w:r w:rsidR="00A7404C" w:rsidRPr="00D87FC1">
        <w:rPr>
          <w:b w:val="0"/>
          <w:bCs w:val="0"/>
        </w:rPr>
        <w:t xml:space="preserve"> of certain gendered scripts pertaining to </w:t>
      </w:r>
      <w:r w:rsidR="00F34463" w:rsidRPr="00D87FC1">
        <w:rPr>
          <w:b w:val="0"/>
          <w:bCs w:val="0"/>
        </w:rPr>
        <w:t xml:space="preserve">(male) </w:t>
      </w:r>
      <w:r w:rsidR="003F40E9" w:rsidRPr="00D87FC1">
        <w:rPr>
          <w:b w:val="0"/>
          <w:bCs w:val="0"/>
        </w:rPr>
        <w:t xml:space="preserve">reactions to </w:t>
      </w:r>
      <w:r w:rsidR="00F34463" w:rsidRPr="00D87FC1">
        <w:rPr>
          <w:b w:val="0"/>
          <w:bCs w:val="0"/>
        </w:rPr>
        <w:t xml:space="preserve">(female) </w:t>
      </w:r>
      <w:r w:rsidR="003F40E9" w:rsidRPr="00D87FC1">
        <w:rPr>
          <w:b w:val="0"/>
          <w:bCs w:val="0"/>
        </w:rPr>
        <w:t>sexual infidelity</w:t>
      </w:r>
      <w:r w:rsidR="005345EE" w:rsidRPr="00D87FC1">
        <w:rPr>
          <w:b w:val="0"/>
          <w:bCs w:val="0"/>
        </w:rPr>
        <w:t xml:space="preserve">, despite the express exclusion of such conduct by the </w:t>
      </w:r>
      <w:r w:rsidR="005002F0" w:rsidRPr="00D87FC1">
        <w:rPr>
          <w:b w:val="0"/>
          <w:bCs w:val="0"/>
        </w:rPr>
        <w:t>g</w:t>
      </w:r>
      <w:r w:rsidR="005345EE" w:rsidRPr="00D87FC1">
        <w:rPr>
          <w:b w:val="0"/>
          <w:bCs w:val="0"/>
        </w:rPr>
        <w:t xml:space="preserve">overnment. This, it is argued, demonstrates the </w:t>
      </w:r>
      <w:r w:rsidR="00031CF1" w:rsidRPr="00D87FC1">
        <w:rPr>
          <w:b w:val="0"/>
          <w:bCs w:val="0"/>
        </w:rPr>
        <w:t xml:space="preserve">ongoing </w:t>
      </w:r>
      <w:r w:rsidR="005345EE" w:rsidRPr="00D87FC1">
        <w:rPr>
          <w:b w:val="0"/>
          <w:bCs w:val="0"/>
        </w:rPr>
        <w:t>privileging of the</w:t>
      </w:r>
      <w:r w:rsidR="006C0542" w:rsidRPr="00D87FC1">
        <w:rPr>
          <w:b w:val="0"/>
          <w:bCs w:val="0"/>
        </w:rPr>
        <w:t xml:space="preserve"> </w:t>
      </w:r>
      <w:r w:rsidR="00031CF1" w:rsidRPr="00D87FC1">
        <w:rPr>
          <w:b w:val="0"/>
          <w:bCs w:val="0"/>
        </w:rPr>
        <w:t>masculine body.</w:t>
      </w:r>
    </w:p>
    <w:p w14:paraId="6F17FC7E" w14:textId="5CFEBAF3" w:rsidR="001F6B45" w:rsidRPr="00196118" w:rsidRDefault="00E67A1E" w:rsidP="00196118">
      <w:pPr>
        <w:pStyle w:val="Heading2"/>
        <w:rPr>
          <w:b/>
          <w:bCs/>
        </w:rPr>
      </w:pPr>
      <w:r w:rsidRPr="002B016D">
        <w:rPr>
          <w:b/>
          <w:bCs/>
          <w:i w:val="0"/>
          <w:iCs w:val="0"/>
        </w:rPr>
        <w:t>Relationship Breakdown</w:t>
      </w:r>
      <w:r w:rsidR="00FB15A7" w:rsidRPr="002B016D">
        <w:rPr>
          <w:b/>
          <w:bCs/>
          <w:i w:val="0"/>
          <w:iCs w:val="0"/>
        </w:rPr>
        <w:t xml:space="preserve"> (1)</w:t>
      </w:r>
      <w:r w:rsidR="00BF38EA" w:rsidRPr="002B016D">
        <w:rPr>
          <w:b/>
          <w:bCs/>
          <w:i w:val="0"/>
          <w:iCs w:val="0"/>
        </w:rPr>
        <w:t>: Finding Loss of Control</w:t>
      </w:r>
    </w:p>
    <w:p w14:paraId="4DEFBCFB" w14:textId="3356DFB5" w:rsidR="00FF27B1" w:rsidRPr="00196118" w:rsidRDefault="00DA0296" w:rsidP="003D25D4">
      <w:pPr>
        <w:autoSpaceDE w:val="0"/>
        <w:autoSpaceDN w:val="0"/>
        <w:adjustRightInd w:val="0"/>
        <w:spacing w:line="360" w:lineRule="auto"/>
        <w:contextualSpacing/>
        <w:jc w:val="both"/>
        <w:rPr>
          <w:b w:val="0"/>
          <w:bCs w:val="0"/>
        </w:rPr>
      </w:pPr>
      <w:r w:rsidRPr="00196118">
        <w:rPr>
          <w:b w:val="0"/>
          <w:bCs w:val="0"/>
        </w:rPr>
        <w:t xml:space="preserve">Following on from </w:t>
      </w:r>
      <w:r w:rsidR="000450F3" w:rsidRPr="00196118">
        <w:rPr>
          <w:b w:val="0"/>
          <w:bCs w:val="0"/>
          <w:i/>
          <w:iCs/>
        </w:rPr>
        <w:t xml:space="preserve">R v </w:t>
      </w:r>
      <w:r w:rsidRPr="00196118">
        <w:rPr>
          <w:b w:val="0"/>
          <w:bCs w:val="0"/>
          <w:i/>
          <w:iCs/>
        </w:rPr>
        <w:t>Clinton</w:t>
      </w:r>
      <w:r w:rsidR="00345C56" w:rsidRPr="00196118">
        <w:rPr>
          <w:b w:val="0"/>
          <w:bCs w:val="0"/>
          <w:i/>
          <w:iCs/>
        </w:rPr>
        <w:t>,</w:t>
      </w:r>
      <w:r w:rsidR="008C1DBB" w:rsidRPr="00196118">
        <w:rPr>
          <w:b w:val="0"/>
          <w:bCs w:val="0"/>
          <w:i/>
          <w:iCs/>
        </w:rPr>
        <w:t xml:space="preserve"> </w:t>
      </w:r>
      <w:r w:rsidR="00A4589E" w:rsidRPr="00196118">
        <w:rPr>
          <w:b w:val="0"/>
          <w:bCs w:val="0"/>
        </w:rPr>
        <w:t>there</w:t>
      </w:r>
      <w:r w:rsidR="001F7A95" w:rsidRPr="00196118">
        <w:rPr>
          <w:b w:val="0"/>
          <w:bCs w:val="0"/>
        </w:rPr>
        <w:t xml:space="preserve"> are</w:t>
      </w:r>
      <w:r w:rsidR="00A4589E" w:rsidRPr="00196118">
        <w:rPr>
          <w:b w:val="0"/>
          <w:bCs w:val="0"/>
        </w:rPr>
        <w:t xml:space="preserve"> two </w:t>
      </w:r>
      <w:r w:rsidR="00345C56" w:rsidRPr="00196118">
        <w:rPr>
          <w:b w:val="0"/>
          <w:bCs w:val="0"/>
        </w:rPr>
        <w:t xml:space="preserve">other </w:t>
      </w:r>
      <w:r w:rsidR="00A4589E" w:rsidRPr="00196118">
        <w:rPr>
          <w:b w:val="0"/>
          <w:bCs w:val="0"/>
        </w:rPr>
        <w:t xml:space="preserve">Court of Appeal </w:t>
      </w:r>
      <w:r w:rsidR="00345C56" w:rsidRPr="00196118">
        <w:rPr>
          <w:b w:val="0"/>
          <w:bCs w:val="0"/>
        </w:rPr>
        <w:t xml:space="preserve">cases in which </w:t>
      </w:r>
      <w:r w:rsidR="00B03973" w:rsidRPr="00196118">
        <w:rPr>
          <w:b w:val="0"/>
          <w:bCs w:val="0"/>
        </w:rPr>
        <w:t>l</w:t>
      </w:r>
      <w:r w:rsidR="00345C56" w:rsidRPr="00196118">
        <w:rPr>
          <w:b w:val="0"/>
          <w:bCs w:val="0"/>
        </w:rPr>
        <w:t>oss of self-control was left to the jury</w:t>
      </w:r>
      <w:r w:rsidR="00727E9F" w:rsidRPr="00196118">
        <w:rPr>
          <w:b w:val="0"/>
          <w:bCs w:val="0"/>
        </w:rPr>
        <w:t xml:space="preserve"> where</w:t>
      </w:r>
      <w:r w:rsidR="00345C56" w:rsidRPr="00196118">
        <w:rPr>
          <w:b w:val="0"/>
          <w:bCs w:val="0"/>
        </w:rPr>
        <w:t xml:space="preserve"> the male defendant killed a female victim in the context of a relationship breakdown. </w:t>
      </w:r>
      <w:r w:rsidR="007334FF" w:rsidRPr="00196118">
        <w:rPr>
          <w:b w:val="0"/>
          <w:bCs w:val="0"/>
        </w:rPr>
        <w:t xml:space="preserve">Given the requirements of the defence, </w:t>
      </w:r>
      <w:proofErr w:type="gramStart"/>
      <w:r w:rsidR="007334FF" w:rsidRPr="00196118">
        <w:rPr>
          <w:b w:val="0"/>
          <w:bCs w:val="0"/>
        </w:rPr>
        <w:t>it is clear that in</w:t>
      </w:r>
      <w:proofErr w:type="gramEnd"/>
      <w:r w:rsidR="007334FF" w:rsidRPr="00196118">
        <w:rPr>
          <w:b w:val="0"/>
          <w:bCs w:val="0"/>
        </w:rPr>
        <w:t xml:space="preserve"> such cases the trial judge thought that</w:t>
      </w:r>
      <w:r w:rsidR="00BB0DA5" w:rsidRPr="00196118">
        <w:rPr>
          <w:b w:val="0"/>
          <w:bCs w:val="0"/>
        </w:rPr>
        <w:t xml:space="preserve"> </w:t>
      </w:r>
      <w:r w:rsidR="00B73E4A" w:rsidRPr="00196118">
        <w:rPr>
          <w:b w:val="0"/>
          <w:bCs w:val="0"/>
        </w:rPr>
        <w:t>a) the defendant suffered a loss of control and b) that he</w:t>
      </w:r>
      <w:r w:rsidR="00BB0DA5" w:rsidRPr="00196118">
        <w:rPr>
          <w:b w:val="0"/>
          <w:bCs w:val="0"/>
        </w:rPr>
        <w:t xml:space="preserve"> </w:t>
      </w:r>
      <w:r w:rsidR="005265C2" w:rsidRPr="00196118">
        <w:rPr>
          <w:b w:val="0"/>
          <w:bCs w:val="0"/>
        </w:rPr>
        <w:t>had a justifi</w:t>
      </w:r>
      <w:r w:rsidR="00C0669C" w:rsidRPr="00196118">
        <w:rPr>
          <w:b w:val="0"/>
          <w:bCs w:val="0"/>
        </w:rPr>
        <w:t>able</w:t>
      </w:r>
      <w:r w:rsidR="005265C2" w:rsidRPr="00196118">
        <w:rPr>
          <w:b w:val="0"/>
          <w:bCs w:val="0"/>
        </w:rPr>
        <w:t xml:space="preserve"> </w:t>
      </w:r>
      <w:r w:rsidR="005265C2" w:rsidRPr="00196118">
        <w:rPr>
          <w:b w:val="0"/>
          <w:bCs w:val="0"/>
        </w:rPr>
        <w:lastRenderedPageBreak/>
        <w:t>sense of being seriously wronged and reacted wi</w:t>
      </w:r>
      <w:r w:rsidR="001251B9" w:rsidRPr="00196118">
        <w:rPr>
          <w:b w:val="0"/>
          <w:bCs w:val="0"/>
        </w:rPr>
        <w:t xml:space="preserve">th </w:t>
      </w:r>
      <w:r w:rsidR="006C2E99" w:rsidRPr="00196118">
        <w:rPr>
          <w:b w:val="0"/>
          <w:bCs w:val="0"/>
        </w:rPr>
        <w:t>ordinary standards of tolerance and self-restraint. While there is perhaps a debate as to the theoretical underpinnings of the defence</w:t>
      </w:r>
      <w:r w:rsidR="00CB5586" w:rsidRPr="00196118">
        <w:rPr>
          <w:b w:val="0"/>
          <w:bCs w:val="0"/>
        </w:rPr>
        <w:t xml:space="preserve"> (Norrie</w:t>
      </w:r>
      <w:r w:rsidR="00846D6D" w:rsidRPr="00196118">
        <w:rPr>
          <w:b w:val="0"/>
          <w:bCs w:val="0"/>
        </w:rPr>
        <w:t>,</w:t>
      </w:r>
      <w:r w:rsidR="00CB5586" w:rsidRPr="00196118">
        <w:rPr>
          <w:b w:val="0"/>
          <w:bCs w:val="0"/>
        </w:rPr>
        <w:t xml:space="preserve"> 2010)</w:t>
      </w:r>
      <w:r w:rsidR="006C2E99" w:rsidRPr="00196118">
        <w:rPr>
          <w:b w:val="0"/>
          <w:bCs w:val="0"/>
        </w:rPr>
        <w:t xml:space="preserve">, the objective </w:t>
      </w:r>
      <w:r w:rsidR="00A36735" w:rsidRPr="00196118">
        <w:rPr>
          <w:b w:val="0"/>
          <w:bCs w:val="0"/>
        </w:rPr>
        <w:t>elements</w:t>
      </w:r>
      <w:r w:rsidR="006C2E99" w:rsidRPr="00196118">
        <w:rPr>
          <w:b w:val="0"/>
          <w:bCs w:val="0"/>
        </w:rPr>
        <w:t xml:space="preserve"> of the defence clearly indicate that </w:t>
      </w:r>
      <w:r w:rsidR="00FB406E" w:rsidRPr="00196118">
        <w:rPr>
          <w:b w:val="0"/>
          <w:bCs w:val="0"/>
        </w:rPr>
        <w:t xml:space="preserve">the </w:t>
      </w:r>
      <w:r w:rsidR="006C2E99" w:rsidRPr="00196118">
        <w:rPr>
          <w:b w:val="0"/>
          <w:bCs w:val="0"/>
        </w:rPr>
        <w:t>fatal reaction was</w:t>
      </w:r>
      <w:r w:rsidR="008C5E6C" w:rsidRPr="00196118">
        <w:rPr>
          <w:b w:val="0"/>
          <w:bCs w:val="0"/>
        </w:rPr>
        <w:t xml:space="preserve"> considered by the judge to be</w:t>
      </w:r>
      <w:r w:rsidR="006C2E99" w:rsidRPr="00196118">
        <w:rPr>
          <w:b w:val="0"/>
          <w:bCs w:val="0"/>
        </w:rPr>
        <w:t xml:space="preserve"> in some way justified. </w:t>
      </w:r>
      <w:r w:rsidR="008C5E6C" w:rsidRPr="00196118">
        <w:rPr>
          <w:b w:val="0"/>
          <w:bCs w:val="0"/>
        </w:rPr>
        <w:t>T</w:t>
      </w:r>
      <w:r w:rsidR="00C0669C" w:rsidRPr="00196118">
        <w:rPr>
          <w:b w:val="0"/>
          <w:bCs w:val="0"/>
        </w:rPr>
        <w:t xml:space="preserve">his sends out a message as to the </w:t>
      </w:r>
      <w:proofErr w:type="spellStart"/>
      <w:r w:rsidR="00C0669C" w:rsidRPr="00196118">
        <w:rPr>
          <w:b w:val="0"/>
          <w:bCs w:val="0"/>
        </w:rPr>
        <w:t>grievability</w:t>
      </w:r>
      <w:proofErr w:type="spellEnd"/>
      <w:r w:rsidR="00C0669C" w:rsidRPr="00196118">
        <w:rPr>
          <w:b w:val="0"/>
          <w:bCs w:val="0"/>
        </w:rPr>
        <w:t xml:space="preserve"> of the deceased, who </w:t>
      </w:r>
      <w:r w:rsidR="00D67303" w:rsidRPr="00196118">
        <w:rPr>
          <w:b w:val="0"/>
          <w:bCs w:val="0"/>
        </w:rPr>
        <w:t>is positioned as</w:t>
      </w:r>
      <w:r w:rsidR="00E37816" w:rsidRPr="00196118">
        <w:rPr>
          <w:b w:val="0"/>
          <w:bCs w:val="0"/>
        </w:rPr>
        <w:t xml:space="preserve"> inciting their demise</w:t>
      </w:r>
      <w:r w:rsidR="00D155F2" w:rsidRPr="00196118">
        <w:rPr>
          <w:b w:val="0"/>
          <w:bCs w:val="0"/>
        </w:rPr>
        <w:t xml:space="preserve"> and </w:t>
      </w:r>
      <w:r w:rsidR="006F292F" w:rsidRPr="00196118">
        <w:rPr>
          <w:b w:val="0"/>
          <w:bCs w:val="0"/>
        </w:rPr>
        <w:t>in turn perpetuat</w:t>
      </w:r>
      <w:r w:rsidR="008B48B1" w:rsidRPr="00196118">
        <w:rPr>
          <w:b w:val="0"/>
          <w:bCs w:val="0"/>
        </w:rPr>
        <w:t>es</w:t>
      </w:r>
      <w:r w:rsidR="006F292F" w:rsidRPr="00196118">
        <w:rPr>
          <w:b w:val="0"/>
          <w:bCs w:val="0"/>
        </w:rPr>
        <w:t xml:space="preserve"> </w:t>
      </w:r>
      <w:r w:rsidR="00F54BD7" w:rsidRPr="00196118">
        <w:rPr>
          <w:b w:val="0"/>
          <w:bCs w:val="0"/>
        </w:rPr>
        <w:t xml:space="preserve">the notion that it is </w:t>
      </w:r>
      <w:r w:rsidR="00D72965" w:rsidRPr="00196118">
        <w:rPr>
          <w:b w:val="0"/>
          <w:bCs w:val="0"/>
        </w:rPr>
        <w:t xml:space="preserve">in some way </w:t>
      </w:r>
      <w:r w:rsidR="00AC7F91" w:rsidRPr="00196118">
        <w:rPr>
          <w:b w:val="0"/>
          <w:bCs w:val="0"/>
        </w:rPr>
        <w:t>understand</w:t>
      </w:r>
      <w:r w:rsidR="008B48B1" w:rsidRPr="00196118">
        <w:rPr>
          <w:b w:val="0"/>
          <w:bCs w:val="0"/>
        </w:rPr>
        <w:t>able</w:t>
      </w:r>
      <w:r w:rsidR="00F54BD7" w:rsidRPr="00196118">
        <w:rPr>
          <w:b w:val="0"/>
          <w:bCs w:val="0"/>
        </w:rPr>
        <w:t xml:space="preserve"> for men to kill their partners in cases involving relationship breakdown</w:t>
      </w:r>
      <w:r w:rsidR="00A04A7A" w:rsidRPr="00196118">
        <w:rPr>
          <w:b w:val="0"/>
          <w:bCs w:val="0"/>
        </w:rPr>
        <w:t xml:space="preserve">. This, it is argued, </w:t>
      </w:r>
      <w:r w:rsidR="008B48B1" w:rsidRPr="00196118">
        <w:rPr>
          <w:b w:val="0"/>
          <w:bCs w:val="0"/>
        </w:rPr>
        <w:t>m</w:t>
      </w:r>
      <w:r w:rsidR="00A04A7A" w:rsidRPr="00196118">
        <w:rPr>
          <w:b w:val="0"/>
          <w:bCs w:val="0"/>
        </w:rPr>
        <w:t xml:space="preserve">aintains </w:t>
      </w:r>
      <w:r w:rsidR="008063C7" w:rsidRPr="00196118">
        <w:rPr>
          <w:b w:val="0"/>
          <w:bCs w:val="0"/>
        </w:rPr>
        <w:t xml:space="preserve">problematic </w:t>
      </w:r>
      <w:r w:rsidR="003B5D3E" w:rsidRPr="00196118">
        <w:rPr>
          <w:b w:val="0"/>
          <w:bCs w:val="0"/>
        </w:rPr>
        <w:t>gender scripts</w:t>
      </w:r>
      <w:r w:rsidR="00511728" w:rsidRPr="00196118">
        <w:rPr>
          <w:b w:val="0"/>
          <w:bCs w:val="0"/>
        </w:rPr>
        <w:t xml:space="preserve"> pertaining to heterosexual relationships.</w:t>
      </w:r>
    </w:p>
    <w:p w14:paraId="31AEBC9A" w14:textId="17862991" w:rsidR="002C0168" w:rsidRPr="00196118" w:rsidRDefault="002C0168" w:rsidP="003D25D4">
      <w:pPr>
        <w:autoSpaceDE w:val="0"/>
        <w:autoSpaceDN w:val="0"/>
        <w:adjustRightInd w:val="0"/>
        <w:spacing w:line="360" w:lineRule="auto"/>
        <w:contextualSpacing/>
        <w:jc w:val="both"/>
        <w:rPr>
          <w:b w:val="0"/>
          <w:bCs w:val="0"/>
        </w:rPr>
      </w:pPr>
    </w:p>
    <w:p w14:paraId="5D16ADE5" w14:textId="2B917C9F" w:rsidR="0091590F" w:rsidRPr="00D87FC1" w:rsidRDefault="002C0168" w:rsidP="00D87FC1">
      <w:pPr>
        <w:spacing w:line="360" w:lineRule="auto"/>
        <w:rPr>
          <w:b w:val="0"/>
          <w:bCs w:val="0"/>
          <w:color w:val="000000"/>
        </w:rPr>
      </w:pPr>
      <w:r w:rsidRPr="00196118">
        <w:rPr>
          <w:b w:val="0"/>
          <w:bCs w:val="0"/>
        </w:rPr>
        <w:t>The case of</w:t>
      </w:r>
      <w:r w:rsidR="00142BC9" w:rsidRPr="00196118">
        <w:rPr>
          <w:b w:val="0"/>
          <w:bCs w:val="0"/>
        </w:rPr>
        <w:t xml:space="preserve"> </w:t>
      </w:r>
      <w:r w:rsidR="00142BC9" w:rsidRPr="00196118">
        <w:rPr>
          <w:b w:val="0"/>
          <w:bCs w:val="0"/>
          <w:i/>
          <w:iCs/>
        </w:rPr>
        <w:t xml:space="preserve">R v </w:t>
      </w:r>
      <w:r w:rsidR="00142BC9" w:rsidRPr="002B016D">
        <w:rPr>
          <w:b w:val="0"/>
          <w:bCs w:val="0"/>
          <w:i/>
          <w:iCs/>
          <w:color w:val="000000"/>
        </w:rPr>
        <w:t xml:space="preserve">Bird </w:t>
      </w:r>
      <w:r w:rsidR="00142BC9" w:rsidRPr="002B016D">
        <w:rPr>
          <w:b w:val="0"/>
          <w:bCs w:val="0"/>
          <w:color w:val="000000"/>
        </w:rPr>
        <w:t>[2012] EWCA Crim 1613</w:t>
      </w:r>
      <w:r w:rsidRPr="00D87FC1">
        <w:rPr>
          <w:b w:val="0"/>
          <w:bCs w:val="0"/>
          <w:i/>
          <w:iCs/>
        </w:rPr>
        <w:t xml:space="preserve"> </w:t>
      </w:r>
      <w:r w:rsidRPr="00D87FC1">
        <w:rPr>
          <w:b w:val="0"/>
          <w:bCs w:val="0"/>
        </w:rPr>
        <w:t>involved a</w:t>
      </w:r>
      <w:r w:rsidR="00E91E63" w:rsidRPr="00D87FC1">
        <w:rPr>
          <w:b w:val="0"/>
          <w:bCs w:val="0"/>
        </w:rPr>
        <w:t xml:space="preserve">n appeal against </w:t>
      </w:r>
      <w:r w:rsidR="00441F15" w:rsidRPr="00D87FC1">
        <w:rPr>
          <w:b w:val="0"/>
          <w:bCs w:val="0"/>
        </w:rPr>
        <w:t xml:space="preserve">the </w:t>
      </w:r>
      <w:r w:rsidR="00E91E63" w:rsidRPr="00D87FC1">
        <w:rPr>
          <w:b w:val="0"/>
          <w:bCs w:val="0"/>
        </w:rPr>
        <w:t>sentence of 9 years</w:t>
      </w:r>
      <w:r w:rsidR="0068565D" w:rsidRPr="00D87FC1">
        <w:rPr>
          <w:b w:val="0"/>
          <w:bCs w:val="0"/>
        </w:rPr>
        <w:t xml:space="preserve">’ </w:t>
      </w:r>
      <w:r w:rsidR="00F924C6" w:rsidRPr="00D87FC1">
        <w:rPr>
          <w:b w:val="0"/>
          <w:bCs w:val="0"/>
        </w:rPr>
        <w:t>imprisonment</w:t>
      </w:r>
      <w:r w:rsidR="0068565D" w:rsidRPr="00D87FC1">
        <w:rPr>
          <w:b w:val="0"/>
          <w:bCs w:val="0"/>
        </w:rPr>
        <w:t>. The</w:t>
      </w:r>
      <w:r w:rsidR="00E91E63" w:rsidRPr="00D87FC1">
        <w:rPr>
          <w:b w:val="0"/>
          <w:bCs w:val="0"/>
        </w:rPr>
        <w:t xml:space="preserve"> defendant </w:t>
      </w:r>
      <w:r w:rsidR="00F37D70" w:rsidRPr="00D87FC1">
        <w:rPr>
          <w:b w:val="0"/>
          <w:bCs w:val="0"/>
        </w:rPr>
        <w:t xml:space="preserve">pleaded guilty to manslaughter </w:t>
      </w:r>
      <w:proofErr w:type="gramStart"/>
      <w:r w:rsidR="00F37D70" w:rsidRPr="00D87FC1">
        <w:rPr>
          <w:b w:val="0"/>
          <w:bCs w:val="0"/>
        </w:rPr>
        <w:t>on the basis of</w:t>
      </w:r>
      <w:proofErr w:type="gramEnd"/>
      <w:r w:rsidR="00F37D70" w:rsidRPr="00D87FC1">
        <w:rPr>
          <w:b w:val="0"/>
          <w:bCs w:val="0"/>
        </w:rPr>
        <w:t xml:space="preserve"> loss of control, after </w:t>
      </w:r>
      <w:r w:rsidR="0068565D" w:rsidRPr="00D87FC1">
        <w:rPr>
          <w:b w:val="0"/>
          <w:bCs w:val="0"/>
        </w:rPr>
        <w:t xml:space="preserve">fatally </w:t>
      </w:r>
      <w:r w:rsidR="00F37D70" w:rsidRPr="00D87FC1">
        <w:rPr>
          <w:b w:val="0"/>
          <w:bCs w:val="0"/>
        </w:rPr>
        <w:t>stabb</w:t>
      </w:r>
      <w:r w:rsidR="0068565D" w:rsidRPr="00D87FC1">
        <w:rPr>
          <w:b w:val="0"/>
          <w:bCs w:val="0"/>
        </w:rPr>
        <w:t>ing</w:t>
      </w:r>
      <w:r w:rsidR="00F37D70" w:rsidRPr="00D87FC1">
        <w:rPr>
          <w:b w:val="0"/>
          <w:bCs w:val="0"/>
        </w:rPr>
        <w:t xml:space="preserve"> his girlfriend</w:t>
      </w:r>
      <w:r w:rsidR="00330D96" w:rsidRPr="00D87FC1">
        <w:rPr>
          <w:b w:val="0"/>
          <w:bCs w:val="0"/>
        </w:rPr>
        <w:t xml:space="preserve"> of 20 years</w:t>
      </w:r>
      <w:r w:rsidR="0068565D" w:rsidRPr="00D87FC1">
        <w:rPr>
          <w:b w:val="0"/>
          <w:bCs w:val="0"/>
        </w:rPr>
        <w:t>,</w:t>
      </w:r>
      <w:r w:rsidR="00DF2880" w:rsidRPr="00D87FC1">
        <w:rPr>
          <w:b w:val="0"/>
          <w:bCs w:val="0"/>
        </w:rPr>
        <w:t xml:space="preserve"> </w:t>
      </w:r>
      <w:r w:rsidR="00330D96" w:rsidRPr="00D87FC1">
        <w:rPr>
          <w:b w:val="0"/>
          <w:bCs w:val="0"/>
        </w:rPr>
        <w:t xml:space="preserve">with whom he had two daughters aged 17 and 21. The relationship is described as being </w:t>
      </w:r>
      <w:r w:rsidR="00B31A44">
        <w:rPr>
          <w:b w:val="0"/>
          <w:bCs w:val="0"/>
        </w:rPr>
        <w:t>“</w:t>
      </w:r>
      <w:r w:rsidR="00330D96" w:rsidRPr="00D87FC1">
        <w:rPr>
          <w:b w:val="0"/>
          <w:bCs w:val="0"/>
        </w:rPr>
        <w:t>volatile</w:t>
      </w:r>
      <w:r w:rsidR="00B31A44">
        <w:rPr>
          <w:b w:val="0"/>
          <w:bCs w:val="0"/>
        </w:rPr>
        <w:t>”</w:t>
      </w:r>
      <w:r w:rsidR="00330D96" w:rsidRPr="00D87FC1">
        <w:rPr>
          <w:b w:val="0"/>
          <w:bCs w:val="0"/>
        </w:rPr>
        <w:t xml:space="preserve"> and with both parties being heavy drinkers. The </w:t>
      </w:r>
      <w:r w:rsidR="003F3D97" w:rsidRPr="00D87FC1">
        <w:rPr>
          <w:b w:val="0"/>
          <w:bCs w:val="0"/>
        </w:rPr>
        <w:t>v</w:t>
      </w:r>
      <w:r w:rsidR="00330D96" w:rsidRPr="00D87FC1">
        <w:rPr>
          <w:b w:val="0"/>
          <w:bCs w:val="0"/>
        </w:rPr>
        <w:t xml:space="preserve">ictim had </w:t>
      </w:r>
      <w:r w:rsidR="00D32F7F" w:rsidRPr="00D87FC1">
        <w:rPr>
          <w:b w:val="0"/>
          <w:bCs w:val="0"/>
        </w:rPr>
        <w:t xml:space="preserve">complained to friends that the appellant was </w:t>
      </w:r>
      <w:r w:rsidR="008C50F5">
        <w:rPr>
          <w:b w:val="0"/>
          <w:bCs w:val="0"/>
        </w:rPr>
        <w:t>“</w:t>
      </w:r>
      <w:r w:rsidR="00D32F7F" w:rsidRPr="00D87FC1">
        <w:rPr>
          <w:b w:val="0"/>
          <w:bCs w:val="0"/>
        </w:rPr>
        <w:t>jealous and controlling</w:t>
      </w:r>
      <w:r w:rsidR="008C50F5">
        <w:rPr>
          <w:b w:val="0"/>
          <w:bCs w:val="0"/>
        </w:rPr>
        <w:t>”</w:t>
      </w:r>
      <w:r w:rsidR="003F3D97" w:rsidRPr="00D87FC1">
        <w:rPr>
          <w:b w:val="0"/>
          <w:bCs w:val="0"/>
        </w:rPr>
        <w:t>, a</w:t>
      </w:r>
      <w:r w:rsidR="00D32F7F" w:rsidRPr="00D87FC1">
        <w:rPr>
          <w:b w:val="0"/>
          <w:bCs w:val="0"/>
        </w:rPr>
        <w:t xml:space="preserve">nd she is described as </w:t>
      </w:r>
      <w:r w:rsidR="008C50F5">
        <w:rPr>
          <w:b w:val="0"/>
          <w:bCs w:val="0"/>
        </w:rPr>
        <w:t>“</w:t>
      </w:r>
      <w:r w:rsidR="00D32F7F" w:rsidRPr="00D87FC1">
        <w:rPr>
          <w:b w:val="0"/>
          <w:bCs w:val="0"/>
        </w:rPr>
        <w:t>loud and aggressive</w:t>
      </w:r>
      <w:r w:rsidR="008C50F5">
        <w:rPr>
          <w:b w:val="0"/>
          <w:bCs w:val="0"/>
        </w:rPr>
        <w:t>”</w:t>
      </w:r>
      <w:r w:rsidR="00D32F7F" w:rsidRPr="00D87FC1">
        <w:rPr>
          <w:b w:val="0"/>
          <w:bCs w:val="0"/>
        </w:rPr>
        <w:t xml:space="preserve"> when intoxicated. </w:t>
      </w:r>
      <w:r w:rsidR="00BD511A" w:rsidRPr="00D87FC1">
        <w:rPr>
          <w:b w:val="0"/>
          <w:bCs w:val="0"/>
        </w:rPr>
        <w:t xml:space="preserve">The judgment notes that the police had been called out to their house </w:t>
      </w:r>
      <w:r w:rsidR="00D04A6C" w:rsidRPr="00D87FC1">
        <w:rPr>
          <w:b w:val="0"/>
          <w:bCs w:val="0"/>
        </w:rPr>
        <w:t>“</w:t>
      </w:r>
      <w:r w:rsidR="00BD511A" w:rsidRPr="00D87FC1">
        <w:rPr>
          <w:b w:val="0"/>
          <w:bCs w:val="0"/>
        </w:rPr>
        <w:t>on many occasions as a result of domestic argument</w:t>
      </w:r>
      <w:r w:rsidR="00D04A6C" w:rsidRPr="00D87FC1">
        <w:rPr>
          <w:b w:val="0"/>
          <w:bCs w:val="0"/>
        </w:rPr>
        <w:t>s</w:t>
      </w:r>
      <w:r w:rsidR="007F0107" w:rsidRPr="00D87FC1">
        <w:rPr>
          <w:b w:val="0"/>
          <w:bCs w:val="0"/>
        </w:rPr>
        <w:t>”</w:t>
      </w:r>
      <w:r w:rsidR="00BD511A" w:rsidRPr="00D87FC1">
        <w:rPr>
          <w:b w:val="0"/>
          <w:bCs w:val="0"/>
        </w:rPr>
        <w:t xml:space="preserve"> following the consumption of alcohol by one or the</w:t>
      </w:r>
      <w:r w:rsidR="0079024A" w:rsidRPr="00D87FC1">
        <w:rPr>
          <w:b w:val="0"/>
          <w:bCs w:val="0"/>
        </w:rPr>
        <w:t xml:space="preserve"> other party</w:t>
      </w:r>
      <w:r w:rsidR="006E78DB" w:rsidRPr="00D87FC1">
        <w:rPr>
          <w:b w:val="0"/>
          <w:bCs w:val="0"/>
        </w:rPr>
        <w:t>, but further states</w:t>
      </w:r>
      <w:r w:rsidR="0079024A" w:rsidRPr="00D87FC1">
        <w:rPr>
          <w:b w:val="0"/>
          <w:bCs w:val="0"/>
        </w:rPr>
        <w:t xml:space="preserve"> </w:t>
      </w:r>
      <w:r w:rsidR="006E78DB" w:rsidRPr="00D87FC1">
        <w:rPr>
          <w:b w:val="0"/>
          <w:bCs w:val="0"/>
        </w:rPr>
        <w:t xml:space="preserve">that </w:t>
      </w:r>
      <w:r w:rsidR="007F0107" w:rsidRPr="00D87FC1">
        <w:rPr>
          <w:b w:val="0"/>
          <w:bCs w:val="0"/>
        </w:rPr>
        <w:t>“</w:t>
      </w:r>
      <w:r w:rsidR="00F61526" w:rsidRPr="00D87FC1">
        <w:rPr>
          <w:b w:val="0"/>
          <w:bCs w:val="0"/>
        </w:rPr>
        <w:t>allegations of domestic violence against the appellant had almost invariably</w:t>
      </w:r>
      <w:r w:rsidR="007F0107" w:rsidRPr="00D87FC1">
        <w:rPr>
          <w:b w:val="0"/>
          <w:bCs w:val="0"/>
        </w:rPr>
        <w:t>”</w:t>
      </w:r>
      <w:r w:rsidR="002F7608" w:rsidRPr="00D87FC1">
        <w:rPr>
          <w:b w:val="0"/>
          <w:bCs w:val="0"/>
        </w:rPr>
        <w:t xml:space="preserve"> no basis in fact</w:t>
      </w:r>
      <w:r w:rsidR="007F0107" w:rsidRPr="00D87FC1">
        <w:rPr>
          <w:b w:val="0"/>
          <w:bCs w:val="0"/>
        </w:rPr>
        <w:t xml:space="preserve"> (</w:t>
      </w:r>
      <w:r w:rsidR="00EB21E3" w:rsidRPr="00D87FC1">
        <w:rPr>
          <w:b w:val="0"/>
          <w:bCs w:val="0"/>
        </w:rPr>
        <w:t xml:space="preserve">at </w:t>
      </w:r>
      <w:r w:rsidR="007F0107" w:rsidRPr="00D87FC1">
        <w:rPr>
          <w:b w:val="0"/>
          <w:bCs w:val="0"/>
        </w:rPr>
        <w:t>para 2)</w:t>
      </w:r>
      <w:r w:rsidR="002F7608" w:rsidRPr="00D87FC1">
        <w:rPr>
          <w:b w:val="0"/>
          <w:bCs w:val="0"/>
        </w:rPr>
        <w:t xml:space="preserve">. </w:t>
      </w:r>
      <w:r w:rsidR="00B81C00" w:rsidRPr="00D87FC1">
        <w:rPr>
          <w:b w:val="0"/>
          <w:bCs w:val="0"/>
        </w:rPr>
        <w:t>However, given the fact that the police frequently fail to recogni</w:t>
      </w:r>
      <w:r w:rsidR="00196118">
        <w:rPr>
          <w:b w:val="0"/>
          <w:bCs w:val="0"/>
        </w:rPr>
        <w:t>s</w:t>
      </w:r>
      <w:r w:rsidR="00B81C00" w:rsidRPr="00D87FC1">
        <w:rPr>
          <w:b w:val="0"/>
          <w:bCs w:val="0"/>
        </w:rPr>
        <w:t>e and respond to domestic abuse</w:t>
      </w:r>
      <w:r w:rsidR="0091590F" w:rsidRPr="00D87FC1">
        <w:rPr>
          <w:b w:val="0"/>
          <w:bCs w:val="0"/>
        </w:rPr>
        <w:t xml:space="preserve">, </w:t>
      </w:r>
      <w:r w:rsidR="00DA78BD" w:rsidRPr="00D87FC1">
        <w:rPr>
          <w:b w:val="0"/>
          <w:bCs w:val="0"/>
        </w:rPr>
        <w:t>the assertion</w:t>
      </w:r>
      <w:r w:rsidR="00CB6613" w:rsidRPr="00D87FC1">
        <w:rPr>
          <w:b w:val="0"/>
          <w:bCs w:val="0"/>
        </w:rPr>
        <w:t xml:space="preserve"> that many</w:t>
      </w:r>
      <w:r w:rsidR="00032C56" w:rsidRPr="00D87FC1">
        <w:rPr>
          <w:b w:val="0"/>
          <w:bCs w:val="0"/>
        </w:rPr>
        <w:t xml:space="preserve"> allegations</w:t>
      </w:r>
      <w:r w:rsidR="00CB6613" w:rsidRPr="00D87FC1">
        <w:rPr>
          <w:b w:val="0"/>
          <w:bCs w:val="0"/>
        </w:rPr>
        <w:t xml:space="preserve"> may </w:t>
      </w:r>
      <w:r w:rsidR="00032C56" w:rsidRPr="00D87FC1">
        <w:rPr>
          <w:b w:val="0"/>
          <w:bCs w:val="0"/>
        </w:rPr>
        <w:t xml:space="preserve">have </w:t>
      </w:r>
      <w:r w:rsidR="00CB6613" w:rsidRPr="00D87FC1">
        <w:rPr>
          <w:b w:val="0"/>
          <w:bCs w:val="0"/>
        </w:rPr>
        <w:t>lack</w:t>
      </w:r>
      <w:r w:rsidR="00032C56" w:rsidRPr="00D87FC1">
        <w:rPr>
          <w:b w:val="0"/>
          <w:bCs w:val="0"/>
        </w:rPr>
        <w:t>ed</w:t>
      </w:r>
      <w:r w:rsidR="00CB6613" w:rsidRPr="00D87FC1">
        <w:rPr>
          <w:b w:val="0"/>
          <w:bCs w:val="0"/>
        </w:rPr>
        <w:t xml:space="preserve"> a basis in fact has to be treated with some caution.</w:t>
      </w:r>
      <w:r w:rsidR="0074036D" w:rsidRPr="00D87FC1">
        <w:rPr>
          <w:b w:val="0"/>
          <w:bCs w:val="0"/>
        </w:rPr>
        <w:t xml:space="preserve"> </w:t>
      </w:r>
    </w:p>
    <w:p w14:paraId="185817D3" w14:textId="77777777" w:rsidR="0091590F" w:rsidRPr="00D87FC1" w:rsidRDefault="0091590F" w:rsidP="003D25D4">
      <w:pPr>
        <w:autoSpaceDE w:val="0"/>
        <w:autoSpaceDN w:val="0"/>
        <w:adjustRightInd w:val="0"/>
        <w:spacing w:line="360" w:lineRule="auto"/>
        <w:contextualSpacing/>
        <w:jc w:val="both"/>
        <w:rPr>
          <w:b w:val="0"/>
          <w:bCs w:val="0"/>
        </w:rPr>
      </w:pPr>
    </w:p>
    <w:p w14:paraId="10F551B2" w14:textId="52407BCE" w:rsidR="002C0168" w:rsidRPr="00D87FC1" w:rsidRDefault="000104F8" w:rsidP="00782491">
      <w:pPr>
        <w:autoSpaceDE w:val="0"/>
        <w:autoSpaceDN w:val="0"/>
        <w:adjustRightInd w:val="0"/>
        <w:spacing w:line="360" w:lineRule="auto"/>
        <w:contextualSpacing/>
        <w:jc w:val="both"/>
        <w:rPr>
          <w:b w:val="0"/>
          <w:bCs w:val="0"/>
        </w:rPr>
      </w:pPr>
      <w:r w:rsidRPr="00D87FC1">
        <w:rPr>
          <w:b w:val="0"/>
          <w:bCs w:val="0"/>
        </w:rPr>
        <w:t xml:space="preserve">In his evidence, </w:t>
      </w:r>
      <w:r w:rsidR="0068565D" w:rsidRPr="00D87FC1">
        <w:rPr>
          <w:b w:val="0"/>
          <w:bCs w:val="0"/>
        </w:rPr>
        <w:t xml:space="preserve">Bird </w:t>
      </w:r>
      <w:r w:rsidRPr="00D87FC1">
        <w:rPr>
          <w:b w:val="0"/>
          <w:bCs w:val="0"/>
        </w:rPr>
        <w:t xml:space="preserve">stated that he lost control after the </w:t>
      </w:r>
      <w:r w:rsidR="00807D9B" w:rsidRPr="00D87FC1">
        <w:rPr>
          <w:b w:val="0"/>
          <w:bCs w:val="0"/>
        </w:rPr>
        <w:t xml:space="preserve">victim punched </w:t>
      </w:r>
      <w:r w:rsidR="00032C56" w:rsidRPr="00D87FC1">
        <w:rPr>
          <w:b w:val="0"/>
          <w:bCs w:val="0"/>
        </w:rPr>
        <w:t xml:space="preserve">him </w:t>
      </w:r>
      <w:r w:rsidR="00807D9B" w:rsidRPr="00D87FC1">
        <w:rPr>
          <w:b w:val="0"/>
          <w:bCs w:val="0"/>
        </w:rPr>
        <w:t>in the fac</w:t>
      </w:r>
      <w:r w:rsidR="00154ED7" w:rsidRPr="00D87FC1">
        <w:rPr>
          <w:b w:val="0"/>
          <w:bCs w:val="0"/>
        </w:rPr>
        <w:t xml:space="preserve">e and </w:t>
      </w:r>
      <w:r w:rsidR="0068565D" w:rsidRPr="00D87FC1">
        <w:rPr>
          <w:b w:val="0"/>
          <w:bCs w:val="0"/>
        </w:rPr>
        <w:t xml:space="preserve">approached </w:t>
      </w:r>
      <w:r w:rsidR="00154ED7" w:rsidRPr="00D87FC1">
        <w:rPr>
          <w:b w:val="0"/>
          <w:bCs w:val="0"/>
        </w:rPr>
        <w:t>him with a knife</w:t>
      </w:r>
      <w:r w:rsidR="002C5F29" w:rsidRPr="00D87FC1">
        <w:rPr>
          <w:b w:val="0"/>
          <w:bCs w:val="0"/>
        </w:rPr>
        <w:t>, which he then</w:t>
      </w:r>
      <w:r w:rsidR="00123586" w:rsidRPr="00D87FC1">
        <w:rPr>
          <w:b w:val="0"/>
          <w:bCs w:val="0"/>
        </w:rPr>
        <w:t xml:space="preserve"> used to</w:t>
      </w:r>
      <w:r w:rsidR="00C800ED" w:rsidRPr="00D87FC1">
        <w:rPr>
          <w:b w:val="0"/>
          <w:bCs w:val="0"/>
        </w:rPr>
        <w:t xml:space="preserve"> stab her. The </w:t>
      </w:r>
      <w:r w:rsidR="0068565D" w:rsidRPr="00D87FC1">
        <w:rPr>
          <w:b w:val="0"/>
          <w:bCs w:val="0"/>
        </w:rPr>
        <w:t>J</w:t>
      </w:r>
      <w:r w:rsidR="00C800ED" w:rsidRPr="00D87FC1">
        <w:rPr>
          <w:b w:val="0"/>
          <w:bCs w:val="0"/>
        </w:rPr>
        <w:t xml:space="preserve">udge noted that there was </w:t>
      </w:r>
      <w:r w:rsidR="00380350" w:rsidRPr="00D87FC1">
        <w:rPr>
          <w:b w:val="0"/>
          <w:bCs w:val="0"/>
        </w:rPr>
        <w:t>“</w:t>
      </w:r>
      <w:r w:rsidR="00C800ED" w:rsidRPr="00D87FC1">
        <w:rPr>
          <w:b w:val="0"/>
          <w:bCs w:val="0"/>
        </w:rPr>
        <w:t xml:space="preserve">nothing in the history of the relationship </w:t>
      </w:r>
      <w:r w:rsidR="004B4EEE" w:rsidRPr="00D87FC1">
        <w:rPr>
          <w:b w:val="0"/>
          <w:bCs w:val="0"/>
        </w:rPr>
        <w:t>constituted behaviour on the part of the deceased that could be relied upon in advancing the defence of loss of control</w:t>
      </w:r>
      <w:r w:rsidR="00380350" w:rsidRPr="00D87FC1">
        <w:rPr>
          <w:b w:val="0"/>
          <w:bCs w:val="0"/>
        </w:rPr>
        <w:t>”</w:t>
      </w:r>
      <w:r w:rsidR="00FB15A7" w:rsidRPr="00D87FC1">
        <w:rPr>
          <w:b w:val="0"/>
          <w:bCs w:val="0"/>
        </w:rPr>
        <w:t xml:space="preserve"> </w:t>
      </w:r>
      <w:r w:rsidR="004B4EEE" w:rsidRPr="00D87FC1">
        <w:rPr>
          <w:b w:val="0"/>
          <w:bCs w:val="0"/>
        </w:rPr>
        <w:t>(</w:t>
      </w:r>
      <w:r w:rsidR="00EB21E3" w:rsidRPr="00D87FC1">
        <w:rPr>
          <w:b w:val="0"/>
          <w:bCs w:val="0"/>
        </w:rPr>
        <w:t xml:space="preserve">at para </w:t>
      </w:r>
      <w:r w:rsidR="004B4EEE" w:rsidRPr="00D87FC1">
        <w:rPr>
          <w:b w:val="0"/>
          <w:bCs w:val="0"/>
        </w:rPr>
        <w:t>11)</w:t>
      </w:r>
      <w:r w:rsidR="003E3A6C" w:rsidRPr="00D87FC1">
        <w:rPr>
          <w:b w:val="0"/>
          <w:bCs w:val="0"/>
        </w:rPr>
        <w:t xml:space="preserve"> and further the </w:t>
      </w:r>
      <w:r w:rsidR="00412238" w:rsidRPr="00D87FC1">
        <w:rPr>
          <w:b w:val="0"/>
          <w:bCs w:val="0"/>
        </w:rPr>
        <w:t xml:space="preserve">Court of Appeal </w:t>
      </w:r>
      <w:r w:rsidR="003E3A6C" w:rsidRPr="00D87FC1">
        <w:rPr>
          <w:b w:val="0"/>
          <w:bCs w:val="0"/>
        </w:rPr>
        <w:t>commented</w:t>
      </w:r>
      <w:r w:rsidR="00E9268C" w:rsidRPr="00D87FC1">
        <w:rPr>
          <w:b w:val="0"/>
          <w:bCs w:val="0"/>
        </w:rPr>
        <w:t xml:space="preserve"> that</w:t>
      </w:r>
      <w:r w:rsidR="00412238" w:rsidRPr="00D87FC1">
        <w:rPr>
          <w:b w:val="0"/>
          <w:bCs w:val="0"/>
        </w:rPr>
        <w:t xml:space="preserve"> “</w:t>
      </w:r>
      <w:r w:rsidR="00D3357E" w:rsidRPr="00D87FC1">
        <w:rPr>
          <w:b w:val="0"/>
          <w:bCs w:val="0"/>
        </w:rPr>
        <w:t>the appellant had been able to disarm her quite easily and at that point she posed no further threat to him”</w:t>
      </w:r>
      <w:r w:rsidR="00333C1E" w:rsidRPr="00D87FC1">
        <w:rPr>
          <w:b w:val="0"/>
          <w:bCs w:val="0"/>
        </w:rPr>
        <w:t xml:space="preserve"> (</w:t>
      </w:r>
      <w:r w:rsidR="004F0775" w:rsidRPr="00D87FC1">
        <w:rPr>
          <w:b w:val="0"/>
          <w:bCs w:val="0"/>
        </w:rPr>
        <w:t xml:space="preserve">at </w:t>
      </w:r>
      <w:r w:rsidR="00333C1E" w:rsidRPr="00D87FC1">
        <w:rPr>
          <w:b w:val="0"/>
          <w:bCs w:val="0"/>
        </w:rPr>
        <w:t>para 16)</w:t>
      </w:r>
      <w:r w:rsidR="00D3357E" w:rsidRPr="00D87FC1">
        <w:rPr>
          <w:b w:val="0"/>
          <w:bCs w:val="0"/>
        </w:rPr>
        <w:t>. As such it is difficult to pinpoint the exact qualifying trigger</w:t>
      </w:r>
      <w:r w:rsidR="00FA660C" w:rsidRPr="00D87FC1">
        <w:rPr>
          <w:b w:val="0"/>
          <w:bCs w:val="0"/>
        </w:rPr>
        <w:t xml:space="preserve"> in this scenario. Was it anger based on things said and done, or a fear of serious violence, due to the altercation preceding the fatal attack?</w:t>
      </w:r>
      <w:r w:rsidR="00D3357E" w:rsidRPr="00D87FC1">
        <w:rPr>
          <w:b w:val="0"/>
          <w:bCs w:val="0"/>
        </w:rPr>
        <w:t xml:space="preserve"> </w:t>
      </w:r>
      <w:r w:rsidR="00A9420C" w:rsidRPr="00D87FC1">
        <w:rPr>
          <w:b w:val="0"/>
          <w:bCs w:val="0"/>
        </w:rPr>
        <w:t xml:space="preserve">Given the more restrictive and prescriptive nature of the loss of control offence, it can be queried why his plea was accepted. </w:t>
      </w:r>
      <w:r w:rsidR="007A10C0" w:rsidRPr="00D87FC1">
        <w:rPr>
          <w:b w:val="0"/>
          <w:bCs w:val="0"/>
        </w:rPr>
        <w:t xml:space="preserve">Perhaps what </w:t>
      </w:r>
      <w:r w:rsidR="00515216" w:rsidRPr="00D87FC1">
        <w:rPr>
          <w:b w:val="0"/>
          <w:bCs w:val="0"/>
        </w:rPr>
        <w:t>we can see here is the construction of the female victim as an unintelligible gender</w:t>
      </w:r>
      <w:r w:rsidR="00D41792" w:rsidRPr="00D87FC1">
        <w:rPr>
          <w:b w:val="0"/>
          <w:bCs w:val="0"/>
        </w:rPr>
        <w:t xml:space="preserve"> (Butler</w:t>
      </w:r>
      <w:r w:rsidR="00846D6D" w:rsidRPr="00D87FC1">
        <w:rPr>
          <w:b w:val="0"/>
          <w:bCs w:val="0"/>
        </w:rPr>
        <w:t>,</w:t>
      </w:r>
      <w:r w:rsidR="00D41792" w:rsidRPr="00D87FC1">
        <w:rPr>
          <w:b w:val="0"/>
          <w:bCs w:val="0"/>
        </w:rPr>
        <w:t xml:space="preserve"> 1999)</w:t>
      </w:r>
      <w:r w:rsidR="00515216" w:rsidRPr="00D87FC1">
        <w:rPr>
          <w:b w:val="0"/>
          <w:bCs w:val="0"/>
        </w:rPr>
        <w:t xml:space="preserve">, due to her contravention of </w:t>
      </w:r>
      <w:r w:rsidR="002033FB" w:rsidRPr="00D87FC1">
        <w:rPr>
          <w:b w:val="0"/>
          <w:bCs w:val="0"/>
        </w:rPr>
        <w:t xml:space="preserve">feminine </w:t>
      </w:r>
      <w:r w:rsidR="005B56C6" w:rsidRPr="00D87FC1">
        <w:rPr>
          <w:b w:val="0"/>
          <w:bCs w:val="0"/>
        </w:rPr>
        <w:t xml:space="preserve">gender </w:t>
      </w:r>
      <w:r w:rsidR="002033FB" w:rsidRPr="00D87FC1">
        <w:rPr>
          <w:b w:val="0"/>
          <w:bCs w:val="0"/>
        </w:rPr>
        <w:t>scripts</w:t>
      </w:r>
      <w:r w:rsidR="00252B42" w:rsidRPr="00D87FC1">
        <w:rPr>
          <w:b w:val="0"/>
          <w:bCs w:val="0"/>
        </w:rPr>
        <w:t xml:space="preserve">, particularly with </w:t>
      </w:r>
      <w:r w:rsidR="00197202" w:rsidRPr="00D87FC1">
        <w:rPr>
          <w:b w:val="0"/>
          <w:bCs w:val="0"/>
        </w:rPr>
        <w:t>respect</w:t>
      </w:r>
      <w:r w:rsidR="00252B42" w:rsidRPr="00D87FC1">
        <w:rPr>
          <w:b w:val="0"/>
          <w:bCs w:val="0"/>
        </w:rPr>
        <w:t xml:space="preserve"> to her drinking and her violent behaviour</w:t>
      </w:r>
      <w:r w:rsidR="004A04AF" w:rsidRPr="00D87FC1">
        <w:rPr>
          <w:b w:val="0"/>
          <w:bCs w:val="0"/>
        </w:rPr>
        <w:t xml:space="preserve"> (</w:t>
      </w:r>
      <w:r w:rsidR="00557843" w:rsidRPr="00D87FC1">
        <w:rPr>
          <w:b w:val="0"/>
          <w:bCs w:val="0"/>
        </w:rPr>
        <w:t>Carline</w:t>
      </w:r>
      <w:r w:rsidR="00846D6D" w:rsidRPr="00D87FC1">
        <w:rPr>
          <w:b w:val="0"/>
          <w:bCs w:val="0"/>
        </w:rPr>
        <w:t>,</w:t>
      </w:r>
      <w:r w:rsidR="00557843" w:rsidRPr="00D87FC1">
        <w:rPr>
          <w:b w:val="0"/>
          <w:bCs w:val="0"/>
        </w:rPr>
        <w:t xml:space="preserve"> </w:t>
      </w:r>
      <w:r w:rsidR="00614D57" w:rsidRPr="00D87FC1">
        <w:rPr>
          <w:b w:val="0"/>
          <w:bCs w:val="0"/>
        </w:rPr>
        <w:t>2005a</w:t>
      </w:r>
      <w:r w:rsidR="00593490">
        <w:rPr>
          <w:b w:val="0"/>
          <w:bCs w:val="0"/>
        </w:rPr>
        <w:t xml:space="preserve">, </w:t>
      </w:r>
      <w:r w:rsidR="00614D57" w:rsidRPr="00D87FC1">
        <w:rPr>
          <w:b w:val="0"/>
          <w:bCs w:val="0"/>
        </w:rPr>
        <w:t>2006</w:t>
      </w:r>
      <w:r w:rsidR="004A04AF" w:rsidRPr="00D87FC1">
        <w:rPr>
          <w:b w:val="0"/>
          <w:bCs w:val="0"/>
        </w:rPr>
        <w:t>)</w:t>
      </w:r>
      <w:r w:rsidR="00252B42" w:rsidRPr="00D87FC1">
        <w:rPr>
          <w:b w:val="0"/>
          <w:bCs w:val="0"/>
        </w:rPr>
        <w:t>.</w:t>
      </w:r>
      <w:r w:rsidR="002033FB" w:rsidRPr="00D87FC1">
        <w:rPr>
          <w:b w:val="0"/>
          <w:bCs w:val="0"/>
        </w:rPr>
        <w:t xml:space="preserve"> </w:t>
      </w:r>
      <w:r w:rsidR="0090483B" w:rsidRPr="00D87FC1">
        <w:rPr>
          <w:b w:val="0"/>
          <w:bCs w:val="0"/>
        </w:rPr>
        <w:t xml:space="preserve">In </w:t>
      </w:r>
      <w:r w:rsidR="0090483B" w:rsidRPr="00D87FC1">
        <w:rPr>
          <w:b w:val="0"/>
          <w:bCs w:val="0"/>
        </w:rPr>
        <w:lastRenderedPageBreak/>
        <w:t>this situation, it is argued that</w:t>
      </w:r>
      <w:r w:rsidR="002033FB" w:rsidRPr="00D87FC1">
        <w:rPr>
          <w:b w:val="0"/>
          <w:bCs w:val="0"/>
        </w:rPr>
        <w:t xml:space="preserve"> her vulnerability and </w:t>
      </w:r>
      <w:proofErr w:type="spellStart"/>
      <w:r w:rsidR="002033FB" w:rsidRPr="00D87FC1">
        <w:rPr>
          <w:b w:val="0"/>
          <w:bCs w:val="0"/>
        </w:rPr>
        <w:t>grievability</w:t>
      </w:r>
      <w:proofErr w:type="spellEnd"/>
      <w:r w:rsidR="002033FB" w:rsidRPr="00D87FC1">
        <w:rPr>
          <w:b w:val="0"/>
          <w:bCs w:val="0"/>
        </w:rPr>
        <w:t xml:space="preserve"> </w:t>
      </w:r>
      <w:r w:rsidR="00876ADC" w:rsidRPr="00D87FC1">
        <w:rPr>
          <w:b w:val="0"/>
          <w:bCs w:val="0"/>
        </w:rPr>
        <w:t>are</w:t>
      </w:r>
      <w:r w:rsidR="002033FB" w:rsidRPr="00D87FC1">
        <w:rPr>
          <w:b w:val="0"/>
          <w:bCs w:val="0"/>
        </w:rPr>
        <w:t xml:space="preserve"> not recogni</w:t>
      </w:r>
      <w:r w:rsidR="00196118">
        <w:rPr>
          <w:b w:val="0"/>
          <w:bCs w:val="0"/>
        </w:rPr>
        <w:t>s</w:t>
      </w:r>
      <w:r w:rsidR="002033FB" w:rsidRPr="00D87FC1">
        <w:rPr>
          <w:b w:val="0"/>
          <w:bCs w:val="0"/>
        </w:rPr>
        <w:t>ed by the law</w:t>
      </w:r>
      <w:r w:rsidR="00876ADC" w:rsidRPr="00D87FC1">
        <w:rPr>
          <w:b w:val="0"/>
          <w:bCs w:val="0"/>
        </w:rPr>
        <w:t xml:space="preserve">, but rather his violent response is </w:t>
      </w:r>
      <w:r w:rsidR="002033FB" w:rsidRPr="00D87FC1">
        <w:rPr>
          <w:b w:val="0"/>
          <w:bCs w:val="0"/>
        </w:rPr>
        <w:t>mitigated</w:t>
      </w:r>
      <w:r w:rsidR="009C6DE2" w:rsidRPr="00D87FC1">
        <w:rPr>
          <w:b w:val="0"/>
          <w:bCs w:val="0"/>
        </w:rPr>
        <w:t xml:space="preserve">. Indeed, </w:t>
      </w:r>
      <w:proofErr w:type="gramStart"/>
      <w:r w:rsidR="009C6DE2" w:rsidRPr="00D87FC1">
        <w:rPr>
          <w:b w:val="0"/>
          <w:bCs w:val="0"/>
        </w:rPr>
        <w:t>despite the fact that</w:t>
      </w:r>
      <w:proofErr w:type="gramEnd"/>
      <w:r w:rsidR="009C6DE2" w:rsidRPr="00D87FC1">
        <w:rPr>
          <w:b w:val="0"/>
          <w:bCs w:val="0"/>
        </w:rPr>
        <w:t xml:space="preserve"> the attack is described as “brutal” and as involving a “low degree” of provocation, the sentence of 9 years was reduced to 6 years and 8 months</w:t>
      </w:r>
      <w:r w:rsidR="006D11D7" w:rsidRPr="00D87FC1">
        <w:rPr>
          <w:b w:val="0"/>
          <w:bCs w:val="0"/>
        </w:rPr>
        <w:t>.</w:t>
      </w:r>
    </w:p>
    <w:p w14:paraId="62CC8291" w14:textId="5AB9E19F" w:rsidR="004826D0" w:rsidRPr="00D87FC1" w:rsidRDefault="004826D0" w:rsidP="003D25D4">
      <w:pPr>
        <w:autoSpaceDE w:val="0"/>
        <w:autoSpaceDN w:val="0"/>
        <w:adjustRightInd w:val="0"/>
        <w:spacing w:line="360" w:lineRule="auto"/>
        <w:contextualSpacing/>
        <w:jc w:val="both"/>
        <w:rPr>
          <w:b w:val="0"/>
          <w:bCs w:val="0"/>
        </w:rPr>
      </w:pPr>
    </w:p>
    <w:p w14:paraId="3D2B1057" w14:textId="0F16B3D7" w:rsidR="00D848C7" w:rsidRPr="00D87FC1" w:rsidRDefault="00D445B8" w:rsidP="00D87FC1">
      <w:pPr>
        <w:spacing w:line="360" w:lineRule="auto"/>
        <w:rPr>
          <w:b w:val="0"/>
          <w:bCs w:val="0"/>
          <w:i/>
          <w:iCs/>
          <w:color w:val="000000"/>
        </w:rPr>
      </w:pPr>
      <w:r w:rsidRPr="00D87FC1">
        <w:rPr>
          <w:b w:val="0"/>
          <w:bCs w:val="0"/>
        </w:rPr>
        <w:t>A final case to discuss is that</w:t>
      </w:r>
      <w:r w:rsidR="00E125AE" w:rsidRPr="00D87FC1">
        <w:rPr>
          <w:b w:val="0"/>
          <w:bCs w:val="0"/>
        </w:rPr>
        <w:t xml:space="preserve"> of </w:t>
      </w:r>
      <w:r w:rsidR="005E2AF0" w:rsidRPr="002B016D">
        <w:rPr>
          <w:b w:val="0"/>
          <w:bCs w:val="0"/>
          <w:i/>
          <w:iCs/>
          <w:color w:val="000000"/>
        </w:rPr>
        <w:t xml:space="preserve">R v </w:t>
      </w:r>
      <w:proofErr w:type="spellStart"/>
      <w:r w:rsidR="005E2AF0" w:rsidRPr="002B016D">
        <w:rPr>
          <w:b w:val="0"/>
          <w:bCs w:val="0"/>
          <w:i/>
          <w:iCs/>
          <w:color w:val="000000"/>
        </w:rPr>
        <w:t>Brehmer</w:t>
      </w:r>
      <w:proofErr w:type="spellEnd"/>
      <w:r w:rsidR="005E2AF0" w:rsidRPr="002B016D">
        <w:rPr>
          <w:b w:val="0"/>
          <w:bCs w:val="0"/>
          <w:i/>
          <w:iCs/>
          <w:color w:val="000000"/>
        </w:rPr>
        <w:t xml:space="preserve"> </w:t>
      </w:r>
      <w:r w:rsidR="005E2AF0" w:rsidRPr="002B016D">
        <w:rPr>
          <w:b w:val="0"/>
          <w:bCs w:val="0"/>
          <w:color w:val="000000"/>
        </w:rPr>
        <w:t>[2021] EWCA 390</w:t>
      </w:r>
      <w:r w:rsidRPr="00D87FC1">
        <w:rPr>
          <w:b w:val="0"/>
          <w:bCs w:val="0"/>
        </w:rPr>
        <w:t>, in which</w:t>
      </w:r>
      <w:r w:rsidR="0040123C" w:rsidRPr="00D87FC1">
        <w:rPr>
          <w:b w:val="0"/>
          <w:bCs w:val="0"/>
        </w:rPr>
        <w:t xml:space="preserve"> </w:t>
      </w:r>
      <w:r w:rsidRPr="00D87FC1">
        <w:rPr>
          <w:b w:val="0"/>
          <w:bCs w:val="0"/>
        </w:rPr>
        <w:t>t</w:t>
      </w:r>
      <w:r w:rsidR="00E125AE" w:rsidRPr="00D87FC1">
        <w:rPr>
          <w:b w:val="0"/>
          <w:bCs w:val="0"/>
        </w:rPr>
        <w:t>he defendant pleaded guilty to mansla</w:t>
      </w:r>
      <w:r w:rsidR="006411F8" w:rsidRPr="00D87FC1">
        <w:rPr>
          <w:b w:val="0"/>
          <w:bCs w:val="0"/>
        </w:rPr>
        <w:t>ughter</w:t>
      </w:r>
      <w:r w:rsidR="000F7D70" w:rsidRPr="00D87FC1">
        <w:rPr>
          <w:b w:val="0"/>
          <w:bCs w:val="0"/>
        </w:rPr>
        <w:t xml:space="preserve">, and </w:t>
      </w:r>
      <w:r w:rsidRPr="00D87FC1">
        <w:rPr>
          <w:b w:val="0"/>
          <w:bCs w:val="0"/>
        </w:rPr>
        <w:t>was</w:t>
      </w:r>
      <w:r w:rsidR="0040123C" w:rsidRPr="00D87FC1">
        <w:rPr>
          <w:b w:val="0"/>
          <w:bCs w:val="0"/>
        </w:rPr>
        <w:t xml:space="preserve"> sentenced</w:t>
      </w:r>
      <w:r w:rsidRPr="00D87FC1">
        <w:rPr>
          <w:b w:val="0"/>
          <w:bCs w:val="0"/>
        </w:rPr>
        <w:t xml:space="preserve"> </w:t>
      </w:r>
      <w:r w:rsidR="0040123C" w:rsidRPr="00D87FC1">
        <w:rPr>
          <w:b w:val="0"/>
          <w:bCs w:val="0"/>
        </w:rPr>
        <w:t xml:space="preserve">to </w:t>
      </w:r>
      <w:r w:rsidR="00061CA1" w:rsidRPr="00D87FC1">
        <w:rPr>
          <w:b w:val="0"/>
          <w:bCs w:val="0"/>
        </w:rPr>
        <w:t>10 and a half years</w:t>
      </w:r>
      <w:r w:rsidR="0068565D" w:rsidRPr="00D87FC1">
        <w:rPr>
          <w:b w:val="0"/>
          <w:bCs w:val="0"/>
        </w:rPr>
        <w:t>’ imprisonment</w:t>
      </w:r>
      <w:r w:rsidR="0040123C" w:rsidRPr="00D87FC1">
        <w:rPr>
          <w:b w:val="0"/>
          <w:bCs w:val="0"/>
        </w:rPr>
        <w:t xml:space="preserve"> </w:t>
      </w:r>
      <w:proofErr w:type="gramStart"/>
      <w:r w:rsidR="0040123C" w:rsidRPr="00D87FC1">
        <w:rPr>
          <w:b w:val="0"/>
          <w:bCs w:val="0"/>
        </w:rPr>
        <w:t>on the basis of</w:t>
      </w:r>
      <w:proofErr w:type="gramEnd"/>
      <w:r w:rsidR="0040123C" w:rsidRPr="00D87FC1">
        <w:rPr>
          <w:b w:val="0"/>
          <w:bCs w:val="0"/>
        </w:rPr>
        <w:t xml:space="preserve"> loss of control. </w:t>
      </w:r>
      <w:r w:rsidR="00DD0D6E" w:rsidRPr="00D87FC1">
        <w:rPr>
          <w:b w:val="0"/>
          <w:bCs w:val="0"/>
        </w:rPr>
        <w:t xml:space="preserve">This </w:t>
      </w:r>
      <w:r w:rsidR="002722EF" w:rsidRPr="00D87FC1">
        <w:rPr>
          <w:b w:val="0"/>
          <w:bCs w:val="0"/>
        </w:rPr>
        <w:t xml:space="preserve">sentence </w:t>
      </w:r>
      <w:r w:rsidR="00DD0D6E" w:rsidRPr="00D87FC1">
        <w:rPr>
          <w:b w:val="0"/>
          <w:bCs w:val="0"/>
        </w:rPr>
        <w:t>was appe</w:t>
      </w:r>
      <w:r w:rsidR="00E360B1" w:rsidRPr="00D87FC1">
        <w:rPr>
          <w:b w:val="0"/>
          <w:bCs w:val="0"/>
        </w:rPr>
        <w:t>aled</w:t>
      </w:r>
      <w:r w:rsidR="00DD0D6E" w:rsidRPr="00D87FC1">
        <w:rPr>
          <w:b w:val="0"/>
          <w:bCs w:val="0"/>
        </w:rPr>
        <w:t xml:space="preserve"> by the Attorney-General </w:t>
      </w:r>
      <w:r w:rsidR="00106377" w:rsidRPr="00D87FC1">
        <w:rPr>
          <w:b w:val="0"/>
          <w:bCs w:val="0"/>
        </w:rPr>
        <w:t xml:space="preserve">and </w:t>
      </w:r>
      <w:r w:rsidR="002722EF" w:rsidRPr="00D87FC1">
        <w:rPr>
          <w:b w:val="0"/>
          <w:bCs w:val="0"/>
        </w:rPr>
        <w:t>was subsequently increased</w:t>
      </w:r>
      <w:r w:rsidR="00D949AF" w:rsidRPr="00D87FC1">
        <w:rPr>
          <w:b w:val="0"/>
          <w:bCs w:val="0"/>
        </w:rPr>
        <w:t xml:space="preserve"> to 12 and a half years. </w:t>
      </w:r>
      <w:r w:rsidR="00E360B1" w:rsidRPr="00D87FC1">
        <w:rPr>
          <w:b w:val="0"/>
          <w:bCs w:val="0"/>
        </w:rPr>
        <w:t xml:space="preserve">However, as with </w:t>
      </w:r>
      <w:r w:rsidR="005E2AF0" w:rsidRPr="00D87FC1">
        <w:rPr>
          <w:b w:val="0"/>
          <w:bCs w:val="0"/>
          <w:i/>
          <w:iCs/>
        </w:rPr>
        <w:t>R v</w:t>
      </w:r>
      <w:r w:rsidR="005E2AF0" w:rsidRPr="00D87FC1">
        <w:rPr>
          <w:b w:val="0"/>
          <w:bCs w:val="0"/>
        </w:rPr>
        <w:t xml:space="preserve"> </w:t>
      </w:r>
      <w:r w:rsidR="00E360B1" w:rsidRPr="00D87FC1">
        <w:rPr>
          <w:b w:val="0"/>
          <w:bCs w:val="0"/>
          <w:i/>
          <w:iCs/>
        </w:rPr>
        <w:t xml:space="preserve">Bird, </w:t>
      </w:r>
      <w:r w:rsidR="00E360B1" w:rsidRPr="00D87FC1">
        <w:rPr>
          <w:b w:val="0"/>
          <w:bCs w:val="0"/>
        </w:rPr>
        <w:t xml:space="preserve">it is hard to discern an appropriate trigger. The </w:t>
      </w:r>
      <w:r w:rsidR="00D949AF" w:rsidRPr="00D87FC1">
        <w:rPr>
          <w:b w:val="0"/>
          <w:bCs w:val="0"/>
        </w:rPr>
        <w:t>offender</w:t>
      </w:r>
      <w:r w:rsidR="00E337B8" w:rsidRPr="00D87FC1">
        <w:rPr>
          <w:b w:val="0"/>
          <w:bCs w:val="0"/>
        </w:rPr>
        <w:t>, a married man,</w:t>
      </w:r>
      <w:r w:rsidR="00754720" w:rsidRPr="00D87FC1">
        <w:rPr>
          <w:b w:val="0"/>
          <w:bCs w:val="0"/>
        </w:rPr>
        <w:t xml:space="preserve"> </w:t>
      </w:r>
      <w:r w:rsidR="00D949AF" w:rsidRPr="00D87FC1">
        <w:rPr>
          <w:b w:val="0"/>
          <w:bCs w:val="0"/>
        </w:rPr>
        <w:t>was having a</w:t>
      </w:r>
      <w:r w:rsidR="00E5469F" w:rsidRPr="00D87FC1">
        <w:rPr>
          <w:b w:val="0"/>
          <w:bCs w:val="0"/>
        </w:rPr>
        <w:t xml:space="preserve"> relationship</w:t>
      </w:r>
      <w:r w:rsidR="00D949AF" w:rsidRPr="00D87FC1">
        <w:rPr>
          <w:b w:val="0"/>
          <w:bCs w:val="0"/>
        </w:rPr>
        <w:t xml:space="preserve"> with the victim, Claire Parry</w:t>
      </w:r>
      <w:r w:rsidR="00D060DA" w:rsidRPr="00D87FC1">
        <w:rPr>
          <w:b w:val="0"/>
          <w:bCs w:val="0"/>
        </w:rPr>
        <w:t xml:space="preserve">, </w:t>
      </w:r>
      <w:r w:rsidR="00754720" w:rsidRPr="00D87FC1">
        <w:rPr>
          <w:b w:val="0"/>
          <w:bCs w:val="0"/>
        </w:rPr>
        <w:t xml:space="preserve">who </w:t>
      </w:r>
      <w:r w:rsidR="00E360B1" w:rsidRPr="00D87FC1">
        <w:rPr>
          <w:b w:val="0"/>
          <w:bCs w:val="0"/>
        </w:rPr>
        <w:t xml:space="preserve">had threatened to inform </w:t>
      </w:r>
      <w:r w:rsidR="007F3842" w:rsidRPr="00D87FC1">
        <w:rPr>
          <w:b w:val="0"/>
          <w:bCs w:val="0"/>
        </w:rPr>
        <w:t>his</w:t>
      </w:r>
      <w:r w:rsidR="00E360B1" w:rsidRPr="00D87FC1">
        <w:rPr>
          <w:b w:val="0"/>
          <w:bCs w:val="0"/>
        </w:rPr>
        <w:t xml:space="preserve"> wife of the affair</w:t>
      </w:r>
      <w:r w:rsidR="00D949AF" w:rsidRPr="00D87FC1">
        <w:rPr>
          <w:b w:val="0"/>
          <w:bCs w:val="0"/>
        </w:rPr>
        <w:t>.</w:t>
      </w:r>
      <w:r w:rsidR="00DF2880" w:rsidRPr="00D87FC1">
        <w:rPr>
          <w:b w:val="0"/>
          <w:bCs w:val="0"/>
        </w:rPr>
        <w:t xml:space="preserve"> </w:t>
      </w:r>
      <w:r w:rsidR="00F773FF" w:rsidRPr="00D87FC1">
        <w:rPr>
          <w:b w:val="0"/>
          <w:bCs w:val="0"/>
        </w:rPr>
        <w:t xml:space="preserve">The victim </w:t>
      </w:r>
      <w:r w:rsidR="00557258" w:rsidRPr="00D87FC1">
        <w:rPr>
          <w:b w:val="0"/>
          <w:bCs w:val="0"/>
        </w:rPr>
        <w:t xml:space="preserve">and defendant agreed to meet in </w:t>
      </w:r>
      <w:r w:rsidR="000717BC" w:rsidRPr="00D87FC1">
        <w:rPr>
          <w:b w:val="0"/>
          <w:bCs w:val="0"/>
        </w:rPr>
        <w:t>his car in a car park</w:t>
      </w:r>
      <w:r w:rsidR="00557258" w:rsidRPr="00D87FC1">
        <w:rPr>
          <w:b w:val="0"/>
          <w:bCs w:val="0"/>
        </w:rPr>
        <w:t>, d</w:t>
      </w:r>
      <w:r w:rsidR="000717BC" w:rsidRPr="00D87FC1">
        <w:rPr>
          <w:b w:val="0"/>
          <w:bCs w:val="0"/>
        </w:rPr>
        <w:t xml:space="preserve">uring </w:t>
      </w:r>
      <w:r w:rsidR="00FA0F7A" w:rsidRPr="00D87FC1">
        <w:rPr>
          <w:b w:val="0"/>
          <w:bCs w:val="0"/>
        </w:rPr>
        <w:t xml:space="preserve">which </w:t>
      </w:r>
      <w:r w:rsidR="00557258" w:rsidRPr="00D87FC1">
        <w:rPr>
          <w:b w:val="0"/>
          <w:bCs w:val="0"/>
        </w:rPr>
        <w:t>the victim sent</w:t>
      </w:r>
      <w:r w:rsidR="00905E4B" w:rsidRPr="00D87FC1">
        <w:rPr>
          <w:b w:val="0"/>
          <w:bCs w:val="0"/>
        </w:rPr>
        <w:t xml:space="preserve"> a</w:t>
      </w:r>
      <w:r w:rsidR="000717BC" w:rsidRPr="00D87FC1">
        <w:rPr>
          <w:b w:val="0"/>
          <w:bCs w:val="0"/>
        </w:rPr>
        <w:t xml:space="preserve"> text</w:t>
      </w:r>
      <w:r w:rsidR="00905E4B" w:rsidRPr="00D87FC1">
        <w:rPr>
          <w:b w:val="0"/>
          <w:bCs w:val="0"/>
        </w:rPr>
        <w:t xml:space="preserve"> to</w:t>
      </w:r>
      <w:r w:rsidR="000717BC" w:rsidRPr="00D87FC1">
        <w:rPr>
          <w:b w:val="0"/>
          <w:bCs w:val="0"/>
        </w:rPr>
        <w:t xml:space="preserve"> his wife from his phone </w:t>
      </w:r>
      <w:r w:rsidR="00F15DF8" w:rsidRPr="00D87FC1">
        <w:rPr>
          <w:b w:val="0"/>
          <w:bCs w:val="0"/>
        </w:rPr>
        <w:t>saying,</w:t>
      </w:r>
      <w:r w:rsidR="0083687C" w:rsidRPr="00D87FC1">
        <w:rPr>
          <w:b w:val="0"/>
          <w:bCs w:val="0"/>
        </w:rPr>
        <w:t xml:space="preserve"> </w:t>
      </w:r>
      <w:r w:rsidR="002642C5">
        <w:rPr>
          <w:b w:val="0"/>
          <w:bCs w:val="0"/>
        </w:rPr>
        <w:t>“</w:t>
      </w:r>
      <w:r w:rsidR="0083687C" w:rsidRPr="00D87FC1">
        <w:rPr>
          <w:b w:val="0"/>
          <w:bCs w:val="0"/>
        </w:rPr>
        <w:t>I’m cheating on you.</w:t>
      </w:r>
      <w:r w:rsidR="002642C5">
        <w:rPr>
          <w:b w:val="0"/>
          <w:bCs w:val="0"/>
        </w:rPr>
        <w:t>”</w:t>
      </w:r>
      <w:r w:rsidR="0083687C" w:rsidRPr="00D87FC1">
        <w:rPr>
          <w:b w:val="0"/>
          <w:bCs w:val="0"/>
        </w:rPr>
        <w:t xml:space="preserve"> A fight ensued and the defendant </w:t>
      </w:r>
      <w:r w:rsidR="00E337B8" w:rsidRPr="00D87FC1">
        <w:rPr>
          <w:b w:val="0"/>
          <w:bCs w:val="0"/>
        </w:rPr>
        <w:t xml:space="preserve">fatally </w:t>
      </w:r>
      <w:r w:rsidR="00E9024A" w:rsidRPr="00D87FC1">
        <w:rPr>
          <w:b w:val="0"/>
          <w:bCs w:val="0"/>
        </w:rPr>
        <w:t xml:space="preserve">strangled </w:t>
      </w:r>
      <w:r w:rsidR="0083687C" w:rsidRPr="00D87FC1">
        <w:rPr>
          <w:b w:val="0"/>
          <w:bCs w:val="0"/>
        </w:rPr>
        <w:t xml:space="preserve">the </w:t>
      </w:r>
      <w:r w:rsidR="00C31550" w:rsidRPr="00D87FC1">
        <w:rPr>
          <w:b w:val="0"/>
          <w:bCs w:val="0"/>
        </w:rPr>
        <w:t>victim</w:t>
      </w:r>
      <w:r w:rsidR="00E9024A" w:rsidRPr="00D87FC1">
        <w:rPr>
          <w:b w:val="0"/>
          <w:bCs w:val="0"/>
        </w:rPr>
        <w:t xml:space="preserve">. </w:t>
      </w:r>
      <w:r w:rsidR="008A0663" w:rsidRPr="00D87FC1">
        <w:rPr>
          <w:b w:val="0"/>
          <w:bCs w:val="0"/>
        </w:rPr>
        <w:t xml:space="preserve">He suffered three knife wounds to his arm and initially claimed that the victim had stabbed him, however, he later admitted that the injuries were self-inflicted </w:t>
      </w:r>
      <w:r w:rsidR="006608C6" w:rsidRPr="00D87FC1">
        <w:rPr>
          <w:b w:val="0"/>
          <w:bCs w:val="0"/>
        </w:rPr>
        <w:t>using a</w:t>
      </w:r>
      <w:r w:rsidR="008A0663" w:rsidRPr="00D87FC1">
        <w:rPr>
          <w:b w:val="0"/>
          <w:bCs w:val="0"/>
        </w:rPr>
        <w:t xml:space="preserve"> </w:t>
      </w:r>
      <w:proofErr w:type="gramStart"/>
      <w:r w:rsidR="008A0663" w:rsidRPr="00D87FC1">
        <w:rPr>
          <w:b w:val="0"/>
          <w:bCs w:val="0"/>
        </w:rPr>
        <w:t>pen-knife</w:t>
      </w:r>
      <w:proofErr w:type="gramEnd"/>
      <w:r w:rsidR="008A0663" w:rsidRPr="00D87FC1">
        <w:rPr>
          <w:b w:val="0"/>
          <w:bCs w:val="0"/>
        </w:rPr>
        <w:t xml:space="preserve"> kept in the glove compartment of his car.</w:t>
      </w:r>
      <w:r w:rsidR="00EA45F2" w:rsidRPr="00D87FC1">
        <w:rPr>
          <w:b w:val="0"/>
          <w:bCs w:val="0"/>
        </w:rPr>
        <w:t xml:space="preserve"> </w:t>
      </w:r>
      <w:r w:rsidR="00864F65" w:rsidRPr="00D87FC1">
        <w:rPr>
          <w:b w:val="0"/>
          <w:bCs w:val="0"/>
        </w:rPr>
        <w:t>The</w:t>
      </w:r>
      <w:r w:rsidR="00D04A69" w:rsidRPr="00D87FC1">
        <w:rPr>
          <w:b w:val="0"/>
          <w:bCs w:val="0"/>
        </w:rPr>
        <w:t xml:space="preserve"> evidence indicated that the victim had fought back during what was a violent attack, </w:t>
      </w:r>
      <w:r w:rsidR="00B404B5" w:rsidRPr="00D87FC1">
        <w:rPr>
          <w:b w:val="0"/>
          <w:bCs w:val="0"/>
        </w:rPr>
        <w:t xml:space="preserve">suffering 31 blunt force injuries to her upper body. </w:t>
      </w:r>
    </w:p>
    <w:p w14:paraId="34C782A3" w14:textId="77777777" w:rsidR="00D848C7" w:rsidRPr="00D87FC1" w:rsidRDefault="00D848C7" w:rsidP="006D11D7">
      <w:pPr>
        <w:autoSpaceDE w:val="0"/>
        <w:autoSpaceDN w:val="0"/>
        <w:adjustRightInd w:val="0"/>
        <w:spacing w:line="360" w:lineRule="auto"/>
        <w:ind w:firstLine="720"/>
        <w:contextualSpacing/>
        <w:jc w:val="both"/>
        <w:rPr>
          <w:b w:val="0"/>
          <w:bCs w:val="0"/>
        </w:rPr>
      </w:pPr>
    </w:p>
    <w:p w14:paraId="3DC961CB" w14:textId="79E7A45B" w:rsidR="00A3196C" w:rsidRPr="00D87FC1" w:rsidRDefault="00AC5BBD" w:rsidP="003D25D4">
      <w:pPr>
        <w:autoSpaceDE w:val="0"/>
        <w:autoSpaceDN w:val="0"/>
        <w:adjustRightInd w:val="0"/>
        <w:spacing w:line="360" w:lineRule="auto"/>
        <w:contextualSpacing/>
        <w:jc w:val="both"/>
        <w:rPr>
          <w:b w:val="0"/>
          <w:bCs w:val="0"/>
        </w:rPr>
      </w:pPr>
      <w:r w:rsidRPr="00D87FC1">
        <w:rPr>
          <w:b w:val="0"/>
          <w:bCs w:val="0"/>
        </w:rPr>
        <w:t xml:space="preserve">The judgment is primarily concerned with the relevant aggravating factors, with the Court of Appeal maintaining that they had been given inadequate weight. But what is important for our purposes is the fact that this </w:t>
      </w:r>
      <w:proofErr w:type="gramStart"/>
      <w:r w:rsidRPr="00D87FC1">
        <w:rPr>
          <w:b w:val="0"/>
          <w:bCs w:val="0"/>
        </w:rPr>
        <w:t>was considered to be</w:t>
      </w:r>
      <w:proofErr w:type="gramEnd"/>
      <w:r w:rsidRPr="00D87FC1">
        <w:rPr>
          <w:b w:val="0"/>
          <w:bCs w:val="0"/>
        </w:rPr>
        <w:t xml:space="preserve"> a case of loss of control</w:t>
      </w:r>
      <w:r w:rsidR="004424B1" w:rsidRPr="00D87FC1">
        <w:rPr>
          <w:b w:val="0"/>
          <w:bCs w:val="0"/>
        </w:rPr>
        <w:t xml:space="preserve">. </w:t>
      </w:r>
      <w:r w:rsidR="002954B3" w:rsidRPr="00D87FC1">
        <w:rPr>
          <w:b w:val="0"/>
          <w:bCs w:val="0"/>
        </w:rPr>
        <w:t>T</w:t>
      </w:r>
      <w:r w:rsidR="001D6A12" w:rsidRPr="00D87FC1">
        <w:rPr>
          <w:b w:val="0"/>
          <w:bCs w:val="0"/>
        </w:rPr>
        <w:t>he violent attack on the victim is perhaps evidence that the offender suffered a loss of self-control</w:t>
      </w:r>
      <w:r w:rsidR="00545692" w:rsidRPr="00D87FC1">
        <w:rPr>
          <w:b w:val="0"/>
          <w:bCs w:val="0"/>
        </w:rPr>
        <w:t xml:space="preserve"> </w:t>
      </w:r>
      <w:r w:rsidR="00E02177" w:rsidRPr="00D87FC1">
        <w:rPr>
          <w:b w:val="0"/>
          <w:bCs w:val="0"/>
        </w:rPr>
        <w:t>and</w:t>
      </w:r>
      <w:r w:rsidR="00545692" w:rsidRPr="00D87FC1">
        <w:rPr>
          <w:b w:val="0"/>
          <w:bCs w:val="0"/>
        </w:rPr>
        <w:t xml:space="preserve"> </w:t>
      </w:r>
      <w:r w:rsidR="00E02177" w:rsidRPr="00D87FC1">
        <w:rPr>
          <w:b w:val="0"/>
          <w:bCs w:val="0"/>
        </w:rPr>
        <w:t>t</w:t>
      </w:r>
      <w:r w:rsidR="004424B1" w:rsidRPr="00D87FC1">
        <w:rPr>
          <w:b w:val="0"/>
          <w:bCs w:val="0"/>
        </w:rPr>
        <w:t>he trial judge noted that the qualifying trigger</w:t>
      </w:r>
      <w:r w:rsidR="00472F42" w:rsidRPr="00D87FC1">
        <w:rPr>
          <w:b w:val="0"/>
          <w:bCs w:val="0"/>
        </w:rPr>
        <w:t xml:space="preserve"> had only just been met</w:t>
      </w:r>
      <w:r w:rsidR="002954B3" w:rsidRPr="00D87FC1">
        <w:rPr>
          <w:b w:val="0"/>
          <w:bCs w:val="0"/>
        </w:rPr>
        <w:t xml:space="preserve">. Nevertheless, </w:t>
      </w:r>
      <w:r w:rsidR="00DE6969" w:rsidRPr="00D87FC1">
        <w:rPr>
          <w:b w:val="0"/>
          <w:bCs w:val="0"/>
        </w:rPr>
        <w:t>it is difficult to discern</w:t>
      </w:r>
      <w:r w:rsidR="008D6EFB" w:rsidRPr="00D87FC1">
        <w:rPr>
          <w:b w:val="0"/>
          <w:bCs w:val="0"/>
        </w:rPr>
        <w:t xml:space="preserve"> </w:t>
      </w:r>
      <w:r w:rsidR="002E44C8" w:rsidRPr="00D87FC1">
        <w:rPr>
          <w:b w:val="0"/>
          <w:bCs w:val="0"/>
        </w:rPr>
        <w:t>the relevant qualifying trigger</w:t>
      </w:r>
      <w:r w:rsidR="00750775" w:rsidRPr="00D87FC1">
        <w:rPr>
          <w:b w:val="0"/>
          <w:bCs w:val="0"/>
        </w:rPr>
        <w:t xml:space="preserve">. </w:t>
      </w:r>
      <w:r w:rsidR="00EE5935" w:rsidRPr="00D87FC1">
        <w:rPr>
          <w:b w:val="0"/>
          <w:bCs w:val="0"/>
        </w:rPr>
        <w:t>Given that he eventually admitted that the stab wounds were self-inflicted, this suggests that the victim texting his wife was the relevant trigger. However, the extent to which this can be described as amounting to a serious wrong, and justifiably so, must be que</w:t>
      </w:r>
      <w:r w:rsidR="006B0F80" w:rsidRPr="00D87FC1">
        <w:rPr>
          <w:b w:val="0"/>
          <w:bCs w:val="0"/>
        </w:rPr>
        <w:t>stioned</w:t>
      </w:r>
      <w:r w:rsidR="00EE5935" w:rsidRPr="00D87FC1">
        <w:rPr>
          <w:b w:val="0"/>
          <w:bCs w:val="0"/>
        </w:rPr>
        <w:t xml:space="preserve">. </w:t>
      </w:r>
      <w:r w:rsidR="00F62001" w:rsidRPr="00D87FC1">
        <w:rPr>
          <w:b w:val="0"/>
          <w:bCs w:val="0"/>
        </w:rPr>
        <w:t xml:space="preserve">While at least his sentence was increased by the Court of Appeal, </w:t>
      </w:r>
      <w:r w:rsidR="000F5FB1" w:rsidRPr="00D87FC1">
        <w:rPr>
          <w:b w:val="0"/>
          <w:bCs w:val="0"/>
        </w:rPr>
        <w:t>it can be queried why the defence of loss of self-control was left to the jury in this case.</w:t>
      </w:r>
      <w:r w:rsidR="00DF205B" w:rsidRPr="00D87FC1">
        <w:rPr>
          <w:b w:val="0"/>
          <w:bCs w:val="0"/>
        </w:rPr>
        <w:t xml:space="preserve"> Again, perhaps we can see certain</w:t>
      </w:r>
      <w:r w:rsidR="00663863" w:rsidRPr="00D87FC1">
        <w:rPr>
          <w:b w:val="0"/>
          <w:bCs w:val="0"/>
        </w:rPr>
        <w:t xml:space="preserve"> ideal</w:t>
      </w:r>
      <w:r w:rsidR="00DF205B" w:rsidRPr="00D87FC1">
        <w:rPr>
          <w:b w:val="0"/>
          <w:bCs w:val="0"/>
        </w:rPr>
        <w:t xml:space="preserve"> </w:t>
      </w:r>
      <w:r w:rsidR="00A00451" w:rsidRPr="00D87FC1">
        <w:rPr>
          <w:b w:val="0"/>
          <w:bCs w:val="0"/>
        </w:rPr>
        <w:t xml:space="preserve">gender </w:t>
      </w:r>
      <w:r w:rsidR="00DF205B" w:rsidRPr="00D87FC1">
        <w:rPr>
          <w:b w:val="0"/>
          <w:bCs w:val="0"/>
        </w:rPr>
        <w:t>scripts genders pertaining to heteronormativ</w:t>
      </w:r>
      <w:r w:rsidR="008713FC" w:rsidRPr="00D87FC1">
        <w:rPr>
          <w:b w:val="0"/>
          <w:bCs w:val="0"/>
        </w:rPr>
        <w:t>ity</w:t>
      </w:r>
      <w:r w:rsidR="00DF205B" w:rsidRPr="00D87FC1">
        <w:rPr>
          <w:b w:val="0"/>
          <w:bCs w:val="0"/>
        </w:rPr>
        <w:t xml:space="preserve"> </w:t>
      </w:r>
      <w:r w:rsidR="00D87059" w:rsidRPr="00D87FC1">
        <w:rPr>
          <w:b w:val="0"/>
          <w:bCs w:val="0"/>
        </w:rPr>
        <w:t xml:space="preserve">which </w:t>
      </w:r>
      <w:r w:rsidR="0056740C" w:rsidRPr="00D87FC1">
        <w:rPr>
          <w:b w:val="0"/>
          <w:bCs w:val="0"/>
        </w:rPr>
        <w:t>privileges</w:t>
      </w:r>
      <w:r w:rsidR="00D87059" w:rsidRPr="00D87FC1">
        <w:rPr>
          <w:b w:val="0"/>
          <w:bCs w:val="0"/>
        </w:rPr>
        <w:t xml:space="preserve"> a ma</w:t>
      </w:r>
      <w:r w:rsidR="00B67D85" w:rsidRPr="00D87FC1">
        <w:rPr>
          <w:b w:val="0"/>
          <w:bCs w:val="0"/>
        </w:rPr>
        <w:t>sculine reaction</w:t>
      </w:r>
      <w:r w:rsidR="00A00451" w:rsidRPr="00D87FC1">
        <w:rPr>
          <w:b w:val="0"/>
          <w:bCs w:val="0"/>
        </w:rPr>
        <w:t>,</w:t>
      </w:r>
      <w:r w:rsidR="00B67D85" w:rsidRPr="00D87FC1">
        <w:rPr>
          <w:b w:val="0"/>
          <w:bCs w:val="0"/>
        </w:rPr>
        <w:t xml:space="preserve"> while the </w:t>
      </w:r>
      <w:proofErr w:type="spellStart"/>
      <w:r w:rsidR="00B67D85" w:rsidRPr="00D87FC1">
        <w:rPr>
          <w:b w:val="0"/>
          <w:bCs w:val="0"/>
        </w:rPr>
        <w:t>grievability</w:t>
      </w:r>
      <w:proofErr w:type="spellEnd"/>
      <w:r w:rsidR="00B67D85" w:rsidRPr="00D87FC1">
        <w:rPr>
          <w:b w:val="0"/>
          <w:bCs w:val="0"/>
        </w:rPr>
        <w:t xml:space="preserve"> of the female victim is placed into question</w:t>
      </w:r>
      <w:r w:rsidR="00C361C6" w:rsidRPr="00D87FC1">
        <w:rPr>
          <w:b w:val="0"/>
          <w:bCs w:val="0"/>
        </w:rPr>
        <w:t>, as her actions are</w:t>
      </w:r>
      <w:r w:rsidR="009711CD" w:rsidRPr="00D87FC1">
        <w:rPr>
          <w:b w:val="0"/>
          <w:bCs w:val="0"/>
        </w:rPr>
        <w:t xml:space="preserve"> considered to amount to a</w:t>
      </w:r>
      <w:r w:rsidR="00994F44" w:rsidRPr="00D87FC1">
        <w:rPr>
          <w:b w:val="0"/>
          <w:bCs w:val="0"/>
        </w:rPr>
        <w:t xml:space="preserve"> serious wrong of such a level that a homicidal reaction is mitigated.</w:t>
      </w:r>
    </w:p>
    <w:p w14:paraId="1E964E69" w14:textId="46992DBF" w:rsidR="00D61D01" w:rsidRPr="00D87FC1" w:rsidRDefault="00471624" w:rsidP="00D87FC1">
      <w:pPr>
        <w:pStyle w:val="Heading2"/>
        <w:rPr>
          <w:b/>
          <w:bCs/>
        </w:rPr>
      </w:pPr>
      <w:r w:rsidRPr="002B016D">
        <w:rPr>
          <w:b/>
          <w:bCs/>
          <w:i w:val="0"/>
          <w:iCs w:val="0"/>
        </w:rPr>
        <w:lastRenderedPageBreak/>
        <w:t>Relationship Breakdown</w:t>
      </w:r>
      <w:r w:rsidR="00FB15A7" w:rsidRPr="002B016D">
        <w:rPr>
          <w:b/>
          <w:bCs/>
          <w:i w:val="0"/>
          <w:iCs w:val="0"/>
        </w:rPr>
        <w:t xml:space="preserve"> (2)</w:t>
      </w:r>
      <w:r w:rsidRPr="002B016D">
        <w:rPr>
          <w:b/>
          <w:bCs/>
          <w:i w:val="0"/>
          <w:iCs w:val="0"/>
        </w:rPr>
        <w:t xml:space="preserve">: </w:t>
      </w:r>
      <w:r w:rsidR="00BC37AA" w:rsidRPr="002B016D">
        <w:rPr>
          <w:b/>
          <w:bCs/>
          <w:i w:val="0"/>
          <w:iCs w:val="0"/>
        </w:rPr>
        <w:t>No Loss of Control</w:t>
      </w:r>
      <w:r w:rsidR="00D660F7" w:rsidRPr="002B016D">
        <w:rPr>
          <w:b/>
          <w:bCs/>
          <w:i w:val="0"/>
          <w:iCs w:val="0"/>
        </w:rPr>
        <w:t>?</w:t>
      </w:r>
    </w:p>
    <w:p w14:paraId="75913DA0" w14:textId="36FBDF5E" w:rsidR="00A3196C" w:rsidRPr="00D87FC1" w:rsidRDefault="003F4234" w:rsidP="00782491">
      <w:pPr>
        <w:autoSpaceDE w:val="0"/>
        <w:autoSpaceDN w:val="0"/>
        <w:adjustRightInd w:val="0"/>
        <w:spacing w:line="360" w:lineRule="auto"/>
        <w:contextualSpacing/>
        <w:jc w:val="both"/>
        <w:rPr>
          <w:b w:val="0"/>
          <w:bCs w:val="0"/>
        </w:rPr>
      </w:pPr>
      <w:r w:rsidRPr="00D87FC1">
        <w:rPr>
          <w:b w:val="0"/>
          <w:bCs w:val="0"/>
        </w:rPr>
        <w:t xml:space="preserve">In contrast to the cases discussed above, </w:t>
      </w:r>
      <w:r w:rsidR="00A3196C" w:rsidRPr="00D87FC1">
        <w:rPr>
          <w:b w:val="0"/>
          <w:bCs w:val="0"/>
        </w:rPr>
        <w:t>ther</w:t>
      </w:r>
      <w:r w:rsidR="001C3B9E" w:rsidRPr="00D87FC1">
        <w:rPr>
          <w:b w:val="0"/>
          <w:bCs w:val="0"/>
        </w:rPr>
        <w:t xml:space="preserve">e have been </w:t>
      </w:r>
      <w:r w:rsidR="006E2876" w:rsidRPr="00D87FC1">
        <w:rPr>
          <w:b w:val="0"/>
          <w:bCs w:val="0"/>
        </w:rPr>
        <w:t>a few</w:t>
      </w:r>
      <w:r w:rsidR="001C3B9E" w:rsidRPr="00D87FC1">
        <w:rPr>
          <w:b w:val="0"/>
          <w:bCs w:val="0"/>
        </w:rPr>
        <w:t xml:space="preserve"> cases</w:t>
      </w:r>
      <w:r w:rsidR="00C14761" w:rsidRPr="00D87FC1">
        <w:rPr>
          <w:b w:val="0"/>
          <w:bCs w:val="0"/>
        </w:rPr>
        <w:t xml:space="preserve"> concerning loss of control</w:t>
      </w:r>
      <w:r w:rsidR="001C3B9E" w:rsidRPr="00D87FC1">
        <w:rPr>
          <w:b w:val="0"/>
          <w:bCs w:val="0"/>
        </w:rPr>
        <w:t xml:space="preserve"> in </w:t>
      </w:r>
      <w:r w:rsidR="006E2876" w:rsidRPr="00D87FC1">
        <w:rPr>
          <w:b w:val="0"/>
          <w:bCs w:val="0"/>
        </w:rPr>
        <w:t xml:space="preserve">which </w:t>
      </w:r>
      <w:r w:rsidR="00E83963" w:rsidRPr="00D87FC1">
        <w:rPr>
          <w:b w:val="0"/>
          <w:bCs w:val="0"/>
        </w:rPr>
        <w:t xml:space="preserve">the defendant’s appeal against a murder </w:t>
      </w:r>
      <w:r w:rsidR="006045D6" w:rsidRPr="00D87FC1">
        <w:rPr>
          <w:b w:val="0"/>
          <w:bCs w:val="0"/>
        </w:rPr>
        <w:t xml:space="preserve">conviction </w:t>
      </w:r>
      <w:r w:rsidR="00C14761" w:rsidRPr="00D87FC1">
        <w:rPr>
          <w:b w:val="0"/>
          <w:bCs w:val="0"/>
        </w:rPr>
        <w:t xml:space="preserve">was rejected </w:t>
      </w:r>
      <w:r w:rsidR="003A6C3B" w:rsidRPr="00D87FC1">
        <w:rPr>
          <w:b w:val="0"/>
          <w:bCs w:val="0"/>
        </w:rPr>
        <w:t>by the Court of Appeal. Th</w:t>
      </w:r>
      <w:r w:rsidR="00163FDC" w:rsidRPr="00D87FC1">
        <w:rPr>
          <w:b w:val="0"/>
          <w:bCs w:val="0"/>
        </w:rPr>
        <w:t>ese</w:t>
      </w:r>
      <w:r w:rsidR="003A6C3B" w:rsidRPr="00D87FC1">
        <w:rPr>
          <w:b w:val="0"/>
          <w:bCs w:val="0"/>
        </w:rPr>
        <w:t xml:space="preserve"> cases indicate a</w:t>
      </w:r>
      <w:r w:rsidR="002D294A" w:rsidRPr="00D87FC1">
        <w:rPr>
          <w:b w:val="0"/>
          <w:bCs w:val="0"/>
        </w:rPr>
        <w:t xml:space="preserve"> more restrictive perspective on the new partial defence, and arguably accord </w:t>
      </w:r>
      <w:r w:rsidR="00327F81" w:rsidRPr="00D87FC1">
        <w:rPr>
          <w:b w:val="0"/>
          <w:bCs w:val="0"/>
        </w:rPr>
        <w:t xml:space="preserve">more </w:t>
      </w:r>
      <w:r w:rsidR="002D294A" w:rsidRPr="00D87FC1">
        <w:rPr>
          <w:b w:val="0"/>
          <w:bCs w:val="0"/>
        </w:rPr>
        <w:t xml:space="preserve">with the </w:t>
      </w:r>
      <w:r w:rsidR="00E03322" w:rsidRPr="00D87FC1">
        <w:rPr>
          <w:b w:val="0"/>
          <w:bCs w:val="0"/>
        </w:rPr>
        <w:t>spirit of the legislation, particularly the exclusion of sexual infidelity.</w:t>
      </w:r>
      <w:r w:rsidRPr="00D87FC1">
        <w:rPr>
          <w:b w:val="0"/>
          <w:bCs w:val="0"/>
        </w:rPr>
        <w:t xml:space="preserve"> Th</w:t>
      </w:r>
      <w:r w:rsidR="00F60761" w:rsidRPr="00D87FC1">
        <w:rPr>
          <w:b w:val="0"/>
          <w:bCs w:val="0"/>
        </w:rPr>
        <w:t xml:space="preserve">ese indicate that </w:t>
      </w:r>
      <w:r w:rsidR="00C747A3" w:rsidRPr="00D87FC1">
        <w:rPr>
          <w:b w:val="0"/>
          <w:bCs w:val="0"/>
        </w:rPr>
        <w:t xml:space="preserve">a </w:t>
      </w:r>
      <w:r w:rsidRPr="00D87FC1">
        <w:rPr>
          <w:b w:val="0"/>
          <w:bCs w:val="0"/>
        </w:rPr>
        <w:t>more progressive approach</w:t>
      </w:r>
      <w:r w:rsidR="00C747A3" w:rsidRPr="00D87FC1">
        <w:rPr>
          <w:b w:val="0"/>
          <w:bCs w:val="0"/>
        </w:rPr>
        <w:t xml:space="preserve"> is possible</w:t>
      </w:r>
      <w:r w:rsidR="007C0704" w:rsidRPr="00D87FC1">
        <w:rPr>
          <w:b w:val="0"/>
          <w:bCs w:val="0"/>
        </w:rPr>
        <w:t xml:space="preserve">. </w:t>
      </w:r>
      <w:r w:rsidR="008044F3" w:rsidRPr="00D87FC1">
        <w:rPr>
          <w:b w:val="0"/>
          <w:bCs w:val="0"/>
        </w:rPr>
        <w:t xml:space="preserve">In these cases, we can perhaps see </w:t>
      </w:r>
      <w:r w:rsidR="000E2C8F" w:rsidRPr="00D87FC1">
        <w:rPr>
          <w:b w:val="0"/>
          <w:bCs w:val="0"/>
        </w:rPr>
        <w:t xml:space="preserve">increasing </w:t>
      </w:r>
      <w:r w:rsidR="00356D76" w:rsidRPr="00D87FC1">
        <w:rPr>
          <w:b w:val="0"/>
          <w:bCs w:val="0"/>
        </w:rPr>
        <w:t xml:space="preserve">recognition by the courts of the </w:t>
      </w:r>
      <w:r w:rsidR="0025116E" w:rsidRPr="00D87FC1">
        <w:rPr>
          <w:b w:val="0"/>
          <w:bCs w:val="0"/>
        </w:rPr>
        <w:t xml:space="preserve">vulnerability and </w:t>
      </w:r>
      <w:proofErr w:type="spellStart"/>
      <w:r w:rsidR="0025116E" w:rsidRPr="00D87FC1">
        <w:rPr>
          <w:b w:val="0"/>
          <w:bCs w:val="0"/>
        </w:rPr>
        <w:t>grievability</w:t>
      </w:r>
      <w:proofErr w:type="spellEnd"/>
      <w:r w:rsidR="0025116E" w:rsidRPr="00D87FC1">
        <w:rPr>
          <w:b w:val="0"/>
          <w:bCs w:val="0"/>
        </w:rPr>
        <w:t xml:space="preserve"> of female victims, over and above privileging a masculine reaction to relationship breakdown.</w:t>
      </w:r>
      <w:r w:rsidR="000855A5" w:rsidRPr="00D87FC1">
        <w:rPr>
          <w:b w:val="0"/>
          <w:bCs w:val="0"/>
        </w:rPr>
        <w:t xml:space="preserve"> </w:t>
      </w:r>
    </w:p>
    <w:p w14:paraId="62CF60BE" w14:textId="48BF496A" w:rsidR="007C5F09" w:rsidRPr="00D87FC1" w:rsidRDefault="007C5F09" w:rsidP="003D25D4">
      <w:pPr>
        <w:autoSpaceDE w:val="0"/>
        <w:autoSpaceDN w:val="0"/>
        <w:adjustRightInd w:val="0"/>
        <w:spacing w:line="360" w:lineRule="auto"/>
        <w:contextualSpacing/>
        <w:jc w:val="both"/>
        <w:rPr>
          <w:b w:val="0"/>
          <w:bCs w:val="0"/>
        </w:rPr>
      </w:pPr>
    </w:p>
    <w:p w14:paraId="3B250068" w14:textId="36FEFF02" w:rsidR="00193C30" w:rsidRPr="00D87FC1" w:rsidRDefault="00393C90" w:rsidP="00782491">
      <w:pPr>
        <w:autoSpaceDE w:val="0"/>
        <w:autoSpaceDN w:val="0"/>
        <w:adjustRightInd w:val="0"/>
        <w:spacing w:line="360" w:lineRule="auto"/>
        <w:contextualSpacing/>
        <w:jc w:val="both"/>
        <w:rPr>
          <w:b w:val="0"/>
          <w:bCs w:val="0"/>
        </w:rPr>
      </w:pPr>
      <w:r w:rsidRPr="00D87FC1">
        <w:rPr>
          <w:b w:val="0"/>
          <w:bCs w:val="0"/>
        </w:rPr>
        <w:t>In</w:t>
      </w:r>
      <w:r w:rsidR="00FE1D6B" w:rsidRPr="00D87FC1">
        <w:rPr>
          <w:b w:val="0"/>
          <w:bCs w:val="0"/>
          <w:i/>
          <w:iCs/>
        </w:rPr>
        <w:t xml:space="preserve"> </w:t>
      </w:r>
      <w:r w:rsidR="00992DE5" w:rsidRPr="00D87FC1">
        <w:rPr>
          <w:b w:val="0"/>
          <w:bCs w:val="0"/>
          <w:i/>
          <w:iCs/>
        </w:rPr>
        <w:t xml:space="preserve">R v </w:t>
      </w:r>
      <w:r w:rsidRPr="00DB5DC8">
        <w:rPr>
          <w:b w:val="0"/>
          <w:bCs w:val="0"/>
          <w:i/>
          <w:iCs/>
        </w:rPr>
        <w:t>Hatter</w:t>
      </w:r>
      <w:r w:rsidR="00FE1D6B" w:rsidRPr="00D87FC1">
        <w:rPr>
          <w:b w:val="0"/>
          <w:bCs w:val="0"/>
          <w:i/>
          <w:iCs/>
        </w:rPr>
        <w:t xml:space="preserve"> </w:t>
      </w:r>
      <w:r w:rsidR="00FE1D6B" w:rsidRPr="00D87FC1">
        <w:rPr>
          <w:b w:val="0"/>
          <w:bCs w:val="0"/>
        </w:rPr>
        <w:t xml:space="preserve">(heard as a joint appeal with </w:t>
      </w:r>
      <w:r w:rsidR="00581C81" w:rsidRPr="00D87FC1">
        <w:rPr>
          <w:b w:val="0"/>
          <w:bCs w:val="0"/>
          <w:i/>
          <w:iCs/>
        </w:rPr>
        <w:t>R v</w:t>
      </w:r>
      <w:r w:rsidR="00581C81" w:rsidRPr="00D87FC1">
        <w:rPr>
          <w:b w:val="0"/>
          <w:bCs w:val="0"/>
        </w:rPr>
        <w:t xml:space="preserve"> </w:t>
      </w:r>
      <w:r w:rsidR="00FE1D6B" w:rsidRPr="00D87FC1">
        <w:rPr>
          <w:b w:val="0"/>
          <w:bCs w:val="0"/>
          <w:i/>
          <w:iCs/>
        </w:rPr>
        <w:t>Dawes</w:t>
      </w:r>
      <w:r w:rsidR="00AA03F8" w:rsidRPr="00D87FC1">
        <w:rPr>
          <w:b w:val="0"/>
          <w:bCs w:val="0"/>
        </w:rPr>
        <w:t>)</w:t>
      </w:r>
      <w:r w:rsidRPr="00D87FC1">
        <w:rPr>
          <w:b w:val="0"/>
          <w:bCs w:val="0"/>
          <w:i/>
          <w:iCs/>
        </w:rPr>
        <w:t xml:space="preserve"> </w:t>
      </w:r>
      <w:r w:rsidRPr="00D87FC1">
        <w:rPr>
          <w:b w:val="0"/>
          <w:bCs w:val="0"/>
        </w:rPr>
        <w:t xml:space="preserve">the appellant appealed against </w:t>
      </w:r>
      <w:r w:rsidR="005602E7" w:rsidRPr="00D87FC1">
        <w:rPr>
          <w:b w:val="0"/>
          <w:bCs w:val="0"/>
        </w:rPr>
        <w:t xml:space="preserve">his </w:t>
      </w:r>
      <w:r w:rsidRPr="00D87FC1">
        <w:rPr>
          <w:b w:val="0"/>
          <w:bCs w:val="0"/>
        </w:rPr>
        <w:t xml:space="preserve">conviction for murdering </w:t>
      </w:r>
      <w:r w:rsidR="008D3C6F" w:rsidRPr="00D87FC1">
        <w:rPr>
          <w:b w:val="0"/>
          <w:bCs w:val="0"/>
        </w:rPr>
        <w:t xml:space="preserve">his then ex-girlfriend, after he </w:t>
      </w:r>
      <w:r w:rsidR="00D13D39" w:rsidRPr="00D87FC1">
        <w:rPr>
          <w:b w:val="0"/>
          <w:bCs w:val="0"/>
        </w:rPr>
        <w:t xml:space="preserve">stabbed her to death, following an argument </w:t>
      </w:r>
      <w:r w:rsidR="008152A0" w:rsidRPr="00D87FC1">
        <w:rPr>
          <w:b w:val="0"/>
          <w:bCs w:val="0"/>
        </w:rPr>
        <w:t xml:space="preserve">regarding her involvement with another man. </w:t>
      </w:r>
      <w:r w:rsidR="00BC2C0E" w:rsidRPr="00D87FC1">
        <w:rPr>
          <w:b w:val="0"/>
          <w:bCs w:val="0"/>
        </w:rPr>
        <w:t xml:space="preserve">In refusing to leave the defence to the jury, the </w:t>
      </w:r>
      <w:r w:rsidR="003C0241" w:rsidRPr="00D87FC1">
        <w:rPr>
          <w:b w:val="0"/>
          <w:bCs w:val="0"/>
        </w:rPr>
        <w:t xml:space="preserve">trial </w:t>
      </w:r>
      <w:r w:rsidR="00790A19" w:rsidRPr="00D87FC1">
        <w:rPr>
          <w:b w:val="0"/>
          <w:bCs w:val="0"/>
        </w:rPr>
        <w:t>judge</w:t>
      </w:r>
      <w:r w:rsidR="00BC2C0E" w:rsidRPr="00D87FC1">
        <w:rPr>
          <w:b w:val="0"/>
          <w:bCs w:val="0"/>
        </w:rPr>
        <w:t xml:space="preserve"> stated that ther</w:t>
      </w:r>
      <w:r w:rsidR="00A41540" w:rsidRPr="00D87FC1">
        <w:rPr>
          <w:b w:val="0"/>
          <w:bCs w:val="0"/>
        </w:rPr>
        <w:t xml:space="preserve">e was </w:t>
      </w:r>
      <w:r w:rsidR="007F1E3A">
        <w:rPr>
          <w:b w:val="0"/>
          <w:bCs w:val="0"/>
        </w:rPr>
        <w:t>“</w:t>
      </w:r>
      <w:r w:rsidR="00A41540" w:rsidRPr="00D87FC1">
        <w:rPr>
          <w:b w:val="0"/>
          <w:bCs w:val="0"/>
        </w:rPr>
        <w:t>simply no evidence</w:t>
      </w:r>
      <w:r w:rsidR="007F1E3A">
        <w:rPr>
          <w:b w:val="0"/>
          <w:bCs w:val="0"/>
        </w:rPr>
        <w:t>”</w:t>
      </w:r>
      <w:r w:rsidR="00A41540" w:rsidRPr="00D87FC1">
        <w:rPr>
          <w:b w:val="0"/>
          <w:bCs w:val="0"/>
        </w:rPr>
        <w:t xml:space="preserve"> that the defendant had lost his self-control</w:t>
      </w:r>
      <w:r w:rsidR="008044B1" w:rsidRPr="00D87FC1">
        <w:rPr>
          <w:b w:val="0"/>
          <w:bCs w:val="0"/>
        </w:rPr>
        <w:t xml:space="preserve">. In upholding the murder conviction, </w:t>
      </w:r>
      <w:r w:rsidR="003C0241" w:rsidRPr="00D87FC1">
        <w:rPr>
          <w:b w:val="0"/>
          <w:bCs w:val="0"/>
        </w:rPr>
        <w:t>the Court of Appeal</w:t>
      </w:r>
      <w:r w:rsidR="00F3176F" w:rsidRPr="00D87FC1">
        <w:rPr>
          <w:b w:val="0"/>
          <w:bCs w:val="0"/>
        </w:rPr>
        <w:t xml:space="preserve"> </w:t>
      </w:r>
      <w:r w:rsidR="00003CEB" w:rsidRPr="00D87FC1">
        <w:rPr>
          <w:b w:val="0"/>
          <w:bCs w:val="0"/>
        </w:rPr>
        <w:t xml:space="preserve">commented: “the fact of the break-up </w:t>
      </w:r>
      <w:r w:rsidR="00E64C4C" w:rsidRPr="00D87FC1">
        <w:rPr>
          <w:b w:val="0"/>
          <w:bCs w:val="0"/>
        </w:rPr>
        <w:t xml:space="preserve">of a relationship, of itself, will not normally constitute </w:t>
      </w:r>
      <w:r w:rsidR="000E41AF" w:rsidRPr="00D87FC1">
        <w:rPr>
          <w:b w:val="0"/>
          <w:bCs w:val="0"/>
        </w:rPr>
        <w:t>circumstances of an extremely grave character and entitle the aggrieved party to feel a justifiable sense of being seriously wronged” (</w:t>
      </w:r>
      <w:r w:rsidR="00581C81" w:rsidRPr="00D87FC1">
        <w:rPr>
          <w:b w:val="0"/>
          <w:bCs w:val="0"/>
        </w:rPr>
        <w:t>at</w:t>
      </w:r>
      <w:r w:rsidR="00AA03F8" w:rsidRPr="00D87FC1">
        <w:rPr>
          <w:b w:val="0"/>
          <w:bCs w:val="0"/>
        </w:rPr>
        <w:t xml:space="preserve"> </w:t>
      </w:r>
      <w:r w:rsidR="000E41AF" w:rsidRPr="00D87FC1">
        <w:rPr>
          <w:b w:val="0"/>
          <w:bCs w:val="0"/>
        </w:rPr>
        <w:t xml:space="preserve">para </w:t>
      </w:r>
      <w:r w:rsidR="00F90089" w:rsidRPr="00D87FC1">
        <w:rPr>
          <w:b w:val="0"/>
          <w:bCs w:val="0"/>
        </w:rPr>
        <w:t>65</w:t>
      </w:r>
      <w:r w:rsidR="000E41AF" w:rsidRPr="00D87FC1">
        <w:rPr>
          <w:b w:val="0"/>
          <w:bCs w:val="0"/>
        </w:rPr>
        <w:t>)</w:t>
      </w:r>
      <w:r w:rsidR="00884CB2" w:rsidRPr="00D87FC1">
        <w:rPr>
          <w:b w:val="0"/>
          <w:bCs w:val="0"/>
        </w:rPr>
        <w:t>.</w:t>
      </w:r>
      <w:r w:rsidR="00EE3106" w:rsidRPr="00D87FC1">
        <w:rPr>
          <w:b w:val="0"/>
          <w:bCs w:val="0"/>
        </w:rPr>
        <w:t xml:space="preserve"> </w:t>
      </w:r>
      <w:r w:rsidR="00E85797" w:rsidRPr="00D87FC1">
        <w:rPr>
          <w:b w:val="0"/>
          <w:bCs w:val="0"/>
        </w:rPr>
        <w:t xml:space="preserve">It can be argued that the outcome of this case and the comments made in the judgment are more in line with the government’s </w:t>
      </w:r>
      <w:r w:rsidR="00EA1E2A" w:rsidRPr="00D87FC1">
        <w:rPr>
          <w:b w:val="0"/>
          <w:bCs w:val="0"/>
        </w:rPr>
        <w:t>intention regarding the new partial defence</w:t>
      </w:r>
      <w:r w:rsidR="00B33CE5" w:rsidRPr="00D87FC1">
        <w:rPr>
          <w:b w:val="0"/>
          <w:bCs w:val="0"/>
        </w:rPr>
        <w:t xml:space="preserve"> </w:t>
      </w:r>
      <w:r w:rsidR="00EA1E2A" w:rsidRPr="00D87FC1">
        <w:rPr>
          <w:b w:val="0"/>
          <w:bCs w:val="0"/>
        </w:rPr>
        <w:t xml:space="preserve">and </w:t>
      </w:r>
      <w:r w:rsidR="001D2607" w:rsidRPr="00D87FC1">
        <w:rPr>
          <w:b w:val="0"/>
          <w:bCs w:val="0"/>
        </w:rPr>
        <w:t>are</w:t>
      </w:r>
      <w:r w:rsidR="00EA1E2A" w:rsidRPr="00D87FC1">
        <w:rPr>
          <w:b w:val="0"/>
          <w:bCs w:val="0"/>
        </w:rPr>
        <w:t xml:space="preserve"> to be welcomed. </w:t>
      </w:r>
      <w:r w:rsidR="00193C30" w:rsidRPr="00D87FC1">
        <w:rPr>
          <w:b w:val="0"/>
          <w:bCs w:val="0"/>
        </w:rPr>
        <w:t xml:space="preserve">Likewise, the failure to </w:t>
      </w:r>
      <w:r w:rsidR="00161C0E" w:rsidRPr="00D87FC1">
        <w:rPr>
          <w:b w:val="0"/>
          <w:bCs w:val="0"/>
        </w:rPr>
        <w:t>evidence a</w:t>
      </w:r>
      <w:r w:rsidR="00193C30" w:rsidRPr="00D87FC1">
        <w:rPr>
          <w:b w:val="0"/>
          <w:bCs w:val="0"/>
        </w:rPr>
        <w:t xml:space="preserve"> loss of control rendered the murder conviction safe in the case of </w:t>
      </w:r>
      <w:r w:rsidR="0028166A" w:rsidRPr="002B016D">
        <w:rPr>
          <w:b w:val="0"/>
          <w:bCs w:val="0"/>
          <w:i/>
          <w:iCs/>
          <w:color w:val="000000"/>
        </w:rPr>
        <w:t xml:space="preserve">R v Barnsdale-Queen </w:t>
      </w:r>
      <w:r w:rsidR="0028166A" w:rsidRPr="002B016D">
        <w:rPr>
          <w:b w:val="0"/>
          <w:bCs w:val="0"/>
          <w:color w:val="000000"/>
        </w:rPr>
        <w:t>[2014] EWCA Crim 1418</w:t>
      </w:r>
      <w:r w:rsidR="00193C30" w:rsidRPr="00D87FC1">
        <w:rPr>
          <w:b w:val="0"/>
          <w:bCs w:val="0"/>
          <w:i/>
          <w:iCs/>
        </w:rPr>
        <w:t xml:space="preserve">. </w:t>
      </w:r>
      <w:r w:rsidR="00DF6EDD" w:rsidRPr="00D87FC1">
        <w:rPr>
          <w:b w:val="0"/>
          <w:bCs w:val="0"/>
        </w:rPr>
        <w:t>While the appellant argued that his wife had taken her own life, after she had attacked him, the prosecution</w:t>
      </w:r>
      <w:r w:rsidR="008C224C" w:rsidRPr="00D87FC1">
        <w:rPr>
          <w:b w:val="0"/>
          <w:bCs w:val="0"/>
        </w:rPr>
        <w:t xml:space="preserve"> maintained that he strangled his wife with a tourniquet </w:t>
      </w:r>
      <w:r w:rsidR="00193C30" w:rsidRPr="00D87FC1">
        <w:rPr>
          <w:b w:val="0"/>
          <w:bCs w:val="0"/>
        </w:rPr>
        <w:t>using a chain he had previously purchased (indicating premeditation)</w:t>
      </w:r>
      <w:r w:rsidR="008C224C" w:rsidRPr="00D87FC1">
        <w:rPr>
          <w:b w:val="0"/>
          <w:bCs w:val="0"/>
        </w:rPr>
        <w:t>.</w:t>
      </w:r>
      <w:r w:rsidR="00C71A78" w:rsidRPr="00D87FC1">
        <w:rPr>
          <w:b w:val="0"/>
          <w:bCs w:val="0"/>
        </w:rPr>
        <w:t xml:space="preserve"> It is interesting to note that</w:t>
      </w:r>
      <w:r w:rsidR="008C224C" w:rsidRPr="00D87FC1">
        <w:rPr>
          <w:b w:val="0"/>
          <w:bCs w:val="0"/>
        </w:rPr>
        <w:t xml:space="preserve"> </w:t>
      </w:r>
      <w:r w:rsidR="0074542D" w:rsidRPr="00D87FC1">
        <w:rPr>
          <w:b w:val="0"/>
          <w:bCs w:val="0"/>
        </w:rPr>
        <w:t>on</w:t>
      </w:r>
      <w:r w:rsidR="00193C30" w:rsidRPr="00D87FC1">
        <w:rPr>
          <w:b w:val="0"/>
          <w:bCs w:val="0"/>
        </w:rPr>
        <w:t xml:space="preserve"> appeal, it was </w:t>
      </w:r>
      <w:r w:rsidR="000523D8" w:rsidRPr="00D87FC1">
        <w:rPr>
          <w:b w:val="0"/>
          <w:bCs w:val="0"/>
        </w:rPr>
        <w:t>stated</w:t>
      </w:r>
      <w:r w:rsidR="00193C30" w:rsidRPr="00D87FC1">
        <w:rPr>
          <w:b w:val="0"/>
          <w:bCs w:val="0"/>
        </w:rPr>
        <w:t xml:space="preserve"> that the </w:t>
      </w:r>
      <w:r w:rsidR="0068565D" w:rsidRPr="00D87FC1">
        <w:rPr>
          <w:b w:val="0"/>
          <w:bCs w:val="0"/>
        </w:rPr>
        <w:t>J</w:t>
      </w:r>
      <w:r w:rsidR="00193C30" w:rsidRPr="00D87FC1">
        <w:rPr>
          <w:b w:val="0"/>
          <w:bCs w:val="0"/>
        </w:rPr>
        <w:t>udge was obliged to “accept that the deceased had attacked the appellant with a knife in the context of a relationship during which there had been emotional and physical abuse of the defendant over many years” (</w:t>
      </w:r>
      <w:r w:rsidR="0028166A" w:rsidRPr="00D87FC1">
        <w:rPr>
          <w:b w:val="0"/>
          <w:bCs w:val="0"/>
        </w:rPr>
        <w:t xml:space="preserve">at </w:t>
      </w:r>
      <w:r w:rsidR="00193C30" w:rsidRPr="00D87FC1">
        <w:rPr>
          <w:b w:val="0"/>
          <w:bCs w:val="0"/>
        </w:rPr>
        <w:t>para 26)</w:t>
      </w:r>
      <w:r w:rsidR="00B74427" w:rsidRPr="00D87FC1">
        <w:rPr>
          <w:b w:val="0"/>
          <w:bCs w:val="0"/>
        </w:rPr>
        <w:t xml:space="preserve">, </w:t>
      </w:r>
      <w:r w:rsidR="001909B8" w:rsidRPr="00D87FC1">
        <w:rPr>
          <w:b w:val="0"/>
          <w:bCs w:val="0"/>
        </w:rPr>
        <w:t xml:space="preserve">thus indicating domestic abuse, </w:t>
      </w:r>
      <w:r w:rsidR="00B74427" w:rsidRPr="00D87FC1">
        <w:rPr>
          <w:b w:val="0"/>
          <w:bCs w:val="0"/>
        </w:rPr>
        <w:t>which could have potentially afforded him a defence under s</w:t>
      </w:r>
      <w:r w:rsidR="006676E4" w:rsidRPr="00D87FC1">
        <w:rPr>
          <w:b w:val="0"/>
          <w:bCs w:val="0"/>
        </w:rPr>
        <w:t>ection</w:t>
      </w:r>
      <w:r w:rsidR="00B74427" w:rsidRPr="00D87FC1">
        <w:rPr>
          <w:b w:val="0"/>
          <w:bCs w:val="0"/>
        </w:rPr>
        <w:t xml:space="preserve"> 54. However,</w:t>
      </w:r>
      <w:r w:rsidR="00193C30" w:rsidRPr="00D87FC1">
        <w:rPr>
          <w:b w:val="0"/>
          <w:bCs w:val="0"/>
        </w:rPr>
        <w:t xml:space="preserve"> while this was the case, it remained the fact that there was no evidence of loss of control, and as such the appeal was dismissed. </w:t>
      </w:r>
    </w:p>
    <w:p w14:paraId="6E48A8E6" w14:textId="77777777" w:rsidR="00AC6C21" w:rsidRPr="00D87FC1" w:rsidRDefault="00AC6C21" w:rsidP="003D25D4">
      <w:pPr>
        <w:autoSpaceDE w:val="0"/>
        <w:autoSpaceDN w:val="0"/>
        <w:adjustRightInd w:val="0"/>
        <w:spacing w:line="360" w:lineRule="auto"/>
        <w:contextualSpacing/>
        <w:jc w:val="both"/>
        <w:rPr>
          <w:b w:val="0"/>
          <w:bCs w:val="0"/>
        </w:rPr>
      </w:pPr>
    </w:p>
    <w:p w14:paraId="27790CFE" w14:textId="2897A0E1" w:rsidR="00813ADD" w:rsidRPr="00406072" w:rsidRDefault="00D660F7" w:rsidP="00782491">
      <w:pPr>
        <w:autoSpaceDE w:val="0"/>
        <w:autoSpaceDN w:val="0"/>
        <w:adjustRightInd w:val="0"/>
        <w:spacing w:line="360" w:lineRule="auto"/>
        <w:contextualSpacing/>
        <w:jc w:val="both"/>
        <w:rPr>
          <w:b w:val="0"/>
          <w:bCs w:val="0"/>
        </w:rPr>
      </w:pPr>
      <w:r w:rsidRPr="00D87FC1">
        <w:rPr>
          <w:b w:val="0"/>
          <w:bCs w:val="0"/>
        </w:rPr>
        <w:t>I</w:t>
      </w:r>
      <w:r w:rsidR="00E03C9D" w:rsidRPr="00D87FC1">
        <w:rPr>
          <w:b w:val="0"/>
          <w:bCs w:val="0"/>
        </w:rPr>
        <w:t xml:space="preserve">n </w:t>
      </w:r>
      <w:r w:rsidR="00E03C9D" w:rsidRPr="00D87FC1">
        <w:rPr>
          <w:b w:val="0"/>
          <w:bCs w:val="0"/>
          <w:i/>
          <w:iCs/>
        </w:rPr>
        <w:t xml:space="preserve">R v McDonald </w:t>
      </w:r>
      <w:r w:rsidR="00EA52FE" w:rsidRPr="002B016D">
        <w:rPr>
          <w:b w:val="0"/>
          <w:bCs w:val="0"/>
          <w:color w:val="000000"/>
        </w:rPr>
        <w:t>[2016] EWCA Crim 1529</w:t>
      </w:r>
      <w:r w:rsidR="00EA52FE" w:rsidRPr="00406072" w:rsidDel="00EA52FE">
        <w:rPr>
          <w:b w:val="0"/>
          <w:bCs w:val="0"/>
        </w:rPr>
        <w:t xml:space="preserve"> </w:t>
      </w:r>
      <w:r w:rsidR="003C3015" w:rsidRPr="00406072">
        <w:rPr>
          <w:b w:val="0"/>
          <w:bCs w:val="0"/>
        </w:rPr>
        <w:t>t</w:t>
      </w:r>
      <w:r w:rsidR="00AD305F" w:rsidRPr="00406072">
        <w:rPr>
          <w:b w:val="0"/>
          <w:bCs w:val="0"/>
        </w:rPr>
        <w:t xml:space="preserve">he appellant </w:t>
      </w:r>
      <w:r w:rsidR="002A605A" w:rsidRPr="00406072">
        <w:rPr>
          <w:b w:val="0"/>
          <w:bCs w:val="0"/>
        </w:rPr>
        <w:t>strangled his</w:t>
      </w:r>
      <w:r w:rsidR="00DD1F96" w:rsidRPr="00406072">
        <w:rPr>
          <w:b w:val="0"/>
          <w:bCs w:val="0"/>
        </w:rPr>
        <w:t xml:space="preserve"> then estranged wife</w:t>
      </w:r>
      <w:r w:rsidR="00AD305F" w:rsidRPr="00406072">
        <w:rPr>
          <w:b w:val="0"/>
          <w:bCs w:val="0"/>
        </w:rPr>
        <w:t>, in the context of a relationship breakdown</w:t>
      </w:r>
      <w:r w:rsidR="009563FA" w:rsidRPr="00406072">
        <w:rPr>
          <w:b w:val="0"/>
          <w:bCs w:val="0"/>
        </w:rPr>
        <w:t xml:space="preserve"> where the victim had previously been unfaithful and had struggled with </w:t>
      </w:r>
      <w:r w:rsidR="00C44FD6" w:rsidRPr="00406072">
        <w:rPr>
          <w:b w:val="0"/>
          <w:bCs w:val="0"/>
        </w:rPr>
        <w:t xml:space="preserve">drug and alcohol misuse issues. </w:t>
      </w:r>
      <w:r w:rsidR="00D55BF0" w:rsidRPr="00406072">
        <w:rPr>
          <w:b w:val="0"/>
          <w:bCs w:val="0"/>
        </w:rPr>
        <w:t xml:space="preserve">On the fatal day, the couple had </w:t>
      </w:r>
      <w:r w:rsidR="00CE6534" w:rsidRPr="00406072">
        <w:rPr>
          <w:b w:val="0"/>
          <w:bCs w:val="0"/>
        </w:rPr>
        <w:t xml:space="preserve">arranged </w:t>
      </w:r>
      <w:r w:rsidR="00CE6534" w:rsidRPr="00406072">
        <w:rPr>
          <w:b w:val="0"/>
          <w:bCs w:val="0"/>
        </w:rPr>
        <w:lastRenderedPageBreak/>
        <w:t>to meet in the appellant’s flat</w:t>
      </w:r>
      <w:r w:rsidR="001138F2" w:rsidRPr="00406072">
        <w:rPr>
          <w:b w:val="0"/>
          <w:bCs w:val="0"/>
        </w:rPr>
        <w:t xml:space="preserve">, in the context of dealing with the post-separation financial arrangements. </w:t>
      </w:r>
      <w:r w:rsidR="00041853" w:rsidRPr="00406072">
        <w:rPr>
          <w:b w:val="0"/>
          <w:bCs w:val="0"/>
        </w:rPr>
        <w:t>A fight ensued and</w:t>
      </w:r>
      <w:r w:rsidR="001138F2" w:rsidRPr="00406072">
        <w:rPr>
          <w:b w:val="0"/>
          <w:bCs w:val="0"/>
        </w:rPr>
        <w:t xml:space="preserve"> </w:t>
      </w:r>
      <w:r w:rsidR="00790A19" w:rsidRPr="00406072">
        <w:rPr>
          <w:b w:val="0"/>
          <w:bCs w:val="0"/>
        </w:rPr>
        <w:t xml:space="preserve">the </w:t>
      </w:r>
      <w:r w:rsidR="001138F2" w:rsidRPr="00406072">
        <w:rPr>
          <w:b w:val="0"/>
          <w:bCs w:val="0"/>
        </w:rPr>
        <w:t xml:space="preserve">appellant alleged that the victim then </w:t>
      </w:r>
      <w:r w:rsidR="00CE109C" w:rsidRPr="00406072">
        <w:rPr>
          <w:b w:val="0"/>
          <w:bCs w:val="0"/>
        </w:rPr>
        <w:t>blackmailed and threate</w:t>
      </w:r>
      <w:r w:rsidR="00136BB8" w:rsidRPr="00406072">
        <w:rPr>
          <w:b w:val="0"/>
          <w:bCs w:val="0"/>
        </w:rPr>
        <w:t xml:space="preserve">ned that she would </w:t>
      </w:r>
      <w:r w:rsidR="009929B1" w:rsidRPr="00406072">
        <w:rPr>
          <w:b w:val="0"/>
          <w:bCs w:val="0"/>
        </w:rPr>
        <w:t xml:space="preserve">bankrupt him, prevent him from seeing his children and see his mother homeless. </w:t>
      </w:r>
      <w:r w:rsidR="00AA332B" w:rsidRPr="00406072">
        <w:rPr>
          <w:b w:val="0"/>
          <w:bCs w:val="0"/>
        </w:rPr>
        <w:t>T</w:t>
      </w:r>
      <w:r w:rsidR="00A727D1" w:rsidRPr="00406072">
        <w:rPr>
          <w:b w:val="0"/>
          <w:bCs w:val="0"/>
        </w:rPr>
        <w:t xml:space="preserve">he </w:t>
      </w:r>
      <w:r w:rsidR="00E9131A" w:rsidRPr="00406072">
        <w:rPr>
          <w:b w:val="0"/>
          <w:bCs w:val="0"/>
        </w:rPr>
        <w:t>trial judge rule</w:t>
      </w:r>
      <w:r w:rsidR="00047264" w:rsidRPr="00406072">
        <w:rPr>
          <w:b w:val="0"/>
          <w:bCs w:val="0"/>
        </w:rPr>
        <w:t>d</w:t>
      </w:r>
      <w:r w:rsidR="00E9131A" w:rsidRPr="00406072">
        <w:rPr>
          <w:b w:val="0"/>
          <w:bCs w:val="0"/>
        </w:rPr>
        <w:t xml:space="preserve"> </w:t>
      </w:r>
      <w:r w:rsidR="00F650DB" w:rsidRPr="00406072">
        <w:rPr>
          <w:b w:val="0"/>
          <w:bCs w:val="0"/>
        </w:rPr>
        <w:t>that a jury might accept that he had lost his control, following her threats</w:t>
      </w:r>
      <w:r w:rsidR="008E7E91" w:rsidRPr="00406072">
        <w:rPr>
          <w:b w:val="0"/>
          <w:bCs w:val="0"/>
        </w:rPr>
        <w:t xml:space="preserve">. Nevertheless, </w:t>
      </w:r>
      <w:r w:rsidR="00F650DB" w:rsidRPr="00406072">
        <w:rPr>
          <w:b w:val="0"/>
          <w:bCs w:val="0"/>
        </w:rPr>
        <w:t xml:space="preserve">even when taking the whole relationship </w:t>
      </w:r>
      <w:r w:rsidR="009622D3" w:rsidRPr="00406072">
        <w:rPr>
          <w:b w:val="0"/>
          <w:bCs w:val="0"/>
        </w:rPr>
        <w:t xml:space="preserve">into context, </w:t>
      </w:r>
      <w:r w:rsidR="008E7E91" w:rsidRPr="00406072">
        <w:rPr>
          <w:b w:val="0"/>
          <w:bCs w:val="0"/>
        </w:rPr>
        <w:t xml:space="preserve">it was held that </w:t>
      </w:r>
      <w:r w:rsidR="009622D3" w:rsidRPr="00406072">
        <w:rPr>
          <w:b w:val="0"/>
          <w:bCs w:val="0"/>
        </w:rPr>
        <w:t>the circumstances did not satisfy the trigger under s</w:t>
      </w:r>
      <w:r w:rsidR="00EA52FE" w:rsidRPr="00406072">
        <w:rPr>
          <w:b w:val="0"/>
          <w:bCs w:val="0"/>
        </w:rPr>
        <w:t>ection</w:t>
      </w:r>
      <w:r w:rsidR="009622D3" w:rsidRPr="00406072">
        <w:rPr>
          <w:b w:val="0"/>
          <w:bCs w:val="0"/>
        </w:rPr>
        <w:t xml:space="preserve"> 55(4)</w:t>
      </w:r>
      <w:r w:rsidR="00346B95" w:rsidRPr="00406072">
        <w:rPr>
          <w:b w:val="0"/>
          <w:bCs w:val="0"/>
        </w:rPr>
        <w:t>, and the Court of Appeal upheld his murder conviction.</w:t>
      </w:r>
    </w:p>
    <w:p w14:paraId="0839FF1C" w14:textId="33FC892C" w:rsidR="006E479C" w:rsidRPr="00406072" w:rsidRDefault="006E479C" w:rsidP="00AC6C21">
      <w:pPr>
        <w:autoSpaceDE w:val="0"/>
        <w:autoSpaceDN w:val="0"/>
        <w:adjustRightInd w:val="0"/>
        <w:spacing w:line="360" w:lineRule="auto"/>
        <w:ind w:firstLine="720"/>
        <w:contextualSpacing/>
        <w:jc w:val="both"/>
        <w:rPr>
          <w:b w:val="0"/>
          <w:bCs w:val="0"/>
        </w:rPr>
      </w:pPr>
    </w:p>
    <w:p w14:paraId="4DC54A72" w14:textId="31AA8C31" w:rsidR="006E479C" w:rsidRPr="00406072" w:rsidRDefault="006E479C" w:rsidP="00782491">
      <w:pPr>
        <w:autoSpaceDE w:val="0"/>
        <w:autoSpaceDN w:val="0"/>
        <w:adjustRightInd w:val="0"/>
        <w:spacing w:line="360" w:lineRule="auto"/>
        <w:contextualSpacing/>
        <w:jc w:val="both"/>
        <w:rPr>
          <w:b w:val="0"/>
          <w:bCs w:val="0"/>
        </w:rPr>
      </w:pPr>
      <w:r w:rsidRPr="00406072">
        <w:rPr>
          <w:b w:val="0"/>
          <w:bCs w:val="0"/>
        </w:rPr>
        <w:t xml:space="preserve">In some respects, it is difficult to reconcile these </w:t>
      </w:r>
      <w:r w:rsidR="0026771E" w:rsidRPr="00406072">
        <w:rPr>
          <w:b w:val="0"/>
          <w:bCs w:val="0"/>
        </w:rPr>
        <w:t>cases</w:t>
      </w:r>
      <w:r w:rsidRPr="00406072">
        <w:rPr>
          <w:b w:val="0"/>
          <w:bCs w:val="0"/>
        </w:rPr>
        <w:t xml:space="preserve"> with the decisions in </w:t>
      </w:r>
      <w:r w:rsidR="00EA52FE" w:rsidRPr="00406072">
        <w:rPr>
          <w:b w:val="0"/>
          <w:bCs w:val="0"/>
          <w:i/>
          <w:iCs/>
        </w:rPr>
        <w:t>R v Clinton</w:t>
      </w:r>
      <w:r w:rsidRPr="00406072">
        <w:rPr>
          <w:b w:val="0"/>
          <w:bCs w:val="0"/>
        </w:rPr>
        <w:t>,</w:t>
      </w:r>
      <w:r w:rsidRPr="00406072">
        <w:rPr>
          <w:b w:val="0"/>
          <w:bCs w:val="0"/>
          <w:i/>
          <w:iCs/>
        </w:rPr>
        <w:t xml:space="preserve"> </w:t>
      </w:r>
      <w:r w:rsidR="00051204" w:rsidRPr="00406072">
        <w:rPr>
          <w:b w:val="0"/>
          <w:bCs w:val="0"/>
          <w:i/>
          <w:iCs/>
        </w:rPr>
        <w:t>R v B</w:t>
      </w:r>
      <w:r w:rsidRPr="00406072">
        <w:rPr>
          <w:b w:val="0"/>
          <w:bCs w:val="0"/>
          <w:i/>
          <w:iCs/>
        </w:rPr>
        <w:t>ird</w:t>
      </w:r>
      <w:r w:rsidR="00044400">
        <w:rPr>
          <w:b w:val="0"/>
          <w:bCs w:val="0"/>
        </w:rPr>
        <w:t>,</w:t>
      </w:r>
      <w:r w:rsidRPr="00406072">
        <w:rPr>
          <w:b w:val="0"/>
          <w:bCs w:val="0"/>
          <w:i/>
          <w:iCs/>
        </w:rPr>
        <w:t xml:space="preserve"> </w:t>
      </w:r>
      <w:r w:rsidRPr="00406072">
        <w:rPr>
          <w:b w:val="0"/>
          <w:bCs w:val="0"/>
        </w:rPr>
        <w:t xml:space="preserve">and </w:t>
      </w:r>
      <w:r w:rsidR="00051204" w:rsidRPr="00406072">
        <w:rPr>
          <w:b w:val="0"/>
          <w:bCs w:val="0"/>
          <w:i/>
          <w:iCs/>
        </w:rPr>
        <w:t xml:space="preserve">R v </w:t>
      </w:r>
      <w:proofErr w:type="spellStart"/>
      <w:r w:rsidR="00051204" w:rsidRPr="00406072">
        <w:rPr>
          <w:b w:val="0"/>
          <w:bCs w:val="0"/>
          <w:i/>
          <w:iCs/>
        </w:rPr>
        <w:t>B</w:t>
      </w:r>
      <w:r w:rsidRPr="00406072">
        <w:rPr>
          <w:b w:val="0"/>
          <w:bCs w:val="0"/>
          <w:i/>
          <w:iCs/>
        </w:rPr>
        <w:t>rehmer</w:t>
      </w:r>
      <w:proofErr w:type="spellEnd"/>
      <w:r w:rsidR="0026771E" w:rsidRPr="00406072">
        <w:rPr>
          <w:b w:val="0"/>
          <w:bCs w:val="0"/>
        </w:rPr>
        <w:t>.</w:t>
      </w:r>
      <w:r w:rsidR="0026771E" w:rsidRPr="00406072">
        <w:rPr>
          <w:b w:val="0"/>
          <w:bCs w:val="0"/>
          <w:i/>
          <w:iCs/>
        </w:rPr>
        <w:t xml:space="preserve"> </w:t>
      </w:r>
      <w:r w:rsidRPr="00406072">
        <w:rPr>
          <w:b w:val="0"/>
          <w:bCs w:val="0"/>
        </w:rPr>
        <w:t xml:space="preserve">However, it needs to be noted </w:t>
      </w:r>
      <w:r w:rsidR="00284112" w:rsidRPr="00406072">
        <w:rPr>
          <w:b w:val="0"/>
          <w:bCs w:val="0"/>
        </w:rPr>
        <w:t>that i</w:t>
      </w:r>
      <w:r w:rsidR="008866BF" w:rsidRPr="00406072">
        <w:rPr>
          <w:b w:val="0"/>
          <w:bCs w:val="0"/>
        </w:rPr>
        <w:t>n the first</w:t>
      </w:r>
      <w:r w:rsidR="00284112" w:rsidRPr="00406072">
        <w:rPr>
          <w:b w:val="0"/>
          <w:bCs w:val="0"/>
        </w:rPr>
        <w:t xml:space="preserve"> two</w:t>
      </w:r>
      <w:r w:rsidRPr="00406072">
        <w:rPr>
          <w:b w:val="0"/>
          <w:bCs w:val="0"/>
        </w:rPr>
        <w:t xml:space="preserve"> cases the appeal foundered on the fact that there was no or very little evidence of a loss of self-control, and accordingly the court was not required to consider </w:t>
      </w:r>
      <w:proofErr w:type="gramStart"/>
      <w:r w:rsidRPr="00406072">
        <w:rPr>
          <w:b w:val="0"/>
          <w:bCs w:val="0"/>
        </w:rPr>
        <w:t>whether or not</w:t>
      </w:r>
      <w:proofErr w:type="gramEnd"/>
      <w:r w:rsidRPr="00406072">
        <w:rPr>
          <w:b w:val="0"/>
          <w:bCs w:val="0"/>
        </w:rPr>
        <w:t xml:space="preserve"> there was a qualifying trigger. It could be</w:t>
      </w:r>
      <w:r w:rsidR="00657257" w:rsidRPr="00406072">
        <w:rPr>
          <w:b w:val="0"/>
          <w:bCs w:val="0"/>
        </w:rPr>
        <w:t xml:space="preserve"> that a judge is quick to find a qualifying trigger when </w:t>
      </w:r>
      <w:r w:rsidRPr="00406072">
        <w:rPr>
          <w:b w:val="0"/>
          <w:bCs w:val="0"/>
        </w:rPr>
        <w:t xml:space="preserve">there is evidence of a loss of control, </w:t>
      </w:r>
      <w:r w:rsidR="00284112" w:rsidRPr="00406072">
        <w:rPr>
          <w:b w:val="0"/>
          <w:bCs w:val="0"/>
        </w:rPr>
        <w:t xml:space="preserve">although this was not the situation in </w:t>
      </w:r>
      <w:r w:rsidR="00482965" w:rsidRPr="00406072">
        <w:rPr>
          <w:b w:val="0"/>
          <w:bCs w:val="0"/>
          <w:i/>
          <w:iCs/>
        </w:rPr>
        <w:t>R v M</w:t>
      </w:r>
      <w:r w:rsidR="00284112" w:rsidRPr="00406072">
        <w:rPr>
          <w:b w:val="0"/>
          <w:bCs w:val="0"/>
          <w:i/>
          <w:iCs/>
        </w:rPr>
        <w:t>cDonald</w:t>
      </w:r>
      <w:r w:rsidR="00482965" w:rsidRPr="00406072">
        <w:rPr>
          <w:b w:val="0"/>
          <w:bCs w:val="0"/>
          <w:i/>
          <w:iCs/>
        </w:rPr>
        <w:t xml:space="preserve"> </w:t>
      </w:r>
      <w:r w:rsidR="00482965" w:rsidRPr="002B016D">
        <w:rPr>
          <w:b w:val="0"/>
          <w:bCs w:val="0"/>
          <w:color w:val="000000"/>
        </w:rPr>
        <w:t>[2016] EWCA Crim 1529</w:t>
      </w:r>
      <w:r w:rsidR="00284112" w:rsidRPr="00406072">
        <w:rPr>
          <w:b w:val="0"/>
          <w:bCs w:val="0"/>
          <w:i/>
          <w:iCs/>
        </w:rPr>
        <w:t>.</w:t>
      </w:r>
      <w:r w:rsidR="00284112" w:rsidRPr="00406072">
        <w:rPr>
          <w:b w:val="0"/>
          <w:bCs w:val="0"/>
        </w:rPr>
        <w:t xml:space="preserve"> </w:t>
      </w:r>
      <w:r w:rsidR="008866BF" w:rsidRPr="00406072">
        <w:rPr>
          <w:b w:val="0"/>
          <w:bCs w:val="0"/>
        </w:rPr>
        <w:t>What</w:t>
      </w:r>
      <w:r w:rsidRPr="00406072">
        <w:rPr>
          <w:b w:val="0"/>
          <w:bCs w:val="0"/>
        </w:rPr>
        <w:t xml:space="preserve"> these cases also show is that the appeal court will defer to the judgement of the trial judge, who is recogni</w:t>
      </w:r>
      <w:r w:rsidR="00846D6D" w:rsidRPr="00406072">
        <w:rPr>
          <w:b w:val="0"/>
          <w:bCs w:val="0"/>
        </w:rPr>
        <w:t>s</w:t>
      </w:r>
      <w:r w:rsidRPr="00406072">
        <w:rPr>
          <w:b w:val="0"/>
          <w:bCs w:val="0"/>
        </w:rPr>
        <w:t>ed to have had the opportunity to undertake a more thorough evaluation of the evidence. This in turn recogni</w:t>
      </w:r>
      <w:r w:rsidR="00846D6D" w:rsidRPr="00406072">
        <w:rPr>
          <w:b w:val="0"/>
          <w:bCs w:val="0"/>
        </w:rPr>
        <w:t>s</w:t>
      </w:r>
      <w:r w:rsidRPr="00406072">
        <w:rPr>
          <w:b w:val="0"/>
          <w:bCs w:val="0"/>
        </w:rPr>
        <w:t>es the importance of the trial judge as a significant gatekeeper of the new partial defence</w:t>
      </w:r>
      <w:r w:rsidR="00E70B30" w:rsidRPr="00406072">
        <w:rPr>
          <w:b w:val="0"/>
          <w:bCs w:val="0"/>
        </w:rPr>
        <w:t xml:space="preserve"> (Stannard</w:t>
      </w:r>
      <w:r w:rsidR="00846D6D" w:rsidRPr="00406072">
        <w:rPr>
          <w:b w:val="0"/>
          <w:bCs w:val="0"/>
        </w:rPr>
        <w:t>,</w:t>
      </w:r>
      <w:r w:rsidR="00E70B30" w:rsidRPr="00406072">
        <w:rPr>
          <w:b w:val="0"/>
          <w:bCs w:val="0"/>
        </w:rPr>
        <w:t xml:space="preserve"> 2019)</w:t>
      </w:r>
      <w:r w:rsidRPr="00406072">
        <w:rPr>
          <w:b w:val="0"/>
          <w:bCs w:val="0"/>
        </w:rPr>
        <w:t>. This suggests that a more thorough analysis of trial cases in which the defence of loss of control is permitted by the trial judge needs to be undertaken.</w:t>
      </w:r>
    </w:p>
    <w:p w14:paraId="0CEE4C69" w14:textId="2CF61BA8" w:rsidR="00B51B0B" w:rsidRPr="00406072" w:rsidRDefault="00B51B0B" w:rsidP="00AC6C21">
      <w:pPr>
        <w:autoSpaceDE w:val="0"/>
        <w:autoSpaceDN w:val="0"/>
        <w:adjustRightInd w:val="0"/>
        <w:spacing w:line="360" w:lineRule="auto"/>
        <w:ind w:firstLine="720"/>
        <w:contextualSpacing/>
        <w:jc w:val="both"/>
        <w:rPr>
          <w:b w:val="0"/>
          <w:bCs w:val="0"/>
        </w:rPr>
      </w:pPr>
    </w:p>
    <w:p w14:paraId="56D8367D" w14:textId="57654082" w:rsidR="004A4F33" w:rsidRPr="0016775C" w:rsidRDefault="00E41152" w:rsidP="00782491">
      <w:pPr>
        <w:autoSpaceDE w:val="0"/>
        <w:autoSpaceDN w:val="0"/>
        <w:adjustRightInd w:val="0"/>
        <w:spacing w:line="360" w:lineRule="auto"/>
        <w:contextualSpacing/>
        <w:jc w:val="both"/>
        <w:rPr>
          <w:b w:val="0"/>
          <w:bCs w:val="0"/>
        </w:rPr>
      </w:pPr>
      <w:r w:rsidRPr="00406072">
        <w:rPr>
          <w:b w:val="0"/>
          <w:bCs w:val="0"/>
        </w:rPr>
        <w:t>While the</w:t>
      </w:r>
      <w:r w:rsidR="00F20813" w:rsidRPr="00406072">
        <w:rPr>
          <w:b w:val="0"/>
          <w:bCs w:val="0"/>
        </w:rPr>
        <w:t xml:space="preserve"> outcomes in these three cases indicate that the more restrictive nature of loss of control </w:t>
      </w:r>
      <w:r w:rsidR="008D6E06" w:rsidRPr="00406072">
        <w:rPr>
          <w:b w:val="0"/>
          <w:bCs w:val="0"/>
        </w:rPr>
        <w:t>has to some extent</w:t>
      </w:r>
      <w:r w:rsidR="00F20813" w:rsidRPr="00406072">
        <w:rPr>
          <w:b w:val="0"/>
          <w:bCs w:val="0"/>
        </w:rPr>
        <w:t xml:space="preserve"> limit</w:t>
      </w:r>
      <w:r w:rsidR="00851A2D" w:rsidRPr="00406072">
        <w:rPr>
          <w:b w:val="0"/>
          <w:bCs w:val="0"/>
        </w:rPr>
        <w:t>ed</w:t>
      </w:r>
      <w:r w:rsidR="00F20813" w:rsidRPr="00406072">
        <w:rPr>
          <w:b w:val="0"/>
          <w:bCs w:val="0"/>
        </w:rPr>
        <w:t xml:space="preserve"> </w:t>
      </w:r>
      <w:r w:rsidR="00973DAA" w:rsidRPr="00406072">
        <w:rPr>
          <w:b w:val="0"/>
          <w:bCs w:val="0"/>
        </w:rPr>
        <w:t>the</w:t>
      </w:r>
      <w:r w:rsidR="00F20813" w:rsidRPr="00406072">
        <w:rPr>
          <w:b w:val="0"/>
          <w:bCs w:val="0"/>
        </w:rPr>
        <w:t xml:space="preserve"> availability </w:t>
      </w:r>
      <w:r w:rsidR="00973DAA" w:rsidRPr="00406072">
        <w:rPr>
          <w:b w:val="0"/>
          <w:bCs w:val="0"/>
        </w:rPr>
        <w:t>of the partial defence</w:t>
      </w:r>
      <w:r w:rsidR="000D7DF6" w:rsidRPr="00406072">
        <w:rPr>
          <w:b w:val="0"/>
          <w:bCs w:val="0"/>
        </w:rPr>
        <w:t xml:space="preserve"> for</w:t>
      </w:r>
      <w:r w:rsidR="00F20813" w:rsidRPr="00406072">
        <w:rPr>
          <w:b w:val="0"/>
          <w:bCs w:val="0"/>
        </w:rPr>
        <w:t xml:space="preserve"> men in cases involving relationship breakdown, the</w:t>
      </w:r>
      <w:r w:rsidR="004A4F33" w:rsidRPr="00406072">
        <w:rPr>
          <w:b w:val="0"/>
          <w:bCs w:val="0"/>
        </w:rPr>
        <w:t xml:space="preserve"> case of </w:t>
      </w:r>
      <w:r w:rsidR="004A4F33" w:rsidRPr="00406072">
        <w:rPr>
          <w:b w:val="0"/>
          <w:bCs w:val="0"/>
          <w:i/>
          <w:iCs/>
        </w:rPr>
        <w:t>R v Wilcox</w:t>
      </w:r>
      <w:r w:rsidR="00A839DE" w:rsidRPr="00406072">
        <w:rPr>
          <w:b w:val="0"/>
          <w:bCs w:val="0"/>
        </w:rPr>
        <w:t xml:space="preserve"> </w:t>
      </w:r>
      <w:r w:rsidR="00373494" w:rsidRPr="002B016D">
        <w:rPr>
          <w:b w:val="0"/>
          <w:bCs w:val="0"/>
          <w:color w:val="000000"/>
        </w:rPr>
        <w:t>[2016] EWCA Crim 2043</w:t>
      </w:r>
      <w:r w:rsidR="00F20813" w:rsidRPr="0016775C">
        <w:rPr>
          <w:b w:val="0"/>
          <w:bCs w:val="0"/>
          <w:i/>
          <w:iCs/>
        </w:rPr>
        <w:t xml:space="preserve"> </w:t>
      </w:r>
      <w:r w:rsidR="00F20813" w:rsidRPr="0016775C">
        <w:rPr>
          <w:b w:val="0"/>
          <w:bCs w:val="0"/>
        </w:rPr>
        <w:t xml:space="preserve">paints </w:t>
      </w:r>
      <w:r w:rsidR="001F0007" w:rsidRPr="0016775C">
        <w:rPr>
          <w:b w:val="0"/>
          <w:bCs w:val="0"/>
        </w:rPr>
        <w:t xml:space="preserve">a </w:t>
      </w:r>
      <w:r w:rsidR="00F20813" w:rsidRPr="0016775C">
        <w:rPr>
          <w:b w:val="0"/>
          <w:bCs w:val="0"/>
        </w:rPr>
        <w:t>less promising picture</w:t>
      </w:r>
      <w:r w:rsidR="004A4F33" w:rsidRPr="0016775C">
        <w:rPr>
          <w:b w:val="0"/>
          <w:bCs w:val="0"/>
          <w:i/>
          <w:iCs/>
        </w:rPr>
        <w:t xml:space="preserve">. </w:t>
      </w:r>
      <w:r w:rsidR="00663DAD" w:rsidRPr="0016775C">
        <w:rPr>
          <w:b w:val="0"/>
          <w:bCs w:val="0"/>
        </w:rPr>
        <w:t>T</w:t>
      </w:r>
      <w:r w:rsidR="004A4F33" w:rsidRPr="0016775C">
        <w:rPr>
          <w:b w:val="0"/>
          <w:bCs w:val="0"/>
        </w:rPr>
        <w:t xml:space="preserve">he appellant was convicted </w:t>
      </w:r>
      <w:r w:rsidR="00530853" w:rsidRPr="0016775C">
        <w:rPr>
          <w:b w:val="0"/>
          <w:bCs w:val="0"/>
        </w:rPr>
        <w:t>twice of</w:t>
      </w:r>
      <w:r w:rsidR="002E077E" w:rsidRPr="0016775C">
        <w:rPr>
          <w:b w:val="0"/>
          <w:bCs w:val="0"/>
        </w:rPr>
        <w:t xml:space="preserve"> murder</w:t>
      </w:r>
      <w:r w:rsidR="00973DAA" w:rsidRPr="0016775C">
        <w:rPr>
          <w:b w:val="0"/>
          <w:bCs w:val="0"/>
        </w:rPr>
        <w:t>ing</w:t>
      </w:r>
      <w:r w:rsidR="002E077E" w:rsidRPr="0016775C">
        <w:rPr>
          <w:b w:val="0"/>
          <w:bCs w:val="0"/>
        </w:rPr>
        <w:t xml:space="preserve"> his girlfriend. His original conviction was quashed, but on retrial he was again convicted for murder and sentenced to 16 years</w:t>
      </w:r>
      <w:r w:rsidR="00530853" w:rsidRPr="0016775C">
        <w:rPr>
          <w:b w:val="0"/>
          <w:bCs w:val="0"/>
        </w:rPr>
        <w:t>’</w:t>
      </w:r>
      <w:r w:rsidR="002E077E" w:rsidRPr="0016775C">
        <w:rPr>
          <w:b w:val="0"/>
          <w:bCs w:val="0"/>
        </w:rPr>
        <w:t xml:space="preserve"> imprisonment. He appealed against </w:t>
      </w:r>
      <w:r w:rsidR="001D018F" w:rsidRPr="0016775C">
        <w:rPr>
          <w:b w:val="0"/>
          <w:bCs w:val="0"/>
        </w:rPr>
        <w:t xml:space="preserve">the </w:t>
      </w:r>
      <w:r w:rsidR="002E077E" w:rsidRPr="0016775C">
        <w:rPr>
          <w:b w:val="0"/>
          <w:bCs w:val="0"/>
        </w:rPr>
        <w:t>sentence and</w:t>
      </w:r>
      <w:r w:rsidR="00DF2880" w:rsidRPr="0016775C">
        <w:rPr>
          <w:b w:val="0"/>
          <w:bCs w:val="0"/>
        </w:rPr>
        <w:t xml:space="preserve"> </w:t>
      </w:r>
      <w:r w:rsidR="002E077E" w:rsidRPr="0016775C">
        <w:rPr>
          <w:b w:val="0"/>
          <w:bCs w:val="0"/>
        </w:rPr>
        <w:t>conviction</w:t>
      </w:r>
      <w:r w:rsidR="00FC2C92" w:rsidRPr="0016775C">
        <w:rPr>
          <w:b w:val="0"/>
          <w:bCs w:val="0"/>
        </w:rPr>
        <w:t>. The grounds for his appeal related to diminished responsibility and loss of self-control, but it is the latter that is our primary concern.</w:t>
      </w:r>
      <w:r w:rsidR="004577A5" w:rsidRPr="0016775C">
        <w:rPr>
          <w:b w:val="0"/>
          <w:bCs w:val="0"/>
        </w:rPr>
        <w:t xml:space="preserve"> What is </w:t>
      </w:r>
      <w:r w:rsidR="00571368" w:rsidRPr="0016775C">
        <w:rPr>
          <w:b w:val="0"/>
          <w:bCs w:val="0"/>
        </w:rPr>
        <w:t>significant</w:t>
      </w:r>
      <w:r w:rsidR="004577A5" w:rsidRPr="0016775C">
        <w:rPr>
          <w:b w:val="0"/>
          <w:bCs w:val="0"/>
        </w:rPr>
        <w:t xml:space="preserve"> is that the defence was left to the jury, and while the </w:t>
      </w:r>
      <w:r w:rsidR="00571368" w:rsidRPr="0016775C">
        <w:rPr>
          <w:b w:val="0"/>
          <w:bCs w:val="0"/>
        </w:rPr>
        <w:t xml:space="preserve">jury </w:t>
      </w:r>
      <w:r w:rsidR="004577A5" w:rsidRPr="0016775C">
        <w:rPr>
          <w:b w:val="0"/>
          <w:bCs w:val="0"/>
        </w:rPr>
        <w:t>return</w:t>
      </w:r>
      <w:r w:rsidR="00571368" w:rsidRPr="0016775C">
        <w:rPr>
          <w:b w:val="0"/>
          <w:bCs w:val="0"/>
        </w:rPr>
        <w:t>ed</w:t>
      </w:r>
      <w:r w:rsidR="004577A5" w:rsidRPr="0016775C">
        <w:rPr>
          <w:b w:val="0"/>
          <w:bCs w:val="0"/>
        </w:rPr>
        <w:t xml:space="preserve"> a murder </w:t>
      </w:r>
      <w:r w:rsidR="00C24BA3" w:rsidRPr="0016775C">
        <w:rPr>
          <w:b w:val="0"/>
          <w:bCs w:val="0"/>
        </w:rPr>
        <w:t>conviction,</w:t>
      </w:r>
      <w:r w:rsidR="004577A5" w:rsidRPr="0016775C">
        <w:rPr>
          <w:b w:val="0"/>
          <w:bCs w:val="0"/>
        </w:rPr>
        <w:t xml:space="preserve"> the trial judge clearly considered that there was sufficient evidence</w:t>
      </w:r>
      <w:r w:rsidR="00C24BA3" w:rsidRPr="0016775C">
        <w:rPr>
          <w:b w:val="0"/>
          <w:bCs w:val="0"/>
        </w:rPr>
        <w:t xml:space="preserve"> for the partial defence. However, as with the cases of </w:t>
      </w:r>
      <w:r w:rsidR="00D13C05" w:rsidRPr="0016775C">
        <w:rPr>
          <w:b w:val="0"/>
          <w:bCs w:val="0"/>
          <w:i/>
          <w:iCs/>
        </w:rPr>
        <w:t xml:space="preserve">R v </w:t>
      </w:r>
      <w:r w:rsidR="00C24BA3" w:rsidRPr="0016775C">
        <w:rPr>
          <w:b w:val="0"/>
          <w:bCs w:val="0"/>
          <w:i/>
          <w:iCs/>
        </w:rPr>
        <w:t>Bird</w:t>
      </w:r>
      <w:r w:rsidR="00C24BA3" w:rsidRPr="0016775C">
        <w:rPr>
          <w:b w:val="0"/>
          <w:bCs w:val="0"/>
        </w:rPr>
        <w:t xml:space="preserve"> and </w:t>
      </w:r>
      <w:r w:rsidR="00D13C05" w:rsidRPr="0016775C">
        <w:rPr>
          <w:b w:val="0"/>
          <w:bCs w:val="0"/>
          <w:i/>
          <w:iCs/>
        </w:rPr>
        <w:t xml:space="preserve">R v </w:t>
      </w:r>
      <w:proofErr w:type="spellStart"/>
      <w:r w:rsidR="00C24BA3" w:rsidRPr="0016775C">
        <w:rPr>
          <w:b w:val="0"/>
          <w:bCs w:val="0"/>
          <w:i/>
          <w:iCs/>
        </w:rPr>
        <w:t>Bremher</w:t>
      </w:r>
      <w:proofErr w:type="spellEnd"/>
      <w:r w:rsidR="00C24BA3" w:rsidRPr="0016775C">
        <w:rPr>
          <w:b w:val="0"/>
          <w:bCs w:val="0"/>
        </w:rPr>
        <w:t>, the</w:t>
      </w:r>
      <w:r w:rsidR="009013E2" w:rsidRPr="0016775C">
        <w:rPr>
          <w:b w:val="0"/>
          <w:bCs w:val="0"/>
        </w:rPr>
        <w:t xml:space="preserve"> extent to which there could be said to be a qualifying trigger is </w:t>
      </w:r>
      <w:r w:rsidR="00F65E89" w:rsidRPr="0016775C">
        <w:rPr>
          <w:b w:val="0"/>
          <w:bCs w:val="0"/>
        </w:rPr>
        <w:t xml:space="preserve">questionable. </w:t>
      </w:r>
      <w:r w:rsidR="00300262" w:rsidRPr="0016775C">
        <w:rPr>
          <w:b w:val="0"/>
          <w:bCs w:val="0"/>
        </w:rPr>
        <w:t>The judgement sets out that the appellant relied on the following to support the defence of loss of control:</w:t>
      </w:r>
    </w:p>
    <w:p w14:paraId="6767A874" w14:textId="2F217A02" w:rsidR="00300262" w:rsidRPr="00F413A4" w:rsidRDefault="003A5EDC" w:rsidP="003D25D4">
      <w:pPr>
        <w:autoSpaceDE w:val="0"/>
        <w:autoSpaceDN w:val="0"/>
        <w:adjustRightInd w:val="0"/>
        <w:spacing w:line="360" w:lineRule="auto"/>
        <w:ind w:left="720"/>
        <w:contextualSpacing/>
        <w:jc w:val="both"/>
        <w:rPr>
          <w:b w:val="0"/>
          <w:bCs w:val="0"/>
        </w:rPr>
      </w:pPr>
      <w:r w:rsidRPr="003A5EDC" w:rsidDel="003A5EDC">
        <w:rPr>
          <w:b w:val="0"/>
          <w:bCs w:val="0"/>
        </w:rPr>
        <w:lastRenderedPageBreak/>
        <w:t xml:space="preserve"> </w:t>
      </w:r>
      <w:r w:rsidR="00300262" w:rsidRPr="00F413A4">
        <w:rPr>
          <w:b w:val="0"/>
          <w:bCs w:val="0"/>
        </w:rPr>
        <w:t>(</w:t>
      </w:r>
      <w:proofErr w:type="spellStart"/>
      <w:r w:rsidR="00300262" w:rsidRPr="00F413A4">
        <w:rPr>
          <w:b w:val="0"/>
          <w:bCs w:val="0"/>
        </w:rPr>
        <w:t>i</w:t>
      </w:r>
      <w:proofErr w:type="spellEnd"/>
      <w:r w:rsidR="00300262" w:rsidRPr="00F413A4">
        <w:rPr>
          <w:b w:val="0"/>
          <w:bCs w:val="0"/>
        </w:rPr>
        <w:t xml:space="preserve">) Ms Shaw told him he was useless and a </w:t>
      </w:r>
      <w:proofErr w:type="gramStart"/>
      <w:r w:rsidR="00300262" w:rsidRPr="00F413A4">
        <w:rPr>
          <w:b w:val="0"/>
          <w:bCs w:val="0"/>
        </w:rPr>
        <w:t>disgrace;</w:t>
      </w:r>
      <w:proofErr w:type="gramEnd"/>
    </w:p>
    <w:p w14:paraId="0EB653DE" w14:textId="77777777" w:rsidR="00300262" w:rsidRPr="00F413A4" w:rsidRDefault="00300262" w:rsidP="003D25D4">
      <w:pPr>
        <w:autoSpaceDE w:val="0"/>
        <w:autoSpaceDN w:val="0"/>
        <w:adjustRightInd w:val="0"/>
        <w:spacing w:line="360" w:lineRule="auto"/>
        <w:ind w:left="720"/>
        <w:contextualSpacing/>
        <w:jc w:val="both"/>
        <w:rPr>
          <w:b w:val="0"/>
          <w:bCs w:val="0"/>
        </w:rPr>
      </w:pPr>
      <w:r w:rsidRPr="00F413A4">
        <w:rPr>
          <w:b w:val="0"/>
          <w:bCs w:val="0"/>
        </w:rPr>
        <w:t xml:space="preserve">(ii) She was angry and screamed at </w:t>
      </w:r>
      <w:proofErr w:type="gramStart"/>
      <w:r w:rsidRPr="00F413A4">
        <w:rPr>
          <w:b w:val="0"/>
          <w:bCs w:val="0"/>
        </w:rPr>
        <w:t>him;</w:t>
      </w:r>
      <w:proofErr w:type="gramEnd"/>
    </w:p>
    <w:p w14:paraId="03BC2A71" w14:textId="77777777" w:rsidR="00300262" w:rsidRPr="00F413A4" w:rsidRDefault="00300262" w:rsidP="003D25D4">
      <w:pPr>
        <w:autoSpaceDE w:val="0"/>
        <w:autoSpaceDN w:val="0"/>
        <w:adjustRightInd w:val="0"/>
        <w:spacing w:line="360" w:lineRule="auto"/>
        <w:ind w:left="720"/>
        <w:contextualSpacing/>
        <w:jc w:val="both"/>
        <w:rPr>
          <w:b w:val="0"/>
          <w:bCs w:val="0"/>
        </w:rPr>
      </w:pPr>
      <w:r w:rsidRPr="00F413A4">
        <w:rPr>
          <w:b w:val="0"/>
          <w:bCs w:val="0"/>
        </w:rPr>
        <w:t xml:space="preserve">(iii) When he tried to apologise for strangling her the first time, she called him a dickhead and said he would not see his daughter </w:t>
      </w:r>
      <w:proofErr w:type="gramStart"/>
      <w:r w:rsidRPr="00F413A4">
        <w:rPr>
          <w:b w:val="0"/>
          <w:bCs w:val="0"/>
        </w:rPr>
        <w:t>again;</w:t>
      </w:r>
      <w:proofErr w:type="gramEnd"/>
    </w:p>
    <w:p w14:paraId="7461EBA6" w14:textId="4827C2C5" w:rsidR="00300262" w:rsidRPr="00F413A4" w:rsidRDefault="00300262" w:rsidP="003D25D4">
      <w:pPr>
        <w:autoSpaceDE w:val="0"/>
        <w:autoSpaceDN w:val="0"/>
        <w:adjustRightInd w:val="0"/>
        <w:spacing w:line="360" w:lineRule="auto"/>
        <w:ind w:left="720"/>
        <w:contextualSpacing/>
        <w:jc w:val="both"/>
        <w:rPr>
          <w:b w:val="0"/>
          <w:bCs w:val="0"/>
        </w:rPr>
      </w:pPr>
      <w:r w:rsidRPr="00F413A4">
        <w:rPr>
          <w:b w:val="0"/>
          <w:bCs w:val="0"/>
        </w:rPr>
        <w:t>(iv) Ms Shaw repeated that he was useless, told him he should have killed himself, he was worthless and no good to anyone, and, that he was “a shit shag” in comparison to another man</w:t>
      </w:r>
      <w:r w:rsidR="00405705" w:rsidRPr="00F413A4">
        <w:rPr>
          <w:b w:val="0"/>
          <w:bCs w:val="0"/>
        </w:rPr>
        <w:t xml:space="preserve"> (</w:t>
      </w:r>
      <w:r w:rsidR="00D13C05" w:rsidRPr="00F413A4">
        <w:rPr>
          <w:b w:val="0"/>
          <w:bCs w:val="0"/>
        </w:rPr>
        <w:t xml:space="preserve">at </w:t>
      </w:r>
      <w:r w:rsidR="00405705" w:rsidRPr="00F413A4">
        <w:rPr>
          <w:b w:val="0"/>
          <w:bCs w:val="0"/>
        </w:rPr>
        <w:t>para 7)</w:t>
      </w:r>
      <w:r w:rsidR="00571368" w:rsidRPr="00F413A4">
        <w:rPr>
          <w:b w:val="0"/>
          <w:bCs w:val="0"/>
        </w:rPr>
        <w:t>.</w:t>
      </w:r>
    </w:p>
    <w:p w14:paraId="737F5ED2" w14:textId="77777777" w:rsidR="00DB5DC8" w:rsidRDefault="00DB5DC8" w:rsidP="003D25D4">
      <w:pPr>
        <w:autoSpaceDE w:val="0"/>
        <w:autoSpaceDN w:val="0"/>
        <w:adjustRightInd w:val="0"/>
        <w:spacing w:line="360" w:lineRule="auto"/>
        <w:contextualSpacing/>
        <w:jc w:val="both"/>
        <w:rPr>
          <w:b w:val="0"/>
          <w:bCs w:val="0"/>
        </w:rPr>
      </w:pPr>
    </w:p>
    <w:p w14:paraId="77C284B9" w14:textId="45734DE0" w:rsidR="00C05A29" w:rsidRPr="00F413A4" w:rsidRDefault="003864DD" w:rsidP="003D25D4">
      <w:pPr>
        <w:autoSpaceDE w:val="0"/>
        <w:autoSpaceDN w:val="0"/>
        <w:adjustRightInd w:val="0"/>
        <w:spacing w:line="360" w:lineRule="auto"/>
        <w:contextualSpacing/>
        <w:jc w:val="both"/>
        <w:rPr>
          <w:b w:val="0"/>
          <w:bCs w:val="0"/>
        </w:rPr>
      </w:pPr>
      <w:r w:rsidRPr="00F413A4">
        <w:rPr>
          <w:b w:val="0"/>
          <w:bCs w:val="0"/>
        </w:rPr>
        <w:t xml:space="preserve">The key issue for the appeal court was whether the appellant’s </w:t>
      </w:r>
      <w:r w:rsidR="000A48B4" w:rsidRPr="00F413A4">
        <w:rPr>
          <w:b w:val="0"/>
          <w:bCs w:val="0"/>
        </w:rPr>
        <w:t xml:space="preserve">mental condition was a relevant circumstance </w:t>
      </w:r>
      <w:r w:rsidR="00575CB4" w:rsidRPr="00F413A4">
        <w:rPr>
          <w:b w:val="0"/>
          <w:bCs w:val="0"/>
        </w:rPr>
        <w:t xml:space="preserve">with </w:t>
      </w:r>
      <w:r w:rsidR="00DB0CC5" w:rsidRPr="00F413A4">
        <w:rPr>
          <w:b w:val="0"/>
          <w:bCs w:val="0"/>
        </w:rPr>
        <w:t>respect</w:t>
      </w:r>
      <w:r w:rsidR="00575CB4" w:rsidRPr="00F413A4">
        <w:rPr>
          <w:b w:val="0"/>
          <w:bCs w:val="0"/>
        </w:rPr>
        <w:t xml:space="preserve"> to s</w:t>
      </w:r>
      <w:r w:rsidR="00D13C05" w:rsidRPr="00F413A4">
        <w:rPr>
          <w:b w:val="0"/>
          <w:bCs w:val="0"/>
        </w:rPr>
        <w:t xml:space="preserve">ection </w:t>
      </w:r>
      <w:r w:rsidR="000907CB" w:rsidRPr="00F413A4">
        <w:rPr>
          <w:b w:val="0"/>
          <w:bCs w:val="0"/>
        </w:rPr>
        <w:t>54(1)(c). However</w:t>
      </w:r>
      <w:r w:rsidR="00A8316D" w:rsidRPr="00F413A4">
        <w:rPr>
          <w:b w:val="0"/>
          <w:bCs w:val="0"/>
        </w:rPr>
        <w:t>,</w:t>
      </w:r>
      <w:r w:rsidR="00B36397" w:rsidRPr="00F413A4">
        <w:rPr>
          <w:b w:val="0"/>
          <w:bCs w:val="0"/>
        </w:rPr>
        <w:t xml:space="preserve"> the fact that this </w:t>
      </w:r>
      <w:r w:rsidR="00281B57" w:rsidRPr="00F413A4">
        <w:rPr>
          <w:b w:val="0"/>
          <w:bCs w:val="0"/>
        </w:rPr>
        <w:t>selection of behaviour could satisfy the requirements of s</w:t>
      </w:r>
      <w:r w:rsidR="00D13C05" w:rsidRPr="00F413A4">
        <w:rPr>
          <w:b w:val="0"/>
          <w:bCs w:val="0"/>
        </w:rPr>
        <w:t xml:space="preserve">ection </w:t>
      </w:r>
      <w:r w:rsidR="00281B57" w:rsidRPr="00F413A4">
        <w:rPr>
          <w:b w:val="0"/>
          <w:bCs w:val="0"/>
        </w:rPr>
        <w:t>55 needs to be disputed</w:t>
      </w:r>
      <w:r w:rsidR="00A8316D" w:rsidRPr="00F413A4">
        <w:rPr>
          <w:b w:val="0"/>
          <w:bCs w:val="0"/>
        </w:rPr>
        <w:t xml:space="preserve"> </w:t>
      </w:r>
      <w:r w:rsidR="00281B57" w:rsidRPr="00F413A4">
        <w:rPr>
          <w:b w:val="0"/>
          <w:bCs w:val="0"/>
        </w:rPr>
        <w:t xml:space="preserve">and sits in contrast with the cases of </w:t>
      </w:r>
      <w:r w:rsidR="00D13C05" w:rsidRPr="00F413A4">
        <w:rPr>
          <w:b w:val="0"/>
          <w:bCs w:val="0"/>
          <w:i/>
          <w:iCs/>
        </w:rPr>
        <w:t xml:space="preserve">R v </w:t>
      </w:r>
      <w:r w:rsidR="00803293" w:rsidRPr="00F413A4">
        <w:rPr>
          <w:b w:val="0"/>
          <w:bCs w:val="0"/>
          <w:i/>
          <w:iCs/>
        </w:rPr>
        <w:t xml:space="preserve">Hatter </w:t>
      </w:r>
      <w:r w:rsidR="00803293" w:rsidRPr="00F413A4">
        <w:rPr>
          <w:b w:val="0"/>
          <w:bCs w:val="0"/>
        </w:rPr>
        <w:t xml:space="preserve">and </w:t>
      </w:r>
      <w:r w:rsidR="00D13C05" w:rsidRPr="00F413A4">
        <w:rPr>
          <w:b w:val="0"/>
          <w:bCs w:val="0"/>
          <w:i/>
          <w:iCs/>
        </w:rPr>
        <w:t xml:space="preserve">R v </w:t>
      </w:r>
      <w:r w:rsidR="00803293" w:rsidRPr="00F413A4">
        <w:rPr>
          <w:b w:val="0"/>
          <w:bCs w:val="0"/>
          <w:i/>
          <w:iCs/>
        </w:rPr>
        <w:t xml:space="preserve">McDonald. </w:t>
      </w:r>
      <w:r w:rsidR="00D27A37" w:rsidRPr="00F413A4">
        <w:rPr>
          <w:b w:val="0"/>
          <w:bCs w:val="0"/>
        </w:rPr>
        <w:t>Point (iii) is particularly disconcerting</w:t>
      </w:r>
      <w:r w:rsidR="00C010D7" w:rsidRPr="00F413A4">
        <w:rPr>
          <w:b w:val="0"/>
          <w:bCs w:val="0"/>
        </w:rPr>
        <w:t>. How should someone react when their partner has previously strangled the</w:t>
      </w:r>
      <w:r w:rsidR="00575EDA" w:rsidRPr="00F413A4">
        <w:rPr>
          <w:b w:val="0"/>
          <w:bCs w:val="0"/>
        </w:rPr>
        <w:t>m and attempts to apologise</w:t>
      </w:r>
      <w:r w:rsidR="00C010D7" w:rsidRPr="00F413A4">
        <w:rPr>
          <w:b w:val="0"/>
          <w:bCs w:val="0"/>
        </w:rPr>
        <w:t xml:space="preserve">? In such circumstances, surely the </w:t>
      </w:r>
      <w:r w:rsidR="00837026" w:rsidRPr="00F413A4">
        <w:rPr>
          <w:b w:val="0"/>
          <w:bCs w:val="0"/>
        </w:rPr>
        <w:t xml:space="preserve">threat to </w:t>
      </w:r>
      <w:r w:rsidR="00575EDA" w:rsidRPr="00F413A4">
        <w:rPr>
          <w:b w:val="0"/>
          <w:bCs w:val="0"/>
        </w:rPr>
        <w:t>prevent access to children is not dispro</w:t>
      </w:r>
      <w:r w:rsidR="00DE6C8F" w:rsidRPr="00F413A4">
        <w:rPr>
          <w:b w:val="0"/>
          <w:bCs w:val="0"/>
        </w:rPr>
        <w:t>portionate, indeed, quite the opposite, given the link between domestic abuse</w:t>
      </w:r>
      <w:r w:rsidR="00012025" w:rsidRPr="00F413A4">
        <w:rPr>
          <w:b w:val="0"/>
          <w:bCs w:val="0"/>
        </w:rPr>
        <w:t xml:space="preserve">, </w:t>
      </w:r>
      <w:r w:rsidR="00DE6C8F" w:rsidRPr="00F413A4">
        <w:rPr>
          <w:b w:val="0"/>
          <w:bCs w:val="0"/>
        </w:rPr>
        <w:t>child abuse</w:t>
      </w:r>
      <w:r w:rsidR="00A13937" w:rsidRPr="00F413A4">
        <w:rPr>
          <w:b w:val="0"/>
          <w:bCs w:val="0"/>
        </w:rPr>
        <w:t>,</w:t>
      </w:r>
      <w:r w:rsidR="00DE6C8F" w:rsidRPr="00F413A4">
        <w:rPr>
          <w:b w:val="0"/>
          <w:bCs w:val="0"/>
        </w:rPr>
        <w:t xml:space="preserve"> and the failure to protect offences</w:t>
      </w:r>
      <w:r w:rsidR="00477BAB" w:rsidRPr="00F413A4">
        <w:rPr>
          <w:b w:val="0"/>
          <w:bCs w:val="0"/>
        </w:rPr>
        <w:t xml:space="preserve"> (Singh</w:t>
      </w:r>
      <w:r w:rsidR="00F60959">
        <w:rPr>
          <w:b w:val="0"/>
          <w:bCs w:val="0"/>
        </w:rPr>
        <w:t>,</w:t>
      </w:r>
      <w:r w:rsidR="00477BAB" w:rsidRPr="00F413A4">
        <w:rPr>
          <w:b w:val="0"/>
          <w:bCs w:val="0"/>
        </w:rPr>
        <w:t xml:space="preserve"> 2021)</w:t>
      </w:r>
      <w:r w:rsidR="00DE6C8F" w:rsidRPr="00F413A4">
        <w:rPr>
          <w:b w:val="0"/>
          <w:bCs w:val="0"/>
        </w:rPr>
        <w:t xml:space="preserve">. To permit this to form the basis of conduct comprising a qualifying trigger is problematic, and again points to how the law </w:t>
      </w:r>
      <w:r w:rsidR="00504AAD" w:rsidRPr="00F413A4">
        <w:rPr>
          <w:b w:val="0"/>
          <w:bCs w:val="0"/>
        </w:rPr>
        <w:t xml:space="preserve">privileges certain gender </w:t>
      </w:r>
      <w:r w:rsidR="00953FB2" w:rsidRPr="00F413A4">
        <w:rPr>
          <w:b w:val="0"/>
          <w:bCs w:val="0"/>
        </w:rPr>
        <w:t xml:space="preserve">scripts which are </w:t>
      </w:r>
      <w:r w:rsidR="00DE6C8F" w:rsidRPr="00F413A4">
        <w:rPr>
          <w:b w:val="0"/>
          <w:bCs w:val="0"/>
        </w:rPr>
        <w:t>premised on the masculine</w:t>
      </w:r>
      <w:r w:rsidR="00953FB2" w:rsidRPr="00F413A4">
        <w:rPr>
          <w:b w:val="0"/>
          <w:bCs w:val="0"/>
        </w:rPr>
        <w:t xml:space="preserve"> reaction to </w:t>
      </w:r>
      <w:r w:rsidR="00247D49" w:rsidRPr="00F413A4">
        <w:rPr>
          <w:b w:val="0"/>
          <w:bCs w:val="0"/>
        </w:rPr>
        <w:t>relationship breakdown</w:t>
      </w:r>
      <w:r w:rsidR="00DE6C8F" w:rsidRPr="00F413A4">
        <w:rPr>
          <w:b w:val="0"/>
          <w:bCs w:val="0"/>
        </w:rPr>
        <w:t xml:space="preserve"> and the </w:t>
      </w:r>
      <w:proofErr w:type="spellStart"/>
      <w:r w:rsidR="00DE6C8F" w:rsidRPr="00F413A4">
        <w:rPr>
          <w:b w:val="0"/>
          <w:bCs w:val="0"/>
        </w:rPr>
        <w:t>ungr</w:t>
      </w:r>
      <w:r w:rsidR="00F342D9" w:rsidRPr="00F413A4">
        <w:rPr>
          <w:b w:val="0"/>
          <w:bCs w:val="0"/>
        </w:rPr>
        <w:t>ie</w:t>
      </w:r>
      <w:r w:rsidR="00DE6C8F" w:rsidRPr="00F413A4">
        <w:rPr>
          <w:b w:val="0"/>
          <w:bCs w:val="0"/>
        </w:rPr>
        <w:t>vability</w:t>
      </w:r>
      <w:proofErr w:type="spellEnd"/>
      <w:r w:rsidR="00DE6C8F" w:rsidRPr="00F413A4">
        <w:rPr>
          <w:b w:val="0"/>
          <w:bCs w:val="0"/>
        </w:rPr>
        <w:t xml:space="preserve"> of </w:t>
      </w:r>
      <w:r w:rsidR="00F342D9" w:rsidRPr="00F413A4">
        <w:rPr>
          <w:b w:val="0"/>
          <w:bCs w:val="0"/>
        </w:rPr>
        <w:t xml:space="preserve">female victims </w:t>
      </w:r>
      <w:r w:rsidR="00B5067B" w:rsidRPr="00F413A4">
        <w:rPr>
          <w:b w:val="0"/>
          <w:bCs w:val="0"/>
        </w:rPr>
        <w:t xml:space="preserve">of </w:t>
      </w:r>
      <w:r w:rsidR="00F342D9" w:rsidRPr="00F413A4">
        <w:rPr>
          <w:b w:val="0"/>
          <w:bCs w:val="0"/>
        </w:rPr>
        <w:t xml:space="preserve">domestic homicide. </w:t>
      </w:r>
    </w:p>
    <w:p w14:paraId="0FF06E7D" w14:textId="133BEA81" w:rsidR="001D24E1" w:rsidRPr="00F413A4" w:rsidRDefault="001D24E1" w:rsidP="00F413A4">
      <w:pPr>
        <w:pStyle w:val="Heading2"/>
        <w:rPr>
          <w:b/>
          <w:bCs/>
        </w:rPr>
      </w:pPr>
      <w:r w:rsidRPr="002B016D">
        <w:rPr>
          <w:b/>
          <w:bCs/>
          <w:i w:val="0"/>
          <w:iCs w:val="0"/>
        </w:rPr>
        <w:t>Female Defendants</w:t>
      </w:r>
      <w:r w:rsidR="003D1A32" w:rsidRPr="002B016D">
        <w:rPr>
          <w:b/>
          <w:bCs/>
          <w:i w:val="0"/>
          <w:iCs w:val="0"/>
        </w:rPr>
        <w:t>:</w:t>
      </w:r>
      <w:r w:rsidR="00BE7D77" w:rsidRPr="002B016D">
        <w:rPr>
          <w:b/>
          <w:bCs/>
          <w:i w:val="0"/>
          <w:iCs w:val="0"/>
        </w:rPr>
        <w:t xml:space="preserve"> Still </w:t>
      </w:r>
      <w:r w:rsidR="00AA1637" w:rsidRPr="002B016D">
        <w:rPr>
          <w:b/>
          <w:bCs/>
          <w:i w:val="0"/>
          <w:iCs w:val="0"/>
        </w:rPr>
        <w:t xml:space="preserve">Relying on </w:t>
      </w:r>
      <w:r w:rsidR="00BE7D77" w:rsidRPr="002B016D">
        <w:rPr>
          <w:b/>
          <w:bCs/>
          <w:i w:val="0"/>
          <w:iCs w:val="0"/>
        </w:rPr>
        <w:t>Diminished Responsibility</w:t>
      </w:r>
      <w:r w:rsidR="00AA1637" w:rsidRPr="002B016D">
        <w:rPr>
          <w:b/>
          <w:bCs/>
          <w:i w:val="0"/>
          <w:iCs w:val="0"/>
        </w:rPr>
        <w:t>?</w:t>
      </w:r>
    </w:p>
    <w:p w14:paraId="27F7059C" w14:textId="7CA02383" w:rsidR="00626333" w:rsidRPr="00D87FC1" w:rsidRDefault="00A6519B" w:rsidP="009B078C">
      <w:pPr>
        <w:autoSpaceDE w:val="0"/>
        <w:autoSpaceDN w:val="0"/>
        <w:adjustRightInd w:val="0"/>
        <w:spacing w:line="360" w:lineRule="auto"/>
        <w:contextualSpacing/>
        <w:jc w:val="both"/>
        <w:rPr>
          <w:b w:val="0"/>
          <w:bCs w:val="0"/>
        </w:rPr>
      </w:pPr>
      <w:r w:rsidRPr="00F413A4">
        <w:rPr>
          <w:b w:val="0"/>
          <w:bCs w:val="0"/>
        </w:rPr>
        <w:t xml:space="preserve">As noted, there has been a dearth of appeal cases involving </w:t>
      </w:r>
      <w:r w:rsidR="00CB0F3F" w:rsidRPr="00F413A4">
        <w:rPr>
          <w:b w:val="0"/>
          <w:bCs w:val="0"/>
        </w:rPr>
        <w:t xml:space="preserve">loss of control with </w:t>
      </w:r>
      <w:r w:rsidR="009C736A" w:rsidRPr="00F413A4">
        <w:rPr>
          <w:b w:val="0"/>
          <w:bCs w:val="0"/>
        </w:rPr>
        <w:t>respect</w:t>
      </w:r>
      <w:r w:rsidR="00CB0F3F" w:rsidRPr="00F413A4">
        <w:rPr>
          <w:b w:val="0"/>
          <w:bCs w:val="0"/>
        </w:rPr>
        <w:t xml:space="preserve"> to </w:t>
      </w:r>
      <w:r w:rsidRPr="00F413A4">
        <w:rPr>
          <w:b w:val="0"/>
          <w:bCs w:val="0"/>
        </w:rPr>
        <w:t>women who kill their partners.</w:t>
      </w:r>
      <w:r w:rsidR="00831BCB" w:rsidRPr="00F413A4">
        <w:rPr>
          <w:b w:val="0"/>
          <w:bCs w:val="0"/>
        </w:rPr>
        <w:t xml:space="preserve"> This may s</w:t>
      </w:r>
      <w:r w:rsidR="006756B2" w:rsidRPr="00F413A4">
        <w:rPr>
          <w:b w:val="0"/>
          <w:bCs w:val="0"/>
        </w:rPr>
        <w:t>tem from the fact that women negotiate a plea of manslaughter</w:t>
      </w:r>
      <w:r w:rsidR="00B477F0" w:rsidRPr="00F413A4">
        <w:rPr>
          <w:b w:val="0"/>
          <w:bCs w:val="0"/>
        </w:rPr>
        <w:t xml:space="preserve">, either </w:t>
      </w:r>
      <w:proofErr w:type="gramStart"/>
      <w:r w:rsidR="00B477F0" w:rsidRPr="00F413A4">
        <w:rPr>
          <w:b w:val="0"/>
          <w:bCs w:val="0"/>
        </w:rPr>
        <w:t>on the basis of</w:t>
      </w:r>
      <w:proofErr w:type="gramEnd"/>
      <w:r w:rsidR="00B477F0" w:rsidRPr="00F413A4">
        <w:rPr>
          <w:b w:val="0"/>
          <w:bCs w:val="0"/>
        </w:rPr>
        <w:t xml:space="preserve"> loss of control or diminished responsibility (Mc</w:t>
      </w:r>
      <w:r w:rsidR="006E7B19" w:rsidRPr="00F413A4">
        <w:rPr>
          <w:b w:val="0"/>
          <w:bCs w:val="0"/>
        </w:rPr>
        <w:t>P</w:t>
      </w:r>
      <w:r w:rsidR="00B477F0" w:rsidRPr="00F413A4">
        <w:rPr>
          <w:b w:val="0"/>
          <w:bCs w:val="0"/>
        </w:rPr>
        <w:t>herson</w:t>
      </w:r>
      <w:r w:rsidR="00D13C05" w:rsidRPr="00F413A4">
        <w:rPr>
          <w:b w:val="0"/>
          <w:bCs w:val="0"/>
        </w:rPr>
        <w:t>,</w:t>
      </w:r>
      <w:r w:rsidR="00B477F0" w:rsidRPr="00F413A4">
        <w:rPr>
          <w:b w:val="0"/>
          <w:bCs w:val="0"/>
        </w:rPr>
        <w:t xml:space="preserve"> </w:t>
      </w:r>
      <w:r w:rsidR="006E7B19" w:rsidRPr="00F413A4">
        <w:rPr>
          <w:b w:val="0"/>
          <w:bCs w:val="0"/>
        </w:rPr>
        <w:t>2019)</w:t>
      </w:r>
      <w:r w:rsidR="006756B2" w:rsidRPr="00F413A4">
        <w:rPr>
          <w:b w:val="0"/>
          <w:bCs w:val="0"/>
        </w:rPr>
        <w:t xml:space="preserve">. </w:t>
      </w:r>
      <w:r w:rsidR="006E7B19" w:rsidRPr="00F413A4">
        <w:rPr>
          <w:b w:val="0"/>
          <w:bCs w:val="0"/>
        </w:rPr>
        <w:t>Nevertheless</w:t>
      </w:r>
      <w:r w:rsidR="006756B2" w:rsidRPr="00F413A4">
        <w:rPr>
          <w:b w:val="0"/>
          <w:bCs w:val="0"/>
        </w:rPr>
        <w:t>, research also indicates that</w:t>
      </w:r>
      <w:r w:rsidR="006E7B19" w:rsidRPr="00F413A4">
        <w:rPr>
          <w:b w:val="0"/>
          <w:bCs w:val="0"/>
        </w:rPr>
        <w:t xml:space="preserve"> the CPS are at times reluctant to accept a plea and therefore</w:t>
      </w:r>
      <w:r w:rsidR="006756B2" w:rsidRPr="00F413A4">
        <w:rPr>
          <w:b w:val="0"/>
          <w:bCs w:val="0"/>
        </w:rPr>
        <w:t xml:space="preserve"> women are frequently tried for murder (Centre for Women’s Justice</w:t>
      </w:r>
      <w:r w:rsidR="00846D6D" w:rsidRPr="00F413A4">
        <w:rPr>
          <w:b w:val="0"/>
          <w:bCs w:val="0"/>
        </w:rPr>
        <w:t>, 2021</w:t>
      </w:r>
      <w:r w:rsidR="006756B2" w:rsidRPr="00F413A4">
        <w:rPr>
          <w:b w:val="0"/>
          <w:bCs w:val="0"/>
        </w:rPr>
        <w:t xml:space="preserve">). </w:t>
      </w:r>
      <w:r w:rsidR="00C85735" w:rsidRPr="00F413A4">
        <w:rPr>
          <w:b w:val="0"/>
          <w:bCs w:val="0"/>
        </w:rPr>
        <w:t xml:space="preserve">In </w:t>
      </w:r>
      <w:r w:rsidRPr="00F413A4">
        <w:rPr>
          <w:b w:val="0"/>
          <w:bCs w:val="0"/>
        </w:rPr>
        <w:t xml:space="preserve">two </w:t>
      </w:r>
      <w:r w:rsidR="00C85735" w:rsidRPr="00F413A4">
        <w:rPr>
          <w:b w:val="0"/>
          <w:bCs w:val="0"/>
        </w:rPr>
        <w:t>of the cases</w:t>
      </w:r>
      <w:r w:rsidRPr="00F413A4">
        <w:rPr>
          <w:b w:val="0"/>
          <w:bCs w:val="0"/>
        </w:rPr>
        <w:t xml:space="preserve"> explored here</w:t>
      </w:r>
      <w:r w:rsidR="007C3A7A" w:rsidRPr="00F413A4">
        <w:rPr>
          <w:b w:val="0"/>
          <w:bCs w:val="0"/>
        </w:rPr>
        <w:t xml:space="preserve">, the </w:t>
      </w:r>
      <w:r w:rsidR="00D915DE" w:rsidRPr="00F413A4">
        <w:rPr>
          <w:b w:val="0"/>
          <w:bCs w:val="0"/>
        </w:rPr>
        <w:t xml:space="preserve">key </w:t>
      </w:r>
      <w:r w:rsidR="007C3A7A" w:rsidRPr="00F413A4">
        <w:rPr>
          <w:b w:val="0"/>
          <w:bCs w:val="0"/>
        </w:rPr>
        <w:t xml:space="preserve">issue revolved around diminished responsibility, which in turn perpetuates problematic gender scripts </w:t>
      </w:r>
      <w:r w:rsidR="00890B01" w:rsidRPr="00F413A4">
        <w:rPr>
          <w:b w:val="0"/>
          <w:bCs w:val="0"/>
        </w:rPr>
        <w:t xml:space="preserve">which </w:t>
      </w:r>
      <w:r w:rsidR="006A3CC3" w:rsidRPr="00F413A4">
        <w:rPr>
          <w:b w:val="0"/>
          <w:bCs w:val="0"/>
        </w:rPr>
        <w:t xml:space="preserve">operate to </w:t>
      </w:r>
      <w:proofErr w:type="spellStart"/>
      <w:r w:rsidR="00890B01" w:rsidRPr="00F413A4">
        <w:rPr>
          <w:b w:val="0"/>
          <w:bCs w:val="0"/>
        </w:rPr>
        <w:t>pathologise</w:t>
      </w:r>
      <w:proofErr w:type="spellEnd"/>
      <w:r w:rsidR="00890B01" w:rsidRPr="00F413A4">
        <w:rPr>
          <w:b w:val="0"/>
          <w:bCs w:val="0"/>
        </w:rPr>
        <w:t xml:space="preserve"> women who kill</w:t>
      </w:r>
      <w:r w:rsidR="00EA68D2" w:rsidRPr="00F413A4">
        <w:rPr>
          <w:b w:val="0"/>
          <w:bCs w:val="0"/>
        </w:rPr>
        <w:t xml:space="preserve"> (Carline &amp; </w:t>
      </w:r>
      <w:proofErr w:type="spellStart"/>
      <w:r w:rsidR="00EA68D2" w:rsidRPr="00F413A4">
        <w:rPr>
          <w:b w:val="0"/>
          <w:bCs w:val="0"/>
        </w:rPr>
        <w:t>Easteal</w:t>
      </w:r>
      <w:proofErr w:type="spellEnd"/>
      <w:r w:rsidR="00B567CD" w:rsidRPr="00F413A4">
        <w:rPr>
          <w:b w:val="0"/>
          <w:bCs w:val="0"/>
        </w:rPr>
        <w:t>,</w:t>
      </w:r>
      <w:r w:rsidR="00EA68D2" w:rsidRPr="00F413A4">
        <w:rPr>
          <w:b w:val="0"/>
          <w:bCs w:val="0"/>
        </w:rPr>
        <w:t xml:space="preserve"> 2014)</w:t>
      </w:r>
      <w:r w:rsidR="00EF593E" w:rsidRPr="00F413A4">
        <w:rPr>
          <w:b w:val="0"/>
          <w:bCs w:val="0"/>
        </w:rPr>
        <w:t>. This</w:t>
      </w:r>
      <w:r w:rsidR="00F65DB0" w:rsidRPr="00F413A4">
        <w:rPr>
          <w:b w:val="0"/>
          <w:bCs w:val="0"/>
        </w:rPr>
        <w:t>, it is argued,</w:t>
      </w:r>
      <w:r w:rsidR="008D23CF" w:rsidRPr="00F413A4">
        <w:rPr>
          <w:b w:val="0"/>
          <w:bCs w:val="0"/>
        </w:rPr>
        <w:t xml:space="preserve"> </w:t>
      </w:r>
      <w:r w:rsidR="006A3CC3" w:rsidRPr="00F413A4">
        <w:rPr>
          <w:b w:val="0"/>
          <w:bCs w:val="0"/>
        </w:rPr>
        <w:t>fails to recogni</w:t>
      </w:r>
      <w:r w:rsidR="00D87FC1">
        <w:rPr>
          <w:b w:val="0"/>
          <w:bCs w:val="0"/>
        </w:rPr>
        <w:t>s</w:t>
      </w:r>
      <w:r w:rsidR="006A3CC3" w:rsidRPr="00F413A4">
        <w:rPr>
          <w:b w:val="0"/>
          <w:bCs w:val="0"/>
        </w:rPr>
        <w:t>e the</w:t>
      </w:r>
      <w:r w:rsidR="00CA3E6E" w:rsidRPr="00F413A4">
        <w:rPr>
          <w:b w:val="0"/>
          <w:bCs w:val="0"/>
        </w:rPr>
        <w:t xml:space="preserve"> lived reality</w:t>
      </w:r>
      <w:r w:rsidR="00626333" w:rsidRPr="00F413A4">
        <w:rPr>
          <w:b w:val="0"/>
          <w:bCs w:val="0"/>
        </w:rPr>
        <w:t>,</w:t>
      </w:r>
      <w:r w:rsidR="00CA3E6E" w:rsidRPr="00F413A4">
        <w:rPr>
          <w:b w:val="0"/>
          <w:bCs w:val="0"/>
        </w:rPr>
        <w:t xml:space="preserve"> and</w:t>
      </w:r>
      <w:r w:rsidR="00626333" w:rsidRPr="00F413A4">
        <w:rPr>
          <w:b w:val="0"/>
          <w:bCs w:val="0"/>
        </w:rPr>
        <w:t xml:space="preserve"> respond to the </w:t>
      </w:r>
      <w:r w:rsidR="006A3CC3" w:rsidRPr="00F413A4">
        <w:rPr>
          <w:b w:val="0"/>
          <w:bCs w:val="0"/>
        </w:rPr>
        <w:t>vulnerability</w:t>
      </w:r>
      <w:r w:rsidR="00626333" w:rsidRPr="00F413A4">
        <w:rPr>
          <w:b w:val="0"/>
          <w:bCs w:val="0"/>
        </w:rPr>
        <w:t>,</w:t>
      </w:r>
      <w:r w:rsidR="006A3CC3" w:rsidRPr="00F413A4">
        <w:rPr>
          <w:b w:val="0"/>
          <w:bCs w:val="0"/>
        </w:rPr>
        <w:t xml:space="preserve"> of abuse victims</w:t>
      </w:r>
      <w:r w:rsidR="00EF593E" w:rsidRPr="00F413A4">
        <w:rPr>
          <w:b w:val="0"/>
          <w:bCs w:val="0"/>
        </w:rPr>
        <w:t>, subsequently increasing their precarity</w:t>
      </w:r>
      <w:r w:rsidR="00A95B9B">
        <w:rPr>
          <w:b w:val="0"/>
          <w:bCs w:val="0"/>
        </w:rPr>
        <w:t>,</w:t>
      </w:r>
      <w:r w:rsidR="00EF593E" w:rsidRPr="00D87FC1">
        <w:rPr>
          <w:b w:val="0"/>
          <w:bCs w:val="0"/>
        </w:rPr>
        <w:t xml:space="preserve"> and rendering their lives less </w:t>
      </w:r>
      <w:proofErr w:type="spellStart"/>
      <w:r w:rsidR="00EF593E" w:rsidRPr="00D87FC1">
        <w:rPr>
          <w:b w:val="0"/>
          <w:bCs w:val="0"/>
        </w:rPr>
        <w:t>livable</w:t>
      </w:r>
      <w:proofErr w:type="spellEnd"/>
      <w:r w:rsidR="00EF593E" w:rsidRPr="00D87FC1">
        <w:rPr>
          <w:b w:val="0"/>
          <w:bCs w:val="0"/>
        </w:rPr>
        <w:t>.</w:t>
      </w:r>
    </w:p>
    <w:p w14:paraId="3C21193E" w14:textId="6159B514" w:rsidR="003926B2" w:rsidRPr="00D87FC1" w:rsidRDefault="003926B2" w:rsidP="003D25D4">
      <w:pPr>
        <w:autoSpaceDE w:val="0"/>
        <w:autoSpaceDN w:val="0"/>
        <w:adjustRightInd w:val="0"/>
        <w:spacing w:line="360" w:lineRule="auto"/>
        <w:contextualSpacing/>
        <w:jc w:val="both"/>
        <w:rPr>
          <w:b w:val="0"/>
          <w:bCs w:val="0"/>
        </w:rPr>
      </w:pPr>
    </w:p>
    <w:p w14:paraId="675231F3" w14:textId="7A350938" w:rsidR="003926B2" w:rsidRPr="00D87FC1" w:rsidRDefault="00490442" w:rsidP="009B078C">
      <w:pPr>
        <w:autoSpaceDE w:val="0"/>
        <w:autoSpaceDN w:val="0"/>
        <w:adjustRightInd w:val="0"/>
        <w:spacing w:line="360" w:lineRule="auto"/>
        <w:contextualSpacing/>
        <w:jc w:val="both"/>
        <w:rPr>
          <w:b w:val="0"/>
          <w:bCs w:val="0"/>
        </w:rPr>
      </w:pPr>
      <w:r w:rsidRPr="00D87FC1">
        <w:rPr>
          <w:b w:val="0"/>
          <w:bCs w:val="0"/>
        </w:rPr>
        <w:lastRenderedPageBreak/>
        <w:t>A key</w:t>
      </w:r>
      <w:r w:rsidR="003926B2" w:rsidRPr="00D87FC1">
        <w:rPr>
          <w:b w:val="0"/>
          <w:bCs w:val="0"/>
        </w:rPr>
        <w:t xml:space="preserve"> case to consider is that of </w:t>
      </w:r>
      <w:r w:rsidR="00193E94" w:rsidRPr="00D87FC1">
        <w:rPr>
          <w:b w:val="0"/>
          <w:bCs w:val="0"/>
          <w:i/>
          <w:iCs/>
        </w:rPr>
        <w:t xml:space="preserve">R v </w:t>
      </w:r>
      <w:proofErr w:type="spellStart"/>
      <w:r w:rsidR="003926B2" w:rsidRPr="00D87FC1">
        <w:rPr>
          <w:b w:val="0"/>
          <w:bCs w:val="0"/>
          <w:i/>
          <w:iCs/>
        </w:rPr>
        <w:t>Challen</w:t>
      </w:r>
      <w:proofErr w:type="spellEnd"/>
      <w:r w:rsidR="00A839DE" w:rsidRPr="00D87FC1">
        <w:rPr>
          <w:b w:val="0"/>
          <w:bCs w:val="0"/>
          <w:i/>
          <w:iCs/>
        </w:rPr>
        <w:t xml:space="preserve"> </w:t>
      </w:r>
      <w:r w:rsidR="00193E94" w:rsidRPr="002B016D">
        <w:rPr>
          <w:b w:val="0"/>
          <w:bCs w:val="0"/>
          <w:color w:val="000000"/>
        </w:rPr>
        <w:t>[2019] EWCA Crim 913</w:t>
      </w:r>
      <w:r w:rsidR="00C14F81" w:rsidRPr="00D87FC1">
        <w:rPr>
          <w:b w:val="0"/>
          <w:bCs w:val="0"/>
        </w:rPr>
        <w:t>,</w:t>
      </w:r>
      <w:r w:rsidR="00F924C6" w:rsidRPr="00D87FC1">
        <w:rPr>
          <w:rStyle w:val="EndnoteReference"/>
          <w:b w:val="0"/>
          <w:bCs w:val="0"/>
        </w:rPr>
        <w:endnoteReference w:id="3"/>
      </w:r>
      <w:r w:rsidR="00C14F81" w:rsidRPr="00D87FC1">
        <w:rPr>
          <w:b w:val="0"/>
          <w:bCs w:val="0"/>
        </w:rPr>
        <w:t xml:space="preserve"> although</w:t>
      </w:r>
      <w:r w:rsidR="003926B2" w:rsidRPr="00D87FC1">
        <w:rPr>
          <w:b w:val="0"/>
          <w:bCs w:val="0"/>
        </w:rPr>
        <w:t xml:space="preserve"> </w:t>
      </w:r>
      <w:r w:rsidR="00C14F81" w:rsidRPr="00D87FC1">
        <w:rPr>
          <w:b w:val="0"/>
          <w:bCs w:val="0"/>
        </w:rPr>
        <w:t>i</w:t>
      </w:r>
      <w:r w:rsidR="003926B2" w:rsidRPr="00D87FC1">
        <w:rPr>
          <w:b w:val="0"/>
          <w:bCs w:val="0"/>
        </w:rPr>
        <w:t>t is important to note that th</w:t>
      </w:r>
      <w:r w:rsidR="00D03FC7" w:rsidRPr="00D87FC1">
        <w:rPr>
          <w:b w:val="0"/>
          <w:bCs w:val="0"/>
        </w:rPr>
        <w:t>is case</w:t>
      </w:r>
      <w:r w:rsidR="003926B2" w:rsidRPr="00D87FC1">
        <w:rPr>
          <w:b w:val="0"/>
          <w:bCs w:val="0"/>
        </w:rPr>
        <w:t xml:space="preserve"> sheds no light on the new defence, as </w:t>
      </w:r>
      <w:r w:rsidR="009C736A" w:rsidRPr="00D87FC1">
        <w:rPr>
          <w:b w:val="0"/>
          <w:bCs w:val="0"/>
        </w:rPr>
        <w:t xml:space="preserve">the </w:t>
      </w:r>
      <w:r w:rsidR="003926B2" w:rsidRPr="00D87FC1">
        <w:rPr>
          <w:b w:val="0"/>
          <w:bCs w:val="0"/>
        </w:rPr>
        <w:t xml:space="preserve">defendant was tried under the old law. Nevertheless, it is relevant to our discussions </w:t>
      </w:r>
      <w:proofErr w:type="gramStart"/>
      <w:r w:rsidR="003926B2" w:rsidRPr="00D87FC1">
        <w:rPr>
          <w:b w:val="0"/>
          <w:bCs w:val="0"/>
        </w:rPr>
        <w:t>due to the fact that</w:t>
      </w:r>
      <w:proofErr w:type="gramEnd"/>
      <w:r w:rsidR="003926B2" w:rsidRPr="00D87FC1">
        <w:rPr>
          <w:b w:val="0"/>
          <w:bCs w:val="0"/>
        </w:rPr>
        <w:t xml:space="preserve"> it was concerned with coercive contro</w:t>
      </w:r>
      <w:r w:rsidR="00AE798A" w:rsidRPr="00D87FC1">
        <w:rPr>
          <w:b w:val="0"/>
          <w:bCs w:val="0"/>
        </w:rPr>
        <w:t xml:space="preserve">l, which speaks to issues regarding vulnerability and </w:t>
      </w:r>
      <w:r w:rsidR="00AE798A" w:rsidRPr="00DB5DC8">
        <w:rPr>
          <w:b w:val="0"/>
          <w:bCs w:val="0"/>
        </w:rPr>
        <w:t>precariousness</w:t>
      </w:r>
      <w:r w:rsidR="00E077A4" w:rsidRPr="00DB5DC8">
        <w:rPr>
          <w:b w:val="0"/>
          <w:bCs w:val="0"/>
        </w:rPr>
        <w:t xml:space="preserve"> (for more detail see the </w:t>
      </w:r>
      <w:r w:rsidR="00DB5DC8" w:rsidRPr="00DB5DC8">
        <w:rPr>
          <w:b w:val="0"/>
          <w:bCs w:val="0"/>
        </w:rPr>
        <w:t>C</w:t>
      </w:r>
      <w:r w:rsidR="00E077A4" w:rsidRPr="00DB5DC8">
        <w:rPr>
          <w:b w:val="0"/>
          <w:bCs w:val="0"/>
        </w:rPr>
        <w:t xml:space="preserve">hapter </w:t>
      </w:r>
      <w:r w:rsidR="00DB5DC8" w:rsidRPr="00DB5DC8">
        <w:rPr>
          <w:b w:val="0"/>
          <w:bCs w:val="0"/>
        </w:rPr>
        <w:t>1</w:t>
      </w:r>
      <w:r w:rsidR="00E077A4" w:rsidRPr="00DB5DC8">
        <w:rPr>
          <w:b w:val="0"/>
          <w:bCs w:val="0"/>
        </w:rPr>
        <w:t>)</w:t>
      </w:r>
      <w:r w:rsidR="003926B2" w:rsidRPr="00DB5DC8">
        <w:rPr>
          <w:b w:val="0"/>
          <w:bCs w:val="0"/>
        </w:rPr>
        <w:t xml:space="preserve">. </w:t>
      </w:r>
      <w:r w:rsidR="008C59B0" w:rsidRPr="00DB5DC8">
        <w:rPr>
          <w:b w:val="0"/>
          <w:bCs w:val="0"/>
        </w:rPr>
        <w:t xml:space="preserve">The </w:t>
      </w:r>
      <w:r w:rsidR="003926B2" w:rsidRPr="00DB5DC8">
        <w:rPr>
          <w:b w:val="0"/>
          <w:bCs w:val="0"/>
        </w:rPr>
        <w:t>defendant</w:t>
      </w:r>
      <w:r w:rsidR="00357623" w:rsidRPr="00DB5DC8">
        <w:rPr>
          <w:b w:val="0"/>
          <w:bCs w:val="0"/>
        </w:rPr>
        <w:t xml:space="preserve"> </w:t>
      </w:r>
      <w:r w:rsidR="003926B2" w:rsidRPr="00DB5DC8">
        <w:rPr>
          <w:b w:val="0"/>
          <w:bCs w:val="0"/>
        </w:rPr>
        <w:t xml:space="preserve">was initially convicted </w:t>
      </w:r>
      <w:r w:rsidR="0015067B" w:rsidRPr="00DB5DC8">
        <w:rPr>
          <w:b w:val="0"/>
          <w:bCs w:val="0"/>
        </w:rPr>
        <w:t>of</w:t>
      </w:r>
      <w:r w:rsidR="003926B2" w:rsidRPr="00DB5DC8">
        <w:rPr>
          <w:b w:val="0"/>
          <w:bCs w:val="0"/>
        </w:rPr>
        <w:t xml:space="preserve"> murdering her husband. The fatal incident occurred after the couple had separated and the defendant had suspected the deceased of having numerous affairs and visiting sex workers. Evidence was given by their two sons </w:t>
      </w:r>
      <w:r w:rsidR="00322018" w:rsidRPr="00DB5DC8">
        <w:rPr>
          <w:b w:val="0"/>
          <w:bCs w:val="0"/>
        </w:rPr>
        <w:t>regarding the mistreatment of the defendant by the deceased</w:t>
      </w:r>
      <w:r w:rsidR="003926B2" w:rsidRPr="00DB5DC8">
        <w:rPr>
          <w:b w:val="0"/>
          <w:bCs w:val="0"/>
        </w:rPr>
        <w:t>, who “described her as doing everything for him; he controlled her and decided what they would do as a couple”</w:t>
      </w:r>
      <w:r w:rsidR="00E67837" w:rsidRPr="00DB5DC8">
        <w:rPr>
          <w:b w:val="0"/>
          <w:bCs w:val="0"/>
        </w:rPr>
        <w:t xml:space="preserve"> (</w:t>
      </w:r>
      <w:r w:rsidR="00193E94" w:rsidRPr="00DB5DC8">
        <w:rPr>
          <w:b w:val="0"/>
          <w:bCs w:val="0"/>
        </w:rPr>
        <w:t xml:space="preserve">at para </w:t>
      </w:r>
      <w:r w:rsidR="00E67837" w:rsidRPr="00DB5DC8">
        <w:rPr>
          <w:b w:val="0"/>
          <w:bCs w:val="0"/>
        </w:rPr>
        <w:t>6</w:t>
      </w:r>
      <w:r w:rsidR="00EB0F53" w:rsidRPr="00DB5DC8">
        <w:rPr>
          <w:b w:val="0"/>
          <w:bCs w:val="0"/>
        </w:rPr>
        <w:t xml:space="preserve">; for further detail, please see </w:t>
      </w:r>
      <w:r w:rsidR="00DB5DC8" w:rsidRPr="00DB5DC8">
        <w:rPr>
          <w:b w:val="0"/>
          <w:bCs w:val="0"/>
        </w:rPr>
        <w:t>C</w:t>
      </w:r>
      <w:r w:rsidR="00290E68" w:rsidRPr="00DB5DC8">
        <w:rPr>
          <w:b w:val="0"/>
          <w:bCs w:val="0"/>
        </w:rPr>
        <w:t xml:space="preserve">hapter </w:t>
      </w:r>
      <w:r w:rsidR="00DB5DC8" w:rsidRPr="00DB5DC8">
        <w:rPr>
          <w:b w:val="0"/>
          <w:bCs w:val="0"/>
        </w:rPr>
        <w:t>1</w:t>
      </w:r>
      <w:r w:rsidR="00EB0F53" w:rsidRPr="00DB5DC8">
        <w:rPr>
          <w:b w:val="0"/>
          <w:bCs w:val="0"/>
        </w:rPr>
        <w:t>)</w:t>
      </w:r>
      <w:r w:rsidR="003926B2" w:rsidRPr="00DB5DC8">
        <w:rPr>
          <w:b w:val="0"/>
          <w:bCs w:val="0"/>
        </w:rPr>
        <w:t>.</w:t>
      </w:r>
      <w:r w:rsidR="003926B2" w:rsidRPr="00D87FC1">
        <w:rPr>
          <w:b w:val="0"/>
          <w:bCs w:val="0"/>
        </w:rPr>
        <w:t xml:space="preserve"> </w:t>
      </w:r>
    </w:p>
    <w:p w14:paraId="57532FC3" w14:textId="77777777" w:rsidR="003926B2" w:rsidRPr="00D87FC1" w:rsidRDefault="003926B2" w:rsidP="003D25D4">
      <w:pPr>
        <w:autoSpaceDE w:val="0"/>
        <w:autoSpaceDN w:val="0"/>
        <w:adjustRightInd w:val="0"/>
        <w:spacing w:line="360" w:lineRule="auto"/>
        <w:contextualSpacing/>
        <w:jc w:val="both"/>
        <w:rPr>
          <w:b w:val="0"/>
          <w:bCs w:val="0"/>
        </w:rPr>
      </w:pPr>
    </w:p>
    <w:p w14:paraId="38D2241E" w14:textId="63963A6D" w:rsidR="003926B2" w:rsidRPr="00D87FC1" w:rsidRDefault="003926B2" w:rsidP="00380D0E">
      <w:pPr>
        <w:autoSpaceDE w:val="0"/>
        <w:autoSpaceDN w:val="0"/>
        <w:adjustRightInd w:val="0"/>
        <w:spacing w:line="360" w:lineRule="auto"/>
        <w:contextualSpacing/>
        <w:jc w:val="both"/>
        <w:rPr>
          <w:b w:val="0"/>
          <w:bCs w:val="0"/>
        </w:rPr>
      </w:pPr>
      <w:r w:rsidRPr="00D87FC1">
        <w:rPr>
          <w:b w:val="0"/>
          <w:bCs w:val="0"/>
        </w:rPr>
        <w:t xml:space="preserve">The appeal was based on two grounds. The first related to fresh evidence pertaining to </w:t>
      </w:r>
      <w:r w:rsidR="002B25FF">
        <w:rPr>
          <w:b w:val="0"/>
          <w:bCs w:val="0"/>
        </w:rPr>
        <w:t>(</w:t>
      </w:r>
      <w:r w:rsidRPr="00D87FC1">
        <w:rPr>
          <w:b w:val="0"/>
          <w:bCs w:val="0"/>
        </w:rPr>
        <w:t xml:space="preserve">a) coercive control and </w:t>
      </w:r>
      <w:r w:rsidR="002B25FF">
        <w:rPr>
          <w:b w:val="0"/>
          <w:bCs w:val="0"/>
        </w:rPr>
        <w:t>(</w:t>
      </w:r>
      <w:r w:rsidRPr="00D87FC1">
        <w:rPr>
          <w:b w:val="0"/>
          <w:bCs w:val="0"/>
        </w:rPr>
        <w:t>b) that she had been suffering from two previously undiagnosed disorders those being borderline personality disorder and a severe mood disorder. The second related to provocation on the basis that appellant was provoked due to the deceased’s coercive and controlling behaviour. The appeal was permitted on the first ground. However, it is important to highlight that the Court of Appeal w</w:t>
      </w:r>
      <w:r w:rsidR="00846D6D" w:rsidRPr="00D87FC1">
        <w:rPr>
          <w:b w:val="0"/>
          <w:bCs w:val="0"/>
        </w:rPr>
        <w:t>as</w:t>
      </w:r>
      <w:r w:rsidRPr="00D87FC1">
        <w:rPr>
          <w:b w:val="0"/>
          <w:bCs w:val="0"/>
        </w:rPr>
        <w:t xml:space="preserve"> primarily concerned with the previously undiagnosed disorders, as opposed to the issue of coercive control.</w:t>
      </w:r>
      <w:r w:rsidR="00DF2880" w:rsidRPr="00D87FC1">
        <w:rPr>
          <w:b w:val="0"/>
          <w:bCs w:val="0"/>
        </w:rPr>
        <w:t xml:space="preserve"> </w:t>
      </w:r>
      <w:r w:rsidRPr="00D87FC1">
        <w:rPr>
          <w:b w:val="0"/>
          <w:bCs w:val="0"/>
        </w:rPr>
        <w:t>The latter was only considered to be relevant to the extent to which it impacted upon the former. Indeed, the court stated</w:t>
      </w:r>
      <w:r w:rsidR="00874E0C">
        <w:rPr>
          <w:b w:val="0"/>
          <w:bCs w:val="0"/>
        </w:rPr>
        <w:t>:</w:t>
      </w:r>
      <w:r w:rsidRPr="00D87FC1">
        <w:rPr>
          <w:b w:val="0"/>
          <w:bCs w:val="0"/>
        </w:rPr>
        <w:t xml:space="preserve"> “</w:t>
      </w:r>
      <w:r w:rsidR="003376EB">
        <w:rPr>
          <w:b w:val="0"/>
          <w:bCs w:val="0"/>
        </w:rPr>
        <w:t>We</w:t>
      </w:r>
      <w:r w:rsidRPr="00D87FC1">
        <w:rPr>
          <w:b w:val="0"/>
          <w:bCs w:val="0"/>
        </w:rPr>
        <w:t xml:space="preserve"> were not persuaded that had it stood alone the general theory of coercive control on the facts as presented to us would have afforded the appellant a ground of appeal”</w:t>
      </w:r>
      <w:r w:rsidR="00E67837" w:rsidRPr="00D87FC1">
        <w:rPr>
          <w:b w:val="0"/>
          <w:bCs w:val="0"/>
        </w:rPr>
        <w:t xml:space="preserve"> (</w:t>
      </w:r>
      <w:r w:rsidR="00193E94" w:rsidRPr="00D87FC1">
        <w:rPr>
          <w:b w:val="0"/>
          <w:bCs w:val="0"/>
        </w:rPr>
        <w:t>at para</w:t>
      </w:r>
      <w:r w:rsidR="00E67837" w:rsidRPr="00D87FC1">
        <w:rPr>
          <w:b w:val="0"/>
          <w:bCs w:val="0"/>
        </w:rPr>
        <w:t xml:space="preserve"> 13).</w:t>
      </w:r>
      <w:r w:rsidRPr="00D87FC1">
        <w:rPr>
          <w:b w:val="0"/>
          <w:bCs w:val="0"/>
        </w:rPr>
        <w:t xml:space="preserve"> The court, however, agreed to accept fresh psychiatric evidence from Dr </w:t>
      </w:r>
      <w:proofErr w:type="spellStart"/>
      <w:r w:rsidRPr="00D87FC1">
        <w:rPr>
          <w:b w:val="0"/>
          <w:bCs w:val="0"/>
        </w:rPr>
        <w:t>Adshead</w:t>
      </w:r>
      <w:proofErr w:type="spellEnd"/>
      <w:r w:rsidRPr="00D87FC1">
        <w:rPr>
          <w:b w:val="0"/>
          <w:bCs w:val="0"/>
        </w:rPr>
        <w:t>, who proffered the opinion that if the appellant was in an abusive and controlling relationship, the disorders may be relevant to both diminished responsibility and provocation. Consequently, her conviction was quashed</w:t>
      </w:r>
      <w:r w:rsidR="00940C56" w:rsidRPr="00D87FC1">
        <w:rPr>
          <w:b w:val="0"/>
          <w:bCs w:val="0"/>
        </w:rPr>
        <w:t>,</w:t>
      </w:r>
      <w:r w:rsidRPr="00D87FC1">
        <w:rPr>
          <w:b w:val="0"/>
          <w:bCs w:val="0"/>
        </w:rPr>
        <w:t xml:space="preserve"> and a retrial </w:t>
      </w:r>
      <w:r w:rsidR="00E27712">
        <w:rPr>
          <w:b w:val="0"/>
          <w:bCs w:val="0"/>
        </w:rPr>
        <w:t xml:space="preserve">was </w:t>
      </w:r>
      <w:r w:rsidRPr="00D87FC1">
        <w:rPr>
          <w:b w:val="0"/>
          <w:bCs w:val="0"/>
        </w:rPr>
        <w:t>ordered</w:t>
      </w:r>
      <w:r w:rsidR="00D261AE" w:rsidRPr="00D87FC1">
        <w:rPr>
          <w:b w:val="0"/>
          <w:bCs w:val="0"/>
        </w:rPr>
        <w:t>. T</w:t>
      </w:r>
      <w:r w:rsidRPr="00D87FC1">
        <w:rPr>
          <w:b w:val="0"/>
          <w:bCs w:val="0"/>
        </w:rPr>
        <w:t>hereafter</w:t>
      </w:r>
      <w:r w:rsidR="00D261AE" w:rsidRPr="00D87FC1">
        <w:rPr>
          <w:b w:val="0"/>
          <w:bCs w:val="0"/>
        </w:rPr>
        <w:t>,</w:t>
      </w:r>
      <w:r w:rsidRPr="00D87FC1">
        <w:rPr>
          <w:b w:val="0"/>
          <w:bCs w:val="0"/>
        </w:rPr>
        <w:t xml:space="preserve"> the C</w:t>
      </w:r>
      <w:r w:rsidR="00846D6D" w:rsidRPr="00D87FC1">
        <w:rPr>
          <w:b w:val="0"/>
          <w:bCs w:val="0"/>
        </w:rPr>
        <w:t xml:space="preserve">rown Prosecution </w:t>
      </w:r>
      <w:r w:rsidRPr="00D87FC1">
        <w:rPr>
          <w:b w:val="0"/>
          <w:bCs w:val="0"/>
        </w:rPr>
        <w:t>S</w:t>
      </w:r>
      <w:r w:rsidR="00846D6D" w:rsidRPr="00D87FC1">
        <w:rPr>
          <w:b w:val="0"/>
          <w:bCs w:val="0"/>
        </w:rPr>
        <w:t>ervice (CPS)</w:t>
      </w:r>
      <w:r w:rsidRPr="00D87FC1">
        <w:rPr>
          <w:b w:val="0"/>
          <w:bCs w:val="0"/>
        </w:rPr>
        <w:t xml:space="preserve"> accepted a plea of manslaughter </w:t>
      </w:r>
      <w:proofErr w:type="gramStart"/>
      <w:r w:rsidRPr="00D87FC1">
        <w:rPr>
          <w:b w:val="0"/>
          <w:bCs w:val="0"/>
        </w:rPr>
        <w:t>on the basis of</w:t>
      </w:r>
      <w:proofErr w:type="gramEnd"/>
      <w:r w:rsidRPr="00D87FC1">
        <w:rPr>
          <w:b w:val="0"/>
          <w:bCs w:val="0"/>
        </w:rPr>
        <w:t xml:space="preserve"> diminished responsibility</w:t>
      </w:r>
      <w:r w:rsidR="006950C3" w:rsidRPr="00D87FC1">
        <w:rPr>
          <w:b w:val="0"/>
          <w:bCs w:val="0"/>
        </w:rPr>
        <w:t xml:space="preserve"> (CPS</w:t>
      </w:r>
      <w:r w:rsidR="00F60959">
        <w:rPr>
          <w:b w:val="0"/>
          <w:bCs w:val="0"/>
        </w:rPr>
        <w:t>,</w:t>
      </w:r>
      <w:r w:rsidR="006950C3" w:rsidRPr="00D87FC1">
        <w:rPr>
          <w:b w:val="0"/>
          <w:bCs w:val="0"/>
        </w:rPr>
        <w:t xml:space="preserve"> 2019)</w:t>
      </w:r>
      <w:r w:rsidRPr="00D87FC1">
        <w:rPr>
          <w:b w:val="0"/>
          <w:bCs w:val="0"/>
        </w:rPr>
        <w:t>.</w:t>
      </w:r>
    </w:p>
    <w:p w14:paraId="08F887B7" w14:textId="417B30BA" w:rsidR="00D261AE" w:rsidRPr="00D87FC1" w:rsidRDefault="00D261AE" w:rsidP="003D25D4">
      <w:pPr>
        <w:autoSpaceDE w:val="0"/>
        <w:autoSpaceDN w:val="0"/>
        <w:adjustRightInd w:val="0"/>
        <w:spacing w:line="360" w:lineRule="auto"/>
        <w:contextualSpacing/>
        <w:jc w:val="both"/>
        <w:rPr>
          <w:b w:val="0"/>
          <w:bCs w:val="0"/>
        </w:rPr>
      </w:pPr>
    </w:p>
    <w:p w14:paraId="530879C8" w14:textId="2E458002" w:rsidR="00027384" w:rsidRPr="00D87FC1" w:rsidRDefault="0016785A" w:rsidP="003D25D4">
      <w:pPr>
        <w:autoSpaceDE w:val="0"/>
        <w:autoSpaceDN w:val="0"/>
        <w:adjustRightInd w:val="0"/>
        <w:spacing w:line="360" w:lineRule="auto"/>
        <w:contextualSpacing/>
        <w:jc w:val="both"/>
        <w:rPr>
          <w:b w:val="0"/>
          <w:bCs w:val="0"/>
        </w:rPr>
      </w:pPr>
      <w:r w:rsidRPr="00D87FC1">
        <w:rPr>
          <w:b w:val="0"/>
          <w:bCs w:val="0"/>
        </w:rPr>
        <w:t>While</w:t>
      </w:r>
      <w:r w:rsidR="000E43E4">
        <w:rPr>
          <w:b w:val="0"/>
          <w:bCs w:val="0"/>
        </w:rPr>
        <w:t>,</w:t>
      </w:r>
      <w:r w:rsidRPr="00D87FC1">
        <w:rPr>
          <w:b w:val="0"/>
          <w:bCs w:val="0"/>
        </w:rPr>
        <w:t xml:space="preserve"> u</w:t>
      </w:r>
      <w:r w:rsidR="00147671" w:rsidRPr="00D87FC1">
        <w:rPr>
          <w:b w:val="0"/>
          <w:bCs w:val="0"/>
        </w:rPr>
        <w:t>ndoubtedly</w:t>
      </w:r>
      <w:r w:rsidR="000E43E4">
        <w:rPr>
          <w:b w:val="0"/>
          <w:bCs w:val="0"/>
        </w:rPr>
        <w:t>,</w:t>
      </w:r>
      <w:r w:rsidR="005712B1" w:rsidRPr="00D87FC1">
        <w:rPr>
          <w:b w:val="0"/>
          <w:bCs w:val="0"/>
        </w:rPr>
        <w:t xml:space="preserve"> it is</w:t>
      </w:r>
      <w:r w:rsidR="00147671" w:rsidRPr="00D87FC1">
        <w:rPr>
          <w:b w:val="0"/>
          <w:bCs w:val="0"/>
        </w:rPr>
        <w:t xml:space="preserve"> positive </w:t>
      </w:r>
      <w:r w:rsidR="000C5A04" w:rsidRPr="00D87FC1">
        <w:rPr>
          <w:b w:val="0"/>
          <w:bCs w:val="0"/>
        </w:rPr>
        <w:t xml:space="preserve">that </w:t>
      </w:r>
      <w:r w:rsidR="005A782A" w:rsidRPr="00D87FC1">
        <w:rPr>
          <w:b w:val="0"/>
          <w:bCs w:val="0"/>
        </w:rPr>
        <w:t>the</w:t>
      </w:r>
      <w:r w:rsidRPr="00D87FC1">
        <w:rPr>
          <w:b w:val="0"/>
          <w:bCs w:val="0"/>
        </w:rPr>
        <w:t xml:space="preserve"> coercive and controlling</w:t>
      </w:r>
      <w:r w:rsidR="005A782A" w:rsidRPr="00D87FC1">
        <w:rPr>
          <w:b w:val="0"/>
          <w:bCs w:val="0"/>
        </w:rPr>
        <w:t xml:space="preserve"> abuse</w:t>
      </w:r>
      <w:r w:rsidR="00EB0F53" w:rsidRPr="00D87FC1">
        <w:rPr>
          <w:b w:val="0"/>
          <w:bCs w:val="0"/>
        </w:rPr>
        <w:t xml:space="preserve"> </w:t>
      </w:r>
      <w:proofErr w:type="spellStart"/>
      <w:r w:rsidR="00EB0F53" w:rsidRPr="00D87FC1">
        <w:rPr>
          <w:b w:val="0"/>
          <w:bCs w:val="0"/>
        </w:rPr>
        <w:t>C</w:t>
      </w:r>
      <w:r w:rsidR="000C5A04" w:rsidRPr="00D87FC1">
        <w:rPr>
          <w:b w:val="0"/>
          <w:bCs w:val="0"/>
        </w:rPr>
        <w:t>hallen</w:t>
      </w:r>
      <w:proofErr w:type="spellEnd"/>
      <w:r w:rsidR="000C5A04" w:rsidRPr="00D87FC1">
        <w:rPr>
          <w:b w:val="0"/>
          <w:bCs w:val="0"/>
        </w:rPr>
        <w:t xml:space="preserve"> </w:t>
      </w:r>
      <w:r w:rsidR="005712B1" w:rsidRPr="00D87FC1">
        <w:rPr>
          <w:b w:val="0"/>
          <w:bCs w:val="0"/>
        </w:rPr>
        <w:t>suffered was recogni</w:t>
      </w:r>
      <w:r w:rsidR="00846D6D" w:rsidRPr="00D87FC1">
        <w:rPr>
          <w:b w:val="0"/>
          <w:bCs w:val="0"/>
        </w:rPr>
        <w:t>s</w:t>
      </w:r>
      <w:r w:rsidR="005712B1" w:rsidRPr="00D87FC1">
        <w:rPr>
          <w:b w:val="0"/>
          <w:bCs w:val="0"/>
        </w:rPr>
        <w:t>ed</w:t>
      </w:r>
      <w:r w:rsidR="000C5A04" w:rsidRPr="00D87FC1">
        <w:rPr>
          <w:b w:val="0"/>
          <w:bCs w:val="0"/>
        </w:rPr>
        <w:t xml:space="preserve">, </w:t>
      </w:r>
      <w:r w:rsidR="005712B1" w:rsidRPr="00D87FC1">
        <w:rPr>
          <w:b w:val="0"/>
          <w:bCs w:val="0"/>
        </w:rPr>
        <w:t xml:space="preserve">the extent to which this case </w:t>
      </w:r>
      <w:r w:rsidR="002A6DF6" w:rsidRPr="00D87FC1">
        <w:rPr>
          <w:b w:val="0"/>
          <w:bCs w:val="0"/>
        </w:rPr>
        <w:t>furthers the plight of abused women who kill can</w:t>
      </w:r>
      <w:r w:rsidR="00BD6391" w:rsidRPr="00D87FC1">
        <w:rPr>
          <w:b w:val="0"/>
          <w:bCs w:val="0"/>
        </w:rPr>
        <w:t>, however,</w:t>
      </w:r>
      <w:r w:rsidR="002A6DF6" w:rsidRPr="00D87FC1">
        <w:rPr>
          <w:b w:val="0"/>
          <w:bCs w:val="0"/>
        </w:rPr>
        <w:t xml:space="preserve"> be queried</w:t>
      </w:r>
      <w:r w:rsidR="00DB23BF" w:rsidRPr="00D87FC1">
        <w:rPr>
          <w:b w:val="0"/>
          <w:bCs w:val="0"/>
        </w:rPr>
        <w:t xml:space="preserve"> (Stor</w:t>
      </w:r>
      <w:r w:rsidR="00666EF1" w:rsidRPr="00D87FC1">
        <w:rPr>
          <w:b w:val="0"/>
          <w:bCs w:val="0"/>
        </w:rPr>
        <w:t>ey</w:t>
      </w:r>
      <w:r w:rsidR="00A8642F" w:rsidRPr="00D87FC1">
        <w:rPr>
          <w:b w:val="0"/>
          <w:bCs w:val="0"/>
        </w:rPr>
        <w:t>,</w:t>
      </w:r>
      <w:r w:rsidR="00666EF1" w:rsidRPr="00D87FC1">
        <w:rPr>
          <w:b w:val="0"/>
          <w:bCs w:val="0"/>
        </w:rPr>
        <w:t xml:space="preserve"> 2019)</w:t>
      </w:r>
      <w:r w:rsidR="002A6DF6" w:rsidRPr="00D87FC1">
        <w:rPr>
          <w:b w:val="0"/>
          <w:bCs w:val="0"/>
        </w:rPr>
        <w:t>. Indeed, it can be argued that the case does little to recogni</w:t>
      </w:r>
      <w:r w:rsidR="00846D6D" w:rsidRPr="00D87FC1">
        <w:rPr>
          <w:b w:val="0"/>
          <w:bCs w:val="0"/>
        </w:rPr>
        <w:t>s</w:t>
      </w:r>
      <w:r w:rsidR="002A6DF6" w:rsidRPr="00D87FC1">
        <w:rPr>
          <w:b w:val="0"/>
          <w:bCs w:val="0"/>
        </w:rPr>
        <w:t xml:space="preserve">e the lived reality of abuse victims. </w:t>
      </w:r>
      <w:r w:rsidR="002E7A76" w:rsidRPr="00D87FC1">
        <w:rPr>
          <w:b w:val="0"/>
          <w:bCs w:val="0"/>
        </w:rPr>
        <w:t xml:space="preserve">It is important to note that evidence of coercive control </w:t>
      </w:r>
      <w:r w:rsidR="002E7A76" w:rsidRPr="00D87FC1">
        <w:rPr>
          <w:b w:val="0"/>
          <w:bCs w:val="0"/>
          <w:i/>
          <w:iCs/>
        </w:rPr>
        <w:t>per se</w:t>
      </w:r>
      <w:r w:rsidR="002E7A76" w:rsidRPr="00D87FC1">
        <w:rPr>
          <w:b w:val="0"/>
          <w:bCs w:val="0"/>
        </w:rPr>
        <w:t xml:space="preserve"> was not permitted by the court</w:t>
      </w:r>
      <w:r w:rsidR="007E6A73" w:rsidRPr="00D87FC1">
        <w:rPr>
          <w:b w:val="0"/>
          <w:bCs w:val="0"/>
        </w:rPr>
        <w:t>, but only in the context that it related to the psychiatric disorders</w:t>
      </w:r>
      <w:r w:rsidR="002E7A76" w:rsidRPr="00D87FC1">
        <w:rPr>
          <w:b w:val="0"/>
          <w:bCs w:val="0"/>
        </w:rPr>
        <w:t xml:space="preserve">. </w:t>
      </w:r>
      <w:r w:rsidR="009118AD" w:rsidRPr="00D87FC1">
        <w:rPr>
          <w:b w:val="0"/>
          <w:bCs w:val="0"/>
        </w:rPr>
        <w:t>This continues the problematic medicali</w:t>
      </w:r>
      <w:r w:rsidR="00846D6D" w:rsidRPr="00D87FC1">
        <w:rPr>
          <w:b w:val="0"/>
          <w:bCs w:val="0"/>
        </w:rPr>
        <w:t>s</w:t>
      </w:r>
      <w:r w:rsidR="009118AD" w:rsidRPr="00D87FC1">
        <w:rPr>
          <w:b w:val="0"/>
          <w:bCs w:val="0"/>
        </w:rPr>
        <w:t xml:space="preserve">ation and </w:t>
      </w:r>
      <w:proofErr w:type="spellStart"/>
      <w:r w:rsidR="009118AD" w:rsidRPr="00D87FC1">
        <w:rPr>
          <w:b w:val="0"/>
          <w:bCs w:val="0"/>
        </w:rPr>
        <w:t>pathologi</w:t>
      </w:r>
      <w:r w:rsidR="00846D6D" w:rsidRPr="00D87FC1">
        <w:rPr>
          <w:b w:val="0"/>
          <w:bCs w:val="0"/>
        </w:rPr>
        <w:t>s</w:t>
      </w:r>
      <w:r w:rsidR="009118AD" w:rsidRPr="00D87FC1">
        <w:rPr>
          <w:b w:val="0"/>
          <w:bCs w:val="0"/>
        </w:rPr>
        <w:t>ation</w:t>
      </w:r>
      <w:proofErr w:type="spellEnd"/>
      <w:r w:rsidR="009118AD" w:rsidRPr="00D87FC1">
        <w:rPr>
          <w:b w:val="0"/>
          <w:bCs w:val="0"/>
        </w:rPr>
        <w:t xml:space="preserve"> of abused women, </w:t>
      </w:r>
      <w:r w:rsidR="002F08BA" w:rsidRPr="00D87FC1">
        <w:rPr>
          <w:b w:val="0"/>
          <w:bCs w:val="0"/>
        </w:rPr>
        <w:t xml:space="preserve">who </w:t>
      </w:r>
      <w:r w:rsidR="003858F5" w:rsidRPr="00D87FC1">
        <w:rPr>
          <w:b w:val="0"/>
          <w:bCs w:val="0"/>
        </w:rPr>
        <w:t xml:space="preserve">are constructed as </w:t>
      </w:r>
      <w:r w:rsidR="002F08BA" w:rsidRPr="00D87FC1">
        <w:rPr>
          <w:b w:val="0"/>
          <w:bCs w:val="0"/>
        </w:rPr>
        <w:t>kill</w:t>
      </w:r>
      <w:r w:rsidR="003858F5" w:rsidRPr="00D87FC1">
        <w:rPr>
          <w:b w:val="0"/>
          <w:bCs w:val="0"/>
        </w:rPr>
        <w:t>ing</w:t>
      </w:r>
      <w:r w:rsidR="002F08BA" w:rsidRPr="00D87FC1">
        <w:rPr>
          <w:b w:val="0"/>
          <w:bCs w:val="0"/>
        </w:rPr>
        <w:t xml:space="preserve"> due to a mental disturbance as opposed to the ill </w:t>
      </w:r>
      <w:r w:rsidR="002F08BA" w:rsidRPr="00D87FC1">
        <w:rPr>
          <w:b w:val="0"/>
          <w:bCs w:val="0"/>
        </w:rPr>
        <w:lastRenderedPageBreak/>
        <w:t>treatment they have suffered</w:t>
      </w:r>
      <w:r w:rsidR="008B7151" w:rsidRPr="00D87FC1">
        <w:rPr>
          <w:b w:val="0"/>
          <w:bCs w:val="0"/>
        </w:rPr>
        <w:t>, which is</w:t>
      </w:r>
      <w:r w:rsidR="00D078C5" w:rsidRPr="00D87FC1">
        <w:rPr>
          <w:b w:val="0"/>
          <w:bCs w:val="0"/>
        </w:rPr>
        <w:t xml:space="preserve"> further perpetuated </w:t>
      </w:r>
      <w:proofErr w:type="gramStart"/>
      <w:r w:rsidR="00AD28CE" w:rsidRPr="00D87FC1">
        <w:rPr>
          <w:b w:val="0"/>
          <w:bCs w:val="0"/>
        </w:rPr>
        <w:t>by the use of</w:t>
      </w:r>
      <w:proofErr w:type="gramEnd"/>
      <w:r w:rsidR="00D078C5" w:rsidRPr="00D87FC1">
        <w:rPr>
          <w:b w:val="0"/>
          <w:bCs w:val="0"/>
        </w:rPr>
        <w:t xml:space="preserve"> diminished responsibility</w:t>
      </w:r>
      <w:r w:rsidR="006B6FEE" w:rsidRPr="00D87FC1">
        <w:rPr>
          <w:b w:val="0"/>
          <w:bCs w:val="0"/>
        </w:rPr>
        <w:t xml:space="preserve"> (</w:t>
      </w:r>
      <w:proofErr w:type="spellStart"/>
      <w:r w:rsidR="006B6FEE" w:rsidRPr="00D87FC1">
        <w:rPr>
          <w:b w:val="0"/>
          <w:bCs w:val="0"/>
        </w:rPr>
        <w:t>Bettinson</w:t>
      </w:r>
      <w:proofErr w:type="spellEnd"/>
      <w:r w:rsidR="00846D6D" w:rsidRPr="00D87FC1">
        <w:rPr>
          <w:b w:val="0"/>
          <w:bCs w:val="0"/>
        </w:rPr>
        <w:t>,</w:t>
      </w:r>
      <w:r w:rsidR="006B6FEE" w:rsidRPr="00D87FC1">
        <w:rPr>
          <w:b w:val="0"/>
          <w:bCs w:val="0"/>
        </w:rPr>
        <w:t xml:space="preserve"> 2019; Carline </w:t>
      </w:r>
      <w:r w:rsidR="00846D6D" w:rsidRPr="00D87FC1">
        <w:rPr>
          <w:b w:val="0"/>
          <w:bCs w:val="0"/>
        </w:rPr>
        <w:t>and</w:t>
      </w:r>
      <w:r w:rsidR="006B6FEE" w:rsidRPr="00D87FC1">
        <w:rPr>
          <w:b w:val="0"/>
          <w:bCs w:val="0"/>
        </w:rPr>
        <w:t xml:space="preserve"> </w:t>
      </w:r>
      <w:proofErr w:type="spellStart"/>
      <w:r w:rsidR="006B6FEE" w:rsidRPr="00D87FC1">
        <w:rPr>
          <w:b w:val="0"/>
          <w:bCs w:val="0"/>
        </w:rPr>
        <w:t>Easteal</w:t>
      </w:r>
      <w:proofErr w:type="spellEnd"/>
      <w:r w:rsidR="00846D6D" w:rsidRPr="00D87FC1">
        <w:rPr>
          <w:b w:val="0"/>
          <w:bCs w:val="0"/>
        </w:rPr>
        <w:t>,</w:t>
      </w:r>
      <w:r w:rsidR="006B6FEE" w:rsidRPr="00D87FC1">
        <w:rPr>
          <w:b w:val="0"/>
          <w:bCs w:val="0"/>
        </w:rPr>
        <w:t xml:space="preserve"> 2014)</w:t>
      </w:r>
      <w:r w:rsidR="008B7151" w:rsidRPr="00D87FC1">
        <w:rPr>
          <w:b w:val="0"/>
          <w:bCs w:val="0"/>
        </w:rPr>
        <w:t xml:space="preserve">. </w:t>
      </w:r>
      <w:r w:rsidR="000C5A04" w:rsidRPr="00D87FC1">
        <w:rPr>
          <w:b w:val="0"/>
          <w:bCs w:val="0"/>
        </w:rPr>
        <w:t xml:space="preserve">Furthermore, </w:t>
      </w:r>
      <w:r w:rsidR="00A36DA9" w:rsidRPr="00D87FC1">
        <w:rPr>
          <w:b w:val="0"/>
          <w:bCs w:val="0"/>
        </w:rPr>
        <w:t xml:space="preserve">the case presents little hope </w:t>
      </w:r>
      <w:r w:rsidR="00E22878" w:rsidRPr="00D87FC1">
        <w:rPr>
          <w:b w:val="0"/>
          <w:bCs w:val="0"/>
        </w:rPr>
        <w:t>that</w:t>
      </w:r>
      <w:r w:rsidR="00A36DA9" w:rsidRPr="00D87FC1">
        <w:rPr>
          <w:b w:val="0"/>
          <w:bCs w:val="0"/>
        </w:rPr>
        <w:t xml:space="preserve"> loss of control would be </w:t>
      </w:r>
      <w:r w:rsidR="0086004B" w:rsidRPr="00D87FC1">
        <w:rPr>
          <w:b w:val="0"/>
          <w:bCs w:val="0"/>
        </w:rPr>
        <w:t>readily</w:t>
      </w:r>
      <w:r w:rsidR="00E22878" w:rsidRPr="00D87FC1">
        <w:rPr>
          <w:b w:val="0"/>
          <w:bCs w:val="0"/>
        </w:rPr>
        <w:t xml:space="preserve"> applied in cases involving coercive control. Let us recall that the new</w:t>
      </w:r>
      <w:r w:rsidR="0086004B" w:rsidRPr="00D87FC1">
        <w:rPr>
          <w:b w:val="0"/>
          <w:bCs w:val="0"/>
        </w:rPr>
        <w:t xml:space="preserve"> partial defence is more prescriptive and has a higher threshold than </w:t>
      </w:r>
      <w:r w:rsidR="00C862BD" w:rsidRPr="00D87FC1">
        <w:rPr>
          <w:b w:val="0"/>
          <w:bCs w:val="0"/>
        </w:rPr>
        <w:t>the previous incarnation</w:t>
      </w:r>
      <w:r w:rsidR="00517FDA" w:rsidRPr="00D87FC1">
        <w:rPr>
          <w:b w:val="0"/>
          <w:bCs w:val="0"/>
        </w:rPr>
        <w:t xml:space="preserve">, and yet </w:t>
      </w:r>
      <w:r w:rsidR="003A790F" w:rsidRPr="00D87FC1">
        <w:rPr>
          <w:b w:val="0"/>
          <w:bCs w:val="0"/>
        </w:rPr>
        <w:t xml:space="preserve">despite Dr </w:t>
      </w:r>
      <w:proofErr w:type="spellStart"/>
      <w:r w:rsidR="003A790F" w:rsidRPr="00D87FC1">
        <w:rPr>
          <w:b w:val="0"/>
          <w:bCs w:val="0"/>
        </w:rPr>
        <w:t>Adshead</w:t>
      </w:r>
      <w:proofErr w:type="spellEnd"/>
      <w:r w:rsidR="003A790F" w:rsidRPr="00D87FC1">
        <w:rPr>
          <w:b w:val="0"/>
          <w:bCs w:val="0"/>
        </w:rPr>
        <w:t xml:space="preserve"> indicating the relevance of coercive control to the defence of provocation, the case was </w:t>
      </w:r>
      <w:r w:rsidR="00A5593F" w:rsidRPr="00D87FC1">
        <w:rPr>
          <w:b w:val="0"/>
          <w:bCs w:val="0"/>
        </w:rPr>
        <w:t xml:space="preserve">ultimately decided </w:t>
      </w:r>
      <w:proofErr w:type="gramStart"/>
      <w:r w:rsidR="003A790F" w:rsidRPr="00D87FC1">
        <w:rPr>
          <w:b w:val="0"/>
          <w:bCs w:val="0"/>
        </w:rPr>
        <w:t>on the basis of</w:t>
      </w:r>
      <w:proofErr w:type="gramEnd"/>
      <w:r w:rsidR="003A790F" w:rsidRPr="00D87FC1">
        <w:rPr>
          <w:b w:val="0"/>
          <w:bCs w:val="0"/>
        </w:rPr>
        <w:t xml:space="preserve"> diminished responsibility.</w:t>
      </w:r>
      <w:r w:rsidR="00A5593F" w:rsidRPr="00D87FC1">
        <w:rPr>
          <w:b w:val="0"/>
          <w:bCs w:val="0"/>
        </w:rPr>
        <w:t xml:space="preserve"> </w:t>
      </w:r>
      <w:r w:rsidR="005D5861" w:rsidRPr="00D87FC1">
        <w:rPr>
          <w:b w:val="0"/>
          <w:bCs w:val="0"/>
        </w:rPr>
        <w:t xml:space="preserve">While </w:t>
      </w:r>
      <w:r w:rsidR="00B24139" w:rsidRPr="00D87FC1">
        <w:rPr>
          <w:b w:val="0"/>
          <w:bCs w:val="0"/>
        </w:rPr>
        <w:t xml:space="preserve">the </w:t>
      </w:r>
      <w:r w:rsidR="00FA18C6">
        <w:rPr>
          <w:b w:val="0"/>
          <w:bCs w:val="0"/>
        </w:rPr>
        <w:t>“</w:t>
      </w:r>
      <w:r w:rsidR="005D5861" w:rsidRPr="00D87FC1">
        <w:rPr>
          <w:b w:val="0"/>
          <w:bCs w:val="0"/>
        </w:rPr>
        <w:t>anger</w:t>
      </w:r>
      <w:r w:rsidR="00FA18C6">
        <w:rPr>
          <w:b w:val="0"/>
          <w:bCs w:val="0"/>
        </w:rPr>
        <w:t>”</w:t>
      </w:r>
      <w:r w:rsidR="005D5861" w:rsidRPr="00D87FC1">
        <w:rPr>
          <w:b w:val="0"/>
          <w:bCs w:val="0"/>
        </w:rPr>
        <w:t xml:space="preserve"> qualifying trigger may be applicable</w:t>
      </w:r>
      <w:r w:rsidR="00002509" w:rsidRPr="00D87FC1">
        <w:rPr>
          <w:b w:val="0"/>
          <w:bCs w:val="0"/>
        </w:rPr>
        <w:t xml:space="preserve"> (</w:t>
      </w:r>
      <w:proofErr w:type="spellStart"/>
      <w:r w:rsidR="00002509" w:rsidRPr="00D87FC1">
        <w:rPr>
          <w:b w:val="0"/>
          <w:bCs w:val="0"/>
        </w:rPr>
        <w:t>Bettinson</w:t>
      </w:r>
      <w:proofErr w:type="spellEnd"/>
      <w:r w:rsidR="00846D6D" w:rsidRPr="00D87FC1">
        <w:rPr>
          <w:b w:val="0"/>
          <w:bCs w:val="0"/>
        </w:rPr>
        <w:t>,</w:t>
      </w:r>
      <w:r w:rsidR="00002509" w:rsidRPr="00D87FC1">
        <w:rPr>
          <w:b w:val="0"/>
          <w:bCs w:val="0"/>
        </w:rPr>
        <w:t xml:space="preserve"> 2019</w:t>
      </w:r>
      <w:r w:rsidR="00A61BCC" w:rsidRPr="00D87FC1">
        <w:rPr>
          <w:b w:val="0"/>
          <w:bCs w:val="0"/>
        </w:rPr>
        <w:t>; Herring</w:t>
      </w:r>
      <w:r w:rsidR="00846D6D" w:rsidRPr="00D87FC1">
        <w:rPr>
          <w:b w:val="0"/>
          <w:bCs w:val="0"/>
        </w:rPr>
        <w:t>,</w:t>
      </w:r>
      <w:r w:rsidR="003835A8" w:rsidRPr="00D87FC1">
        <w:rPr>
          <w:b w:val="0"/>
          <w:bCs w:val="0"/>
        </w:rPr>
        <w:t xml:space="preserve"> 2011</w:t>
      </w:r>
      <w:r w:rsidR="00002509" w:rsidRPr="00D87FC1">
        <w:rPr>
          <w:b w:val="0"/>
          <w:bCs w:val="0"/>
        </w:rPr>
        <w:t>)</w:t>
      </w:r>
      <w:r w:rsidR="005D5861" w:rsidRPr="00D87FC1">
        <w:rPr>
          <w:b w:val="0"/>
          <w:bCs w:val="0"/>
        </w:rPr>
        <w:t>, th</w:t>
      </w:r>
      <w:r w:rsidR="00BC165A" w:rsidRPr="00D87FC1">
        <w:rPr>
          <w:b w:val="0"/>
          <w:bCs w:val="0"/>
        </w:rPr>
        <w:t xml:space="preserve">e continued requirement of a loss of control </w:t>
      </w:r>
      <w:r w:rsidR="005621C4" w:rsidRPr="00D87FC1">
        <w:rPr>
          <w:b w:val="0"/>
          <w:bCs w:val="0"/>
        </w:rPr>
        <w:t>an</w:t>
      </w:r>
      <w:r w:rsidR="00EE7586" w:rsidRPr="00D87FC1">
        <w:rPr>
          <w:b w:val="0"/>
          <w:bCs w:val="0"/>
        </w:rPr>
        <w:t xml:space="preserve">d the requirement of </w:t>
      </w:r>
      <w:r w:rsidR="00FA18C6">
        <w:rPr>
          <w:b w:val="0"/>
          <w:bCs w:val="0"/>
        </w:rPr>
        <w:t xml:space="preserve">a </w:t>
      </w:r>
      <w:r w:rsidR="00EE7586" w:rsidRPr="00D87FC1">
        <w:rPr>
          <w:b w:val="0"/>
          <w:bCs w:val="0"/>
        </w:rPr>
        <w:t xml:space="preserve">qualifying trigger </w:t>
      </w:r>
      <w:r w:rsidR="00BC165A" w:rsidRPr="00D87FC1">
        <w:rPr>
          <w:b w:val="0"/>
          <w:bCs w:val="0"/>
        </w:rPr>
        <w:t xml:space="preserve">may </w:t>
      </w:r>
      <w:r w:rsidR="009B6CAA" w:rsidRPr="00D87FC1">
        <w:rPr>
          <w:b w:val="0"/>
          <w:bCs w:val="0"/>
        </w:rPr>
        <w:t>continue to</w:t>
      </w:r>
      <w:r w:rsidR="00BC165A" w:rsidRPr="00D87FC1">
        <w:rPr>
          <w:b w:val="0"/>
          <w:bCs w:val="0"/>
        </w:rPr>
        <w:t xml:space="preserve"> </w:t>
      </w:r>
      <w:r w:rsidR="002119D4" w:rsidRPr="00D87FC1">
        <w:rPr>
          <w:b w:val="0"/>
          <w:bCs w:val="0"/>
        </w:rPr>
        <w:t xml:space="preserve">prove a significant barrier, </w:t>
      </w:r>
      <w:r w:rsidR="00CA513F" w:rsidRPr="00D87FC1">
        <w:rPr>
          <w:b w:val="0"/>
          <w:bCs w:val="0"/>
        </w:rPr>
        <w:t xml:space="preserve">as </w:t>
      </w:r>
      <w:r w:rsidR="00EE7586" w:rsidRPr="00D87FC1">
        <w:rPr>
          <w:b w:val="0"/>
          <w:bCs w:val="0"/>
        </w:rPr>
        <w:t>it</w:t>
      </w:r>
      <w:r w:rsidR="007C509B" w:rsidRPr="00D87FC1">
        <w:rPr>
          <w:b w:val="0"/>
          <w:bCs w:val="0"/>
        </w:rPr>
        <w:t xml:space="preserve"> still</w:t>
      </w:r>
      <w:r w:rsidR="00EE7586" w:rsidRPr="00D87FC1">
        <w:rPr>
          <w:b w:val="0"/>
          <w:bCs w:val="0"/>
        </w:rPr>
        <w:t xml:space="preserve"> requires a reaction to a specific incident, as opposed to </w:t>
      </w:r>
      <w:r w:rsidR="007C509B" w:rsidRPr="00D87FC1">
        <w:rPr>
          <w:b w:val="0"/>
          <w:bCs w:val="0"/>
        </w:rPr>
        <w:t xml:space="preserve">being the </w:t>
      </w:r>
      <w:r w:rsidR="00E66C71" w:rsidRPr="00D87FC1">
        <w:rPr>
          <w:b w:val="0"/>
          <w:bCs w:val="0"/>
        </w:rPr>
        <w:t>culmination of years of controlling behaviour.</w:t>
      </w:r>
    </w:p>
    <w:p w14:paraId="0EC7C575" w14:textId="77777777" w:rsidR="00027384" w:rsidRPr="00D87FC1" w:rsidRDefault="00027384" w:rsidP="003D25D4">
      <w:pPr>
        <w:autoSpaceDE w:val="0"/>
        <w:autoSpaceDN w:val="0"/>
        <w:adjustRightInd w:val="0"/>
        <w:spacing w:line="360" w:lineRule="auto"/>
        <w:contextualSpacing/>
        <w:jc w:val="both"/>
        <w:rPr>
          <w:b w:val="0"/>
          <w:bCs w:val="0"/>
        </w:rPr>
      </w:pPr>
    </w:p>
    <w:p w14:paraId="2E0920B8" w14:textId="227EA3D7" w:rsidR="00D261AE" w:rsidRPr="00D87FC1" w:rsidRDefault="00027384" w:rsidP="00D330D9">
      <w:pPr>
        <w:autoSpaceDE w:val="0"/>
        <w:autoSpaceDN w:val="0"/>
        <w:adjustRightInd w:val="0"/>
        <w:spacing w:line="360" w:lineRule="auto"/>
        <w:contextualSpacing/>
        <w:jc w:val="both"/>
        <w:rPr>
          <w:b w:val="0"/>
          <w:bCs w:val="0"/>
        </w:rPr>
      </w:pPr>
      <w:r w:rsidRPr="00D87FC1">
        <w:rPr>
          <w:b w:val="0"/>
          <w:bCs w:val="0"/>
        </w:rPr>
        <w:t>O</w:t>
      </w:r>
      <w:r w:rsidR="005D5861" w:rsidRPr="00D87FC1">
        <w:rPr>
          <w:b w:val="0"/>
          <w:bCs w:val="0"/>
        </w:rPr>
        <w:t xml:space="preserve">verall, the issue remains that the contours of the new defence </w:t>
      </w:r>
      <w:r w:rsidR="001C3DDA">
        <w:rPr>
          <w:b w:val="0"/>
          <w:bCs w:val="0"/>
        </w:rPr>
        <w:t>do</w:t>
      </w:r>
      <w:r w:rsidR="005D5861" w:rsidRPr="00D87FC1">
        <w:rPr>
          <w:b w:val="0"/>
          <w:bCs w:val="0"/>
        </w:rPr>
        <w:t xml:space="preserve"> not accurately capture the lived reality of</w:t>
      </w:r>
      <w:r w:rsidR="00EB0F53" w:rsidRPr="00D87FC1">
        <w:rPr>
          <w:b w:val="0"/>
          <w:bCs w:val="0"/>
        </w:rPr>
        <w:t xml:space="preserve"> </w:t>
      </w:r>
      <w:proofErr w:type="spellStart"/>
      <w:r w:rsidR="005D5861" w:rsidRPr="00D87FC1">
        <w:rPr>
          <w:b w:val="0"/>
          <w:bCs w:val="0"/>
        </w:rPr>
        <w:t>Challen</w:t>
      </w:r>
      <w:proofErr w:type="spellEnd"/>
      <w:r w:rsidR="005D5861" w:rsidRPr="00D87FC1">
        <w:rPr>
          <w:b w:val="0"/>
          <w:bCs w:val="0"/>
        </w:rPr>
        <w:t xml:space="preserve">. </w:t>
      </w:r>
      <w:r w:rsidRPr="00D87FC1">
        <w:rPr>
          <w:b w:val="0"/>
          <w:bCs w:val="0"/>
        </w:rPr>
        <w:t>T</w:t>
      </w:r>
      <w:r w:rsidR="00703CC1" w:rsidRPr="00D87FC1">
        <w:rPr>
          <w:b w:val="0"/>
          <w:bCs w:val="0"/>
        </w:rPr>
        <w:t xml:space="preserve">he narrow constraints of the </w:t>
      </w:r>
      <w:r w:rsidR="001C3DDA">
        <w:rPr>
          <w:b w:val="0"/>
          <w:bCs w:val="0"/>
        </w:rPr>
        <w:t>“</w:t>
      </w:r>
      <w:r w:rsidR="00703CC1" w:rsidRPr="00D87FC1">
        <w:rPr>
          <w:b w:val="0"/>
          <w:bCs w:val="0"/>
        </w:rPr>
        <w:t>fear of serious violence</w:t>
      </w:r>
      <w:r w:rsidR="001C3DDA">
        <w:rPr>
          <w:b w:val="0"/>
          <w:bCs w:val="0"/>
        </w:rPr>
        <w:t>”</w:t>
      </w:r>
      <w:r w:rsidR="00703CC1" w:rsidRPr="00D87FC1">
        <w:rPr>
          <w:b w:val="0"/>
          <w:bCs w:val="0"/>
        </w:rPr>
        <w:t xml:space="preserve"> trigger </w:t>
      </w:r>
      <w:r w:rsidR="0012645B" w:rsidRPr="00D87FC1">
        <w:rPr>
          <w:b w:val="0"/>
          <w:bCs w:val="0"/>
        </w:rPr>
        <w:t>are</w:t>
      </w:r>
      <w:r w:rsidR="00703CC1" w:rsidRPr="00D87FC1">
        <w:rPr>
          <w:b w:val="0"/>
          <w:bCs w:val="0"/>
        </w:rPr>
        <w:t xml:space="preserve"> unlikely to </w:t>
      </w:r>
      <w:r w:rsidR="00D0572F" w:rsidRPr="00D87FC1">
        <w:rPr>
          <w:b w:val="0"/>
          <w:bCs w:val="0"/>
        </w:rPr>
        <w:t xml:space="preserve">avail </w:t>
      </w:r>
      <w:proofErr w:type="spellStart"/>
      <w:r w:rsidR="00D0572F" w:rsidRPr="00D87FC1">
        <w:rPr>
          <w:b w:val="0"/>
          <w:bCs w:val="0"/>
        </w:rPr>
        <w:t>Challen</w:t>
      </w:r>
      <w:proofErr w:type="spellEnd"/>
      <w:r w:rsidR="00D0572F" w:rsidRPr="00D87FC1">
        <w:rPr>
          <w:b w:val="0"/>
          <w:bCs w:val="0"/>
        </w:rPr>
        <w:t>, as the abuse she suffered was psychological as opposed to physical</w:t>
      </w:r>
      <w:r w:rsidR="002D0D04" w:rsidRPr="00D87FC1">
        <w:rPr>
          <w:b w:val="0"/>
          <w:bCs w:val="0"/>
        </w:rPr>
        <w:t xml:space="preserve"> (</w:t>
      </w:r>
      <w:proofErr w:type="spellStart"/>
      <w:r w:rsidR="002D0D04" w:rsidRPr="00D87FC1">
        <w:rPr>
          <w:b w:val="0"/>
          <w:bCs w:val="0"/>
        </w:rPr>
        <w:t>Bettinson</w:t>
      </w:r>
      <w:proofErr w:type="spellEnd"/>
      <w:r w:rsidR="00846D6D" w:rsidRPr="00D87FC1">
        <w:rPr>
          <w:b w:val="0"/>
          <w:bCs w:val="0"/>
        </w:rPr>
        <w:t>,</w:t>
      </w:r>
      <w:r w:rsidR="002D0D04" w:rsidRPr="00D87FC1">
        <w:rPr>
          <w:b w:val="0"/>
          <w:bCs w:val="0"/>
        </w:rPr>
        <w:t xml:space="preserve"> 2019)</w:t>
      </w:r>
      <w:r w:rsidR="00D0572F" w:rsidRPr="00D87FC1">
        <w:rPr>
          <w:b w:val="0"/>
          <w:bCs w:val="0"/>
        </w:rPr>
        <w:t xml:space="preserve">. </w:t>
      </w:r>
      <w:r w:rsidR="00B95C72" w:rsidRPr="00D87FC1">
        <w:rPr>
          <w:b w:val="0"/>
          <w:bCs w:val="0"/>
        </w:rPr>
        <w:t xml:space="preserve">Yet, </w:t>
      </w:r>
      <w:r w:rsidR="00FC36E9" w:rsidRPr="00D87FC1">
        <w:rPr>
          <w:b w:val="0"/>
          <w:bCs w:val="0"/>
        </w:rPr>
        <w:t xml:space="preserve">when we </w:t>
      </w:r>
      <w:r w:rsidR="00F55826" w:rsidRPr="00D87FC1">
        <w:rPr>
          <w:b w:val="0"/>
          <w:bCs w:val="0"/>
        </w:rPr>
        <w:t>consider the nature</w:t>
      </w:r>
      <w:r w:rsidR="00FC36E9" w:rsidRPr="00D87FC1">
        <w:rPr>
          <w:b w:val="0"/>
          <w:bCs w:val="0"/>
        </w:rPr>
        <w:t xml:space="preserve"> of coercive control</w:t>
      </w:r>
      <w:r w:rsidR="005C690C" w:rsidRPr="00D87FC1">
        <w:rPr>
          <w:b w:val="0"/>
          <w:bCs w:val="0"/>
        </w:rPr>
        <w:t xml:space="preserve"> (see Stark</w:t>
      </w:r>
      <w:r w:rsidR="001C3DDA">
        <w:rPr>
          <w:b w:val="0"/>
          <w:bCs w:val="0"/>
        </w:rPr>
        <w:t>,</w:t>
      </w:r>
      <w:r w:rsidR="005C690C" w:rsidRPr="00D87FC1">
        <w:rPr>
          <w:b w:val="0"/>
          <w:bCs w:val="0"/>
        </w:rPr>
        <w:t xml:space="preserve"> 200</w:t>
      </w:r>
      <w:r w:rsidR="00A97543" w:rsidRPr="00D87FC1">
        <w:rPr>
          <w:b w:val="0"/>
          <w:bCs w:val="0"/>
        </w:rPr>
        <w:t>7</w:t>
      </w:r>
      <w:r w:rsidR="005C690C" w:rsidRPr="00D87FC1">
        <w:rPr>
          <w:b w:val="0"/>
          <w:bCs w:val="0"/>
        </w:rPr>
        <w:t>)</w:t>
      </w:r>
      <w:r w:rsidR="00FC36E9" w:rsidRPr="00D87FC1">
        <w:rPr>
          <w:b w:val="0"/>
          <w:bCs w:val="0"/>
        </w:rPr>
        <w:t>, we can see how such</w:t>
      </w:r>
      <w:r w:rsidR="006B4242" w:rsidRPr="00D87FC1">
        <w:rPr>
          <w:b w:val="0"/>
          <w:bCs w:val="0"/>
        </w:rPr>
        <w:t xml:space="preserve"> conduct</w:t>
      </w:r>
      <w:r w:rsidR="00FC36E9" w:rsidRPr="00D87FC1">
        <w:rPr>
          <w:b w:val="0"/>
          <w:bCs w:val="0"/>
        </w:rPr>
        <w:t xml:space="preserve"> </w:t>
      </w:r>
      <w:r w:rsidR="00C84909" w:rsidRPr="00D87FC1">
        <w:rPr>
          <w:b w:val="0"/>
          <w:bCs w:val="0"/>
        </w:rPr>
        <w:t>targets and exploits</w:t>
      </w:r>
      <w:r w:rsidR="00C83E43" w:rsidRPr="00D87FC1">
        <w:rPr>
          <w:b w:val="0"/>
          <w:bCs w:val="0"/>
        </w:rPr>
        <w:t xml:space="preserve"> </w:t>
      </w:r>
      <w:r w:rsidR="00AD7DA4" w:rsidRPr="00D87FC1">
        <w:rPr>
          <w:b w:val="0"/>
          <w:bCs w:val="0"/>
        </w:rPr>
        <w:t xml:space="preserve">the </w:t>
      </w:r>
      <w:r w:rsidR="00E4174B" w:rsidRPr="00D87FC1">
        <w:rPr>
          <w:b w:val="0"/>
          <w:bCs w:val="0"/>
        </w:rPr>
        <w:t>intrinsic vulnerability</w:t>
      </w:r>
      <w:r w:rsidR="00C20E47" w:rsidRPr="00D87FC1">
        <w:rPr>
          <w:b w:val="0"/>
          <w:bCs w:val="0"/>
        </w:rPr>
        <w:t xml:space="preserve"> of the victim</w:t>
      </w:r>
      <w:r w:rsidR="00E4174B" w:rsidRPr="00D87FC1">
        <w:rPr>
          <w:b w:val="0"/>
          <w:bCs w:val="0"/>
        </w:rPr>
        <w:t xml:space="preserve">, as it goes to the heart of dependency and </w:t>
      </w:r>
      <w:r w:rsidR="00C20E47" w:rsidRPr="00D87FC1">
        <w:rPr>
          <w:b w:val="0"/>
          <w:bCs w:val="0"/>
        </w:rPr>
        <w:t>a person’s</w:t>
      </w:r>
      <w:r w:rsidR="004E45F1" w:rsidRPr="00D87FC1">
        <w:rPr>
          <w:b w:val="0"/>
          <w:bCs w:val="0"/>
        </w:rPr>
        <w:t xml:space="preserve"> fundamental</w:t>
      </w:r>
      <w:r w:rsidR="00C20E47" w:rsidRPr="00D87FC1">
        <w:rPr>
          <w:b w:val="0"/>
          <w:bCs w:val="0"/>
        </w:rPr>
        <w:t xml:space="preserve"> </w:t>
      </w:r>
      <w:r w:rsidR="00E4174B" w:rsidRPr="00D87FC1">
        <w:rPr>
          <w:b w:val="0"/>
          <w:bCs w:val="0"/>
        </w:rPr>
        <w:t>need for</w:t>
      </w:r>
      <w:r w:rsidR="003A439B" w:rsidRPr="00D87FC1">
        <w:rPr>
          <w:b w:val="0"/>
          <w:bCs w:val="0"/>
        </w:rPr>
        <w:t xml:space="preserve"> intersubjective and infrastructural conditions of </w:t>
      </w:r>
      <w:r w:rsidR="00E4174B" w:rsidRPr="00D87FC1">
        <w:rPr>
          <w:b w:val="0"/>
          <w:bCs w:val="0"/>
        </w:rPr>
        <w:t>support</w:t>
      </w:r>
      <w:r w:rsidR="004505F1" w:rsidRPr="00D87FC1">
        <w:rPr>
          <w:b w:val="0"/>
          <w:bCs w:val="0"/>
        </w:rPr>
        <w:t xml:space="preserve">, as </w:t>
      </w:r>
      <w:proofErr w:type="spellStart"/>
      <w:r w:rsidR="004505F1" w:rsidRPr="00D87FC1">
        <w:rPr>
          <w:b w:val="0"/>
          <w:bCs w:val="0"/>
        </w:rPr>
        <w:t>conceputalised</w:t>
      </w:r>
      <w:proofErr w:type="spellEnd"/>
      <w:r w:rsidR="004505F1" w:rsidRPr="00D87FC1">
        <w:rPr>
          <w:b w:val="0"/>
          <w:bCs w:val="0"/>
        </w:rPr>
        <w:t xml:space="preserve"> by Butler</w:t>
      </w:r>
      <w:r w:rsidR="00401A53" w:rsidRPr="00D87FC1">
        <w:rPr>
          <w:b w:val="0"/>
          <w:bCs w:val="0"/>
        </w:rPr>
        <w:t xml:space="preserve"> (2016)</w:t>
      </w:r>
      <w:r w:rsidR="004505F1" w:rsidRPr="00D87FC1">
        <w:rPr>
          <w:b w:val="0"/>
          <w:bCs w:val="0"/>
        </w:rPr>
        <w:t>.</w:t>
      </w:r>
      <w:r w:rsidR="00E4174B" w:rsidRPr="00D87FC1">
        <w:rPr>
          <w:b w:val="0"/>
          <w:bCs w:val="0"/>
        </w:rPr>
        <w:t xml:space="preserve"> </w:t>
      </w:r>
      <w:r w:rsidR="009F663D" w:rsidRPr="00D87FC1">
        <w:rPr>
          <w:b w:val="0"/>
          <w:bCs w:val="0"/>
        </w:rPr>
        <w:t xml:space="preserve">The abuser </w:t>
      </w:r>
      <w:r w:rsidR="008C54AB" w:rsidRPr="00D87FC1">
        <w:rPr>
          <w:b w:val="0"/>
          <w:bCs w:val="0"/>
        </w:rPr>
        <w:t xml:space="preserve">targets </w:t>
      </w:r>
      <w:r w:rsidR="009F663D" w:rsidRPr="00D87FC1">
        <w:rPr>
          <w:b w:val="0"/>
          <w:bCs w:val="0"/>
        </w:rPr>
        <w:t>the victim’s</w:t>
      </w:r>
      <w:r w:rsidR="008C54AB" w:rsidRPr="00D87FC1">
        <w:rPr>
          <w:b w:val="0"/>
          <w:bCs w:val="0"/>
        </w:rPr>
        <w:t xml:space="preserve"> various emotional and financial support networks, all of which are fundamental to life, </w:t>
      </w:r>
      <w:r w:rsidR="005B4262" w:rsidRPr="00D87FC1">
        <w:rPr>
          <w:b w:val="0"/>
          <w:bCs w:val="0"/>
        </w:rPr>
        <w:t>and ultimately the victim becomes completely dependent upon the perpetrator. Conceptualised in this manner, coercive control can be recogni</w:t>
      </w:r>
      <w:r w:rsidR="00D87FC1">
        <w:rPr>
          <w:b w:val="0"/>
          <w:bCs w:val="0"/>
        </w:rPr>
        <w:t>s</w:t>
      </w:r>
      <w:r w:rsidR="005B4262" w:rsidRPr="00D87FC1">
        <w:rPr>
          <w:b w:val="0"/>
          <w:bCs w:val="0"/>
        </w:rPr>
        <w:t>ed as being fundamentally li</w:t>
      </w:r>
      <w:r w:rsidR="00A24348" w:rsidRPr="00D87FC1">
        <w:rPr>
          <w:b w:val="0"/>
          <w:bCs w:val="0"/>
        </w:rPr>
        <w:t>f</w:t>
      </w:r>
      <w:r w:rsidR="005B4262" w:rsidRPr="00D87FC1">
        <w:rPr>
          <w:b w:val="0"/>
          <w:bCs w:val="0"/>
        </w:rPr>
        <w:t>e threatening</w:t>
      </w:r>
      <w:r w:rsidR="004E08CB">
        <w:rPr>
          <w:b w:val="0"/>
          <w:bCs w:val="0"/>
        </w:rPr>
        <w:t>.</w:t>
      </w:r>
      <w:r w:rsidR="009733F4" w:rsidRPr="00D87FC1">
        <w:rPr>
          <w:b w:val="0"/>
          <w:bCs w:val="0"/>
        </w:rPr>
        <w:t xml:space="preserve"> </w:t>
      </w:r>
      <w:r w:rsidR="004E08CB">
        <w:rPr>
          <w:b w:val="0"/>
          <w:bCs w:val="0"/>
        </w:rPr>
        <w:t>I</w:t>
      </w:r>
      <w:r w:rsidR="009733F4" w:rsidRPr="00D87FC1">
        <w:rPr>
          <w:b w:val="0"/>
          <w:bCs w:val="0"/>
        </w:rPr>
        <w:t>ndeed,</w:t>
      </w:r>
      <w:r w:rsidR="00C85028" w:rsidRPr="00D87FC1">
        <w:rPr>
          <w:b w:val="0"/>
          <w:bCs w:val="0"/>
        </w:rPr>
        <w:t xml:space="preserve"> </w:t>
      </w:r>
      <w:r w:rsidR="00A8401B" w:rsidRPr="00D87FC1">
        <w:rPr>
          <w:b w:val="0"/>
          <w:bCs w:val="0"/>
        </w:rPr>
        <w:t>coercive control can frequently escalate into</w:t>
      </w:r>
      <w:r w:rsidR="0075070B" w:rsidRPr="00D87FC1">
        <w:rPr>
          <w:b w:val="0"/>
          <w:bCs w:val="0"/>
        </w:rPr>
        <w:t xml:space="preserve"> life threatening and fatal violence</w:t>
      </w:r>
      <w:r w:rsidR="00B51307" w:rsidRPr="00D87FC1">
        <w:rPr>
          <w:b w:val="0"/>
          <w:bCs w:val="0"/>
        </w:rPr>
        <w:t xml:space="preserve"> (Johnson et al</w:t>
      </w:r>
      <w:r w:rsidR="00846D6D" w:rsidRPr="00D87FC1">
        <w:rPr>
          <w:b w:val="0"/>
          <w:bCs w:val="0"/>
        </w:rPr>
        <w:t>.,</w:t>
      </w:r>
      <w:r w:rsidR="00B51307" w:rsidRPr="00D87FC1">
        <w:rPr>
          <w:b w:val="0"/>
          <w:bCs w:val="0"/>
        </w:rPr>
        <w:t xml:space="preserve"> 2019</w:t>
      </w:r>
      <w:r w:rsidR="00B17164" w:rsidRPr="00D87FC1">
        <w:rPr>
          <w:b w:val="0"/>
          <w:bCs w:val="0"/>
        </w:rPr>
        <w:t>; Monc</w:t>
      </w:r>
      <w:r w:rsidR="003D1A50" w:rsidRPr="00D87FC1">
        <w:rPr>
          <w:b w:val="0"/>
          <w:bCs w:val="0"/>
        </w:rPr>
        <w:t>kton Smith</w:t>
      </w:r>
      <w:r w:rsidR="00846D6D" w:rsidRPr="00D87FC1">
        <w:rPr>
          <w:b w:val="0"/>
          <w:bCs w:val="0"/>
        </w:rPr>
        <w:t>,</w:t>
      </w:r>
      <w:r w:rsidR="003D1A50" w:rsidRPr="00D87FC1">
        <w:rPr>
          <w:b w:val="0"/>
          <w:bCs w:val="0"/>
        </w:rPr>
        <w:t xml:space="preserve"> 2020</w:t>
      </w:r>
      <w:r w:rsidR="00B51307" w:rsidRPr="00D87FC1">
        <w:rPr>
          <w:b w:val="0"/>
          <w:bCs w:val="0"/>
        </w:rPr>
        <w:t>)</w:t>
      </w:r>
      <w:r w:rsidR="00752911" w:rsidRPr="00D87FC1">
        <w:rPr>
          <w:b w:val="0"/>
          <w:bCs w:val="0"/>
        </w:rPr>
        <w:t>, however, the law fails to recogni</w:t>
      </w:r>
      <w:r w:rsidR="00D87FC1">
        <w:rPr>
          <w:b w:val="0"/>
          <w:bCs w:val="0"/>
        </w:rPr>
        <w:t>s</w:t>
      </w:r>
      <w:r w:rsidR="00752911" w:rsidRPr="00D87FC1">
        <w:rPr>
          <w:b w:val="0"/>
          <w:bCs w:val="0"/>
        </w:rPr>
        <w:t xml:space="preserve">e this lived reality which in turn problematically </w:t>
      </w:r>
      <w:r w:rsidR="00C04828" w:rsidRPr="00D87FC1">
        <w:rPr>
          <w:b w:val="0"/>
          <w:bCs w:val="0"/>
        </w:rPr>
        <w:t xml:space="preserve">constructs their lives as less liveable </w:t>
      </w:r>
      <w:r w:rsidR="00752911" w:rsidRPr="00D87FC1">
        <w:rPr>
          <w:b w:val="0"/>
          <w:bCs w:val="0"/>
        </w:rPr>
        <w:t>and less worthy of protection.</w:t>
      </w:r>
    </w:p>
    <w:p w14:paraId="6B4D538F" w14:textId="6C238020" w:rsidR="0058150B" w:rsidRPr="00D87FC1" w:rsidRDefault="0058150B" w:rsidP="00757179">
      <w:pPr>
        <w:autoSpaceDE w:val="0"/>
        <w:autoSpaceDN w:val="0"/>
        <w:adjustRightInd w:val="0"/>
        <w:spacing w:line="360" w:lineRule="auto"/>
        <w:contextualSpacing/>
        <w:jc w:val="both"/>
        <w:rPr>
          <w:b w:val="0"/>
          <w:bCs w:val="0"/>
        </w:rPr>
      </w:pPr>
    </w:p>
    <w:p w14:paraId="2AE49DC3" w14:textId="1E04CA37" w:rsidR="004B297E" w:rsidRPr="00D87FC1" w:rsidRDefault="001416B6" w:rsidP="00572972">
      <w:pPr>
        <w:autoSpaceDE w:val="0"/>
        <w:autoSpaceDN w:val="0"/>
        <w:adjustRightInd w:val="0"/>
        <w:spacing w:line="360" w:lineRule="auto"/>
        <w:contextualSpacing/>
        <w:jc w:val="both"/>
        <w:rPr>
          <w:b w:val="0"/>
          <w:bCs w:val="0"/>
        </w:rPr>
      </w:pPr>
      <w:r w:rsidRPr="00D87FC1">
        <w:rPr>
          <w:b w:val="0"/>
          <w:bCs w:val="0"/>
        </w:rPr>
        <w:t xml:space="preserve">Coercive control was also raised as an issue during the appeal of </w:t>
      </w:r>
      <w:proofErr w:type="spellStart"/>
      <w:r w:rsidR="009671EE" w:rsidRPr="00D87FC1">
        <w:rPr>
          <w:b w:val="0"/>
          <w:bCs w:val="0"/>
        </w:rPr>
        <w:t>Fariessia</w:t>
      </w:r>
      <w:proofErr w:type="spellEnd"/>
      <w:r w:rsidR="009671EE" w:rsidRPr="00D87FC1">
        <w:rPr>
          <w:b w:val="0"/>
          <w:bCs w:val="0"/>
        </w:rPr>
        <w:t xml:space="preserve"> </w:t>
      </w:r>
      <w:r w:rsidR="009C6B98" w:rsidRPr="00D87FC1">
        <w:rPr>
          <w:b w:val="0"/>
          <w:bCs w:val="0"/>
        </w:rPr>
        <w:t xml:space="preserve">Martin, </w:t>
      </w:r>
      <w:r w:rsidR="00081735" w:rsidRPr="00D87FC1">
        <w:rPr>
          <w:b w:val="0"/>
          <w:bCs w:val="0"/>
        </w:rPr>
        <w:t xml:space="preserve">and </w:t>
      </w:r>
      <w:r w:rsidR="009C6B98" w:rsidRPr="00D87FC1">
        <w:rPr>
          <w:b w:val="0"/>
          <w:bCs w:val="0"/>
        </w:rPr>
        <w:t>while the Court of Appeal judgment does not appear to have been published, relevant detail can be gleaned from the Justice for Women website</w:t>
      </w:r>
      <w:r w:rsidR="00F924C6" w:rsidRPr="00D87FC1">
        <w:rPr>
          <w:rStyle w:val="EndnoteReference"/>
          <w:b w:val="0"/>
          <w:bCs w:val="0"/>
        </w:rPr>
        <w:endnoteReference w:id="4"/>
      </w:r>
      <w:r w:rsidR="00FB3C19" w:rsidRPr="00D87FC1">
        <w:rPr>
          <w:b w:val="0"/>
          <w:bCs w:val="0"/>
        </w:rPr>
        <w:t>,</w:t>
      </w:r>
      <w:r w:rsidR="00A0035C" w:rsidRPr="00D87FC1">
        <w:rPr>
          <w:b w:val="0"/>
          <w:bCs w:val="0"/>
        </w:rPr>
        <w:t xml:space="preserve"> </w:t>
      </w:r>
      <w:r w:rsidR="009C6B98" w:rsidRPr="00D87FC1">
        <w:rPr>
          <w:b w:val="0"/>
          <w:bCs w:val="0"/>
        </w:rPr>
        <w:t>the sentencing comments</w:t>
      </w:r>
      <w:r w:rsidR="00673BFB" w:rsidRPr="00D87FC1">
        <w:rPr>
          <w:b w:val="0"/>
          <w:bCs w:val="0"/>
        </w:rPr>
        <w:t xml:space="preserve"> </w:t>
      </w:r>
      <w:r w:rsidR="00200A5C" w:rsidRPr="00200A5C">
        <w:rPr>
          <w:b w:val="0"/>
          <w:bCs w:val="0"/>
        </w:rPr>
        <w:t xml:space="preserve">for </w:t>
      </w:r>
      <w:r w:rsidR="00752BB0" w:rsidRPr="00200A5C">
        <w:rPr>
          <w:b w:val="0"/>
          <w:bCs w:val="0"/>
          <w:i/>
          <w:iCs/>
        </w:rPr>
        <w:t xml:space="preserve">R v </w:t>
      </w:r>
      <w:r w:rsidR="00673BFB" w:rsidRPr="00D87FC1">
        <w:rPr>
          <w:b w:val="0"/>
          <w:bCs w:val="0"/>
          <w:i/>
          <w:iCs/>
        </w:rPr>
        <w:t>Martin</w:t>
      </w:r>
      <w:r w:rsidR="00DB5DC8">
        <w:rPr>
          <w:rStyle w:val="EndnoteReference"/>
          <w:b w:val="0"/>
          <w:bCs w:val="0"/>
          <w:i/>
          <w:iCs/>
        </w:rPr>
        <w:endnoteReference w:id="5"/>
      </w:r>
      <w:r w:rsidR="00FB3C19" w:rsidRPr="00D87FC1">
        <w:rPr>
          <w:b w:val="0"/>
          <w:bCs w:val="0"/>
        </w:rPr>
        <w:t xml:space="preserve"> and the article by Howes et al (2021)</w:t>
      </w:r>
      <w:r w:rsidR="00607D39" w:rsidRPr="00D87FC1">
        <w:rPr>
          <w:b w:val="0"/>
          <w:bCs w:val="0"/>
        </w:rPr>
        <w:t xml:space="preserve">. </w:t>
      </w:r>
      <w:proofErr w:type="spellStart"/>
      <w:r w:rsidR="00607D39" w:rsidRPr="00D87FC1">
        <w:rPr>
          <w:b w:val="0"/>
          <w:bCs w:val="0"/>
        </w:rPr>
        <w:t>Fariessia</w:t>
      </w:r>
      <w:proofErr w:type="spellEnd"/>
      <w:r w:rsidR="00607D39" w:rsidRPr="00D87FC1">
        <w:rPr>
          <w:b w:val="0"/>
          <w:bCs w:val="0"/>
        </w:rPr>
        <w:t xml:space="preserve"> </w:t>
      </w:r>
      <w:r w:rsidR="00482C43" w:rsidRPr="00D87FC1">
        <w:rPr>
          <w:b w:val="0"/>
          <w:bCs w:val="0"/>
        </w:rPr>
        <w:t>was convicted for the murder of her partner</w:t>
      </w:r>
      <w:r w:rsidR="00607D39" w:rsidRPr="00D87FC1">
        <w:rPr>
          <w:b w:val="0"/>
          <w:bCs w:val="0"/>
        </w:rPr>
        <w:t>, Kyle Farrell,</w:t>
      </w:r>
      <w:r w:rsidR="00506C8A" w:rsidRPr="00D87FC1">
        <w:rPr>
          <w:b w:val="0"/>
          <w:bCs w:val="0"/>
        </w:rPr>
        <w:t xml:space="preserve"> with whom she had two children</w:t>
      </w:r>
      <w:r w:rsidR="00641B51" w:rsidRPr="00D87FC1">
        <w:rPr>
          <w:b w:val="0"/>
          <w:bCs w:val="0"/>
        </w:rPr>
        <w:t xml:space="preserve">. She had been out for the evening leaving Kyle to mind the children. </w:t>
      </w:r>
      <w:r w:rsidR="000D6C1E" w:rsidRPr="00D87FC1">
        <w:rPr>
          <w:b w:val="0"/>
          <w:bCs w:val="0"/>
        </w:rPr>
        <w:t xml:space="preserve">On returning home, </w:t>
      </w:r>
      <w:r w:rsidR="00641B51" w:rsidRPr="00D87FC1">
        <w:rPr>
          <w:b w:val="0"/>
          <w:bCs w:val="0"/>
        </w:rPr>
        <w:t>Kyle</w:t>
      </w:r>
      <w:r w:rsidR="000D6C1E" w:rsidRPr="00D87FC1">
        <w:rPr>
          <w:b w:val="0"/>
          <w:bCs w:val="0"/>
        </w:rPr>
        <w:t xml:space="preserve"> </w:t>
      </w:r>
      <w:r w:rsidR="00641B51" w:rsidRPr="00D87FC1">
        <w:rPr>
          <w:b w:val="0"/>
          <w:bCs w:val="0"/>
        </w:rPr>
        <w:t>attempted to strangle her</w:t>
      </w:r>
      <w:r w:rsidR="00EC763A" w:rsidRPr="00D87FC1">
        <w:rPr>
          <w:b w:val="0"/>
          <w:bCs w:val="0"/>
        </w:rPr>
        <w:t xml:space="preserve"> and, in fear for her life, she stabbed him.</w:t>
      </w:r>
      <w:r w:rsidR="000F76D4" w:rsidRPr="00D87FC1">
        <w:rPr>
          <w:b w:val="0"/>
          <w:bCs w:val="0"/>
        </w:rPr>
        <w:t xml:space="preserve"> Upon arrest </w:t>
      </w:r>
      <w:proofErr w:type="spellStart"/>
      <w:r w:rsidR="000F76D4" w:rsidRPr="00D87FC1">
        <w:rPr>
          <w:b w:val="0"/>
          <w:bCs w:val="0"/>
        </w:rPr>
        <w:t>Farisseia</w:t>
      </w:r>
      <w:proofErr w:type="spellEnd"/>
      <w:r w:rsidR="000F76D4" w:rsidRPr="00D87FC1">
        <w:rPr>
          <w:b w:val="0"/>
          <w:bCs w:val="0"/>
        </w:rPr>
        <w:t xml:space="preserve"> initially lied about the events of the evening, on the basis that she was fearful for her children. Further,</w:t>
      </w:r>
      <w:r w:rsidR="00641B51" w:rsidRPr="00D87FC1">
        <w:rPr>
          <w:b w:val="0"/>
          <w:bCs w:val="0"/>
        </w:rPr>
        <w:t xml:space="preserve"> </w:t>
      </w:r>
      <w:r w:rsidR="000F76D4" w:rsidRPr="00D87FC1">
        <w:rPr>
          <w:b w:val="0"/>
          <w:bCs w:val="0"/>
        </w:rPr>
        <w:t>t</w:t>
      </w:r>
      <w:r w:rsidR="00EC763A" w:rsidRPr="00D87FC1">
        <w:rPr>
          <w:b w:val="0"/>
          <w:bCs w:val="0"/>
        </w:rPr>
        <w:t xml:space="preserve">he relationship between the two had been </w:t>
      </w:r>
      <w:r w:rsidR="00EC763A" w:rsidRPr="00D87FC1">
        <w:rPr>
          <w:b w:val="0"/>
          <w:bCs w:val="0"/>
        </w:rPr>
        <w:lastRenderedPageBreak/>
        <w:t>violent throughout, however,</w:t>
      </w:r>
      <w:r w:rsidR="009332A1" w:rsidRPr="00D87FC1">
        <w:rPr>
          <w:b w:val="0"/>
          <w:bCs w:val="0"/>
        </w:rPr>
        <w:t xml:space="preserve"> this detail was not examined during the trial</w:t>
      </w:r>
      <w:r w:rsidR="00C207E9" w:rsidRPr="00D87FC1">
        <w:rPr>
          <w:b w:val="0"/>
          <w:bCs w:val="0"/>
        </w:rPr>
        <w:t xml:space="preserve">, nor was the fact that she was suffering from </w:t>
      </w:r>
      <w:r w:rsidR="00846D6D" w:rsidRPr="00D87FC1">
        <w:rPr>
          <w:b w:val="0"/>
          <w:bCs w:val="0"/>
        </w:rPr>
        <w:t>post-traumatic stress disorder (</w:t>
      </w:r>
      <w:r w:rsidR="00C207E9" w:rsidRPr="00D87FC1">
        <w:rPr>
          <w:b w:val="0"/>
          <w:bCs w:val="0"/>
        </w:rPr>
        <w:t>PTSD</w:t>
      </w:r>
      <w:r w:rsidR="00846D6D" w:rsidRPr="00D87FC1">
        <w:rPr>
          <w:b w:val="0"/>
          <w:bCs w:val="0"/>
        </w:rPr>
        <w:t>)</w:t>
      </w:r>
      <w:r w:rsidR="00C207E9" w:rsidRPr="00D87FC1">
        <w:rPr>
          <w:b w:val="0"/>
          <w:bCs w:val="0"/>
        </w:rPr>
        <w:t>, due to a history of suffering sexual and physical abuse</w:t>
      </w:r>
      <w:r w:rsidR="00390233" w:rsidRPr="00D87FC1">
        <w:rPr>
          <w:b w:val="0"/>
          <w:bCs w:val="0"/>
        </w:rPr>
        <w:t>, including being raped when she was 15</w:t>
      </w:r>
      <w:r w:rsidR="00C207E9" w:rsidRPr="00D87FC1">
        <w:rPr>
          <w:b w:val="0"/>
          <w:bCs w:val="0"/>
        </w:rPr>
        <w:t xml:space="preserve">. </w:t>
      </w:r>
      <w:r w:rsidR="002B769A" w:rsidRPr="00D87FC1">
        <w:rPr>
          <w:b w:val="0"/>
          <w:bCs w:val="0"/>
        </w:rPr>
        <w:t>During the appeal, it was noted that coercive control and PTSD w</w:t>
      </w:r>
      <w:r w:rsidR="008643A1" w:rsidRPr="00D87FC1">
        <w:rPr>
          <w:b w:val="0"/>
          <w:bCs w:val="0"/>
        </w:rPr>
        <w:t>ere</w:t>
      </w:r>
      <w:r w:rsidR="002B769A" w:rsidRPr="00D87FC1">
        <w:rPr>
          <w:b w:val="0"/>
          <w:bCs w:val="0"/>
        </w:rPr>
        <w:t xml:space="preserve"> relevant to the issue of loss of control</w:t>
      </w:r>
      <w:r w:rsidR="007825B3" w:rsidRPr="00D87FC1">
        <w:rPr>
          <w:b w:val="0"/>
          <w:bCs w:val="0"/>
        </w:rPr>
        <w:t xml:space="preserve">, </w:t>
      </w:r>
      <w:r w:rsidR="000E501B" w:rsidRPr="00D87FC1">
        <w:rPr>
          <w:b w:val="0"/>
          <w:bCs w:val="0"/>
        </w:rPr>
        <w:t>particularly the gravity of the trigger, and her conviction was quashed.</w:t>
      </w:r>
      <w:r w:rsidR="008777A4" w:rsidRPr="00D87FC1">
        <w:rPr>
          <w:b w:val="0"/>
          <w:bCs w:val="0"/>
        </w:rPr>
        <w:t xml:space="preserve"> </w:t>
      </w:r>
      <w:r w:rsidR="006F49CC" w:rsidRPr="00D87FC1">
        <w:rPr>
          <w:b w:val="0"/>
          <w:bCs w:val="0"/>
        </w:rPr>
        <w:t xml:space="preserve">This does offer some hope for future </w:t>
      </w:r>
      <w:r w:rsidR="00735652">
        <w:rPr>
          <w:b w:val="0"/>
          <w:bCs w:val="0"/>
        </w:rPr>
        <w:t>cases</w:t>
      </w:r>
      <w:r w:rsidR="006F49CC" w:rsidRPr="00D87FC1">
        <w:rPr>
          <w:b w:val="0"/>
          <w:bCs w:val="0"/>
        </w:rPr>
        <w:t>, although it has to be queried why</w:t>
      </w:r>
      <w:r w:rsidR="00DC719A" w:rsidRPr="00D87FC1">
        <w:rPr>
          <w:b w:val="0"/>
          <w:bCs w:val="0"/>
        </w:rPr>
        <w:t xml:space="preserve"> </w:t>
      </w:r>
      <w:r w:rsidR="006F49CC" w:rsidRPr="00D87FC1">
        <w:rPr>
          <w:b w:val="0"/>
          <w:bCs w:val="0"/>
        </w:rPr>
        <w:t>the fear of serious violence trigger was not considered applicable anyway</w:t>
      </w:r>
      <w:r w:rsidR="005035EC" w:rsidRPr="00D87FC1">
        <w:rPr>
          <w:b w:val="0"/>
          <w:bCs w:val="0"/>
        </w:rPr>
        <w:t xml:space="preserve">, </w:t>
      </w:r>
      <w:r w:rsidR="00C3689C" w:rsidRPr="00D87FC1">
        <w:rPr>
          <w:b w:val="0"/>
          <w:bCs w:val="0"/>
        </w:rPr>
        <w:t>even in the absence of coercive control and PTSD, especially when no such evidence was considered necessary in the case</w:t>
      </w:r>
      <w:r w:rsidR="001E4F15" w:rsidRPr="00D87FC1">
        <w:rPr>
          <w:b w:val="0"/>
          <w:bCs w:val="0"/>
        </w:rPr>
        <w:t>s</w:t>
      </w:r>
      <w:r w:rsidR="00C3689C" w:rsidRPr="00D87FC1">
        <w:rPr>
          <w:b w:val="0"/>
          <w:bCs w:val="0"/>
        </w:rPr>
        <w:t xml:space="preserve"> of </w:t>
      </w:r>
      <w:r w:rsidR="001E4F15" w:rsidRPr="00D87FC1">
        <w:rPr>
          <w:b w:val="0"/>
          <w:bCs w:val="0"/>
          <w:i/>
          <w:iCs/>
        </w:rPr>
        <w:t xml:space="preserve">R v </w:t>
      </w:r>
      <w:r w:rsidR="00C97875" w:rsidRPr="00D87FC1">
        <w:rPr>
          <w:b w:val="0"/>
          <w:bCs w:val="0"/>
          <w:i/>
          <w:iCs/>
        </w:rPr>
        <w:t xml:space="preserve">Bird </w:t>
      </w:r>
      <w:r w:rsidR="00C97875" w:rsidRPr="00D87FC1">
        <w:rPr>
          <w:b w:val="0"/>
          <w:bCs w:val="0"/>
        </w:rPr>
        <w:t xml:space="preserve">and </w:t>
      </w:r>
      <w:r w:rsidR="001E4F15" w:rsidRPr="00D87FC1">
        <w:rPr>
          <w:b w:val="0"/>
          <w:bCs w:val="0"/>
          <w:i/>
          <w:iCs/>
        </w:rPr>
        <w:t xml:space="preserve">R v </w:t>
      </w:r>
      <w:proofErr w:type="spellStart"/>
      <w:r w:rsidR="00C97875" w:rsidRPr="00D87FC1">
        <w:rPr>
          <w:b w:val="0"/>
          <w:bCs w:val="0"/>
          <w:i/>
          <w:iCs/>
        </w:rPr>
        <w:t>Brehmer</w:t>
      </w:r>
      <w:proofErr w:type="spellEnd"/>
      <w:r w:rsidR="005035EC" w:rsidRPr="00D87FC1">
        <w:rPr>
          <w:b w:val="0"/>
          <w:bCs w:val="0"/>
        </w:rPr>
        <w:t xml:space="preserve"> and particularly given the fact</w:t>
      </w:r>
      <w:r w:rsidR="004D3298" w:rsidRPr="00D87FC1">
        <w:rPr>
          <w:b w:val="0"/>
          <w:bCs w:val="0"/>
        </w:rPr>
        <w:t xml:space="preserve"> that strangulation is the primary method by which men kill women</w:t>
      </w:r>
      <w:r w:rsidR="00F8305D" w:rsidRPr="00D87FC1">
        <w:rPr>
          <w:b w:val="0"/>
          <w:bCs w:val="0"/>
        </w:rPr>
        <w:t xml:space="preserve"> (Edwards</w:t>
      </w:r>
      <w:r w:rsidR="001E4F15" w:rsidRPr="00D87FC1">
        <w:rPr>
          <w:b w:val="0"/>
          <w:bCs w:val="0"/>
        </w:rPr>
        <w:t>,</w:t>
      </w:r>
      <w:r w:rsidR="00F8305D" w:rsidRPr="00D87FC1">
        <w:rPr>
          <w:b w:val="0"/>
          <w:bCs w:val="0"/>
        </w:rPr>
        <w:t xml:space="preserve"> 2015). As such,</w:t>
      </w:r>
      <w:r w:rsidR="004D3298" w:rsidRPr="00D87FC1">
        <w:rPr>
          <w:b w:val="0"/>
          <w:bCs w:val="0"/>
        </w:rPr>
        <w:t xml:space="preserve"> there was a very real fear of serious violence here</w:t>
      </w:r>
      <w:r w:rsidR="00254398" w:rsidRPr="00D87FC1">
        <w:rPr>
          <w:b w:val="0"/>
          <w:bCs w:val="0"/>
        </w:rPr>
        <w:t>, and a failure to recognize this eschews the vulnerability of abused women.</w:t>
      </w:r>
      <w:r w:rsidR="003617C2" w:rsidRPr="00D87FC1">
        <w:rPr>
          <w:b w:val="0"/>
          <w:bCs w:val="0"/>
        </w:rPr>
        <w:t xml:space="preserve"> </w:t>
      </w:r>
      <w:r w:rsidR="004B27C2" w:rsidRPr="00D87FC1">
        <w:rPr>
          <w:b w:val="0"/>
          <w:bCs w:val="0"/>
        </w:rPr>
        <w:t>Upon retrial, h</w:t>
      </w:r>
      <w:r w:rsidR="008856B5" w:rsidRPr="00D87FC1">
        <w:rPr>
          <w:b w:val="0"/>
          <w:bCs w:val="0"/>
        </w:rPr>
        <w:t xml:space="preserve">er plea </w:t>
      </w:r>
      <w:r w:rsidR="00092A38" w:rsidRPr="00D87FC1">
        <w:rPr>
          <w:b w:val="0"/>
          <w:bCs w:val="0"/>
        </w:rPr>
        <w:t xml:space="preserve">to </w:t>
      </w:r>
      <w:r w:rsidR="004B27C2" w:rsidRPr="00D87FC1">
        <w:rPr>
          <w:b w:val="0"/>
          <w:bCs w:val="0"/>
        </w:rPr>
        <w:t>unlawful act manslaughter</w:t>
      </w:r>
      <w:r w:rsidR="00092A38" w:rsidRPr="00D87FC1">
        <w:rPr>
          <w:b w:val="0"/>
          <w:bCs w:val="0"/>
        </w:rPr>
        <w:t xml:space="preserve"> was accepted, and as such the defence of loss of control was not </w:t>
      </w:r>
      <w:r w:rsidR="00521702" w:rsidRPr="00D87FC1">
        <w:rPr>
          <w:b w:val="0"/>
          <w:bCs w:val="0"/>
        </w:rPr>
        <w:t>relevant</w:t>
      </w:r>
      <w:r w:rsidR="00931CEA" w:rsidRPr="00D87FC1">
        <w:rPr>
          <w:b w:val="0"/>
          <w:bCs w:val="0"/>
        </w:rPr>
        <w:t>.</w:t>
      </w:r>
      <w:r w:rsidR="00081735" w:rsidRPr="00D87FC1">
        <w:rPr>
          <w:b w:val="0"/>
          <w:bCs w:val="0"/>
        </w:rPr>
        <w:t xml:space="preserve"> </w:t>
      </w:r>
    </w:p>
    <w:p w14:paraId="4DE8D1E3" w14:textId="77777777" w:rsidR="004B297E" w:rsidRPr="00D87FC1" w:rsidRDefault="004B297E" w:rsidP="00C14F81">
      <w:pPr>
        <w:autoSpaceDE w:val="0"/>
        <w:autoSpaceDN w:val="0"/>
        <w:adjustRightInd w:val="0"/>
        <w:spacing w:line="360" w:lineRule="auto"/>
        <w:ind w:firstLine="720"/>
        <w:contextualSpacing/>
        <w:jc w:val="both"/>
        <w:rPr>
          <w:b w:val="0"/>
          <w:bCs w:val="0"/>
          <w:i/>
          <w:iCs/>
        </w:rPr>
      </w:pPr>
    </w:p>
    <w:p w14:paraId="6FC227BF" w14:textId="0AC42804" w:rsidR="00A70BC0" w:rsidRPr="002B016D" w:rsidRDefault="00931CEA" w:rsidP="00D87FC1">
      <w:pPr>
        <w:autoSpaceDE w:val="0"/>
        <w:autoSpaceDN w:val="0"/>
        <w:adjustRightInd w:val="0"/>
        <w:spacing w:line="360" w:lineRule="auto"/>
        <w:contextualSpacing/>
        <w:jc w:val="both"/>
      </w:pPr>
      <w:r w:rsidRPr="002B016D">
        <w:rPr>
          <w:b w:val="0"/>
          <w:bCs w:val="0"/>
        </w:rPr>
        <w:t>The final case to consider is</w:t>
      </w:r>
      <w:r w:rsidR="00C14F81" w:rsidRPr="002B016D">
        <w:rPr>
          <w:b w:val="0"/>
          <w:bCs w:val="0"/>
        </w:rPr>
        <w:t xml:space="preserve"> </w:t>
      </w:r>
      <w:r w:rsidR="00C14F81" w:rsidRPr="002B016D">
        <w:rPr>
          <w:b w:val="0"/>
          <w:bCs w:val="0"/>
          <w:i/>
          <w:iCs/>
        </w:rPr>
        <w:t xml:space="preserve">R v </w:t>
      </w:r>
      <w:proofErr w:type="spellStart"/>
      <w:r w:rsidR="00C14F81" w:rsidRPr="002B016D">
        <w:rPr>
          <w:b w:val="0"/>
          <w:bCs w:val="0"/>
          <w:i/>
          <w:iCs/>
        </w:rPr>
        <w:t>Magson</w:t>
      </w:r>
      <w:proofErr w:type="spellEnd"/>
      <w:r w:rsidR="004D4CA4" w:rsidRPr="002B016D">
        <w:rPr>
          <w:b w:val="0"/>
          <w:bCs w:val="0"/>
          <w:i/>
          <w:iCs/>
        </w:rPr>
        <w:t xml:space="preserve"> </w:t>
      </w:r>
      <w:r w:rsidR="00A00B51" w:rsidRPr="002B016D">
        <w:rPr>
          <w:b w:val="0"/>
          <w:bCs w:val="0"/>
          <w:color w:val="000000"/>
        </w:rPr>
        <w:t>[2018] EWCA Crim 2674</w:t>
      </w:r>
      <w:r w:rsidR="00C14F81" w:rsidRPr="002B016D">
        <w:rPr>
          <w:b w:val="0"/>
          <w:bCs w:val="0"/>
        </w:rPr>
        <w:t xml:space="preserve">, </w:t>
      </w:r>
      <w:r w:rsidRPr="002B016D">
        <w:rPr>
          <w:b w:val="0"/>
          <w:bCs w:val="0"/>
        </w:rPr>
        <w:t xml:space="preserve">in which </w:t>
      </w:r>
      <w:r w:rsidR="00C14F81" w:rsidRPr="002B016D">
        <w:rPr>
          <w:b w:val="0"/>
          <w:bCs w:val="0"/>
        </w:rPr>
        <w:t xml:space="preserve">the defendant fatally stabbed her boyfriend following an altercation after they had both been out drinking with friends, separately. </w:t>
      </w:r>
      <w:r w:rsidR="007F6838" w:rsidRPr="002B016D">
        <w:rPr>
          <w:b w:val="0"/>
          <w:bCs w:val="0"/>
        </w:rPr>
        <w:t xml:space="preserve">The </w:t>
      </w:r>
      <w:r w:rsidR="00C14F81" w:rsidRPr="002B016D">
        <w:rPr>
          <w:b w:val="0"/>
          <w:bCs w:val="0"/>
        </w:rPr>
        <w:t>relationship</w:t>
      </w:r>
      <w:r w:rsidR="004D2FC8" w:rsidRPr="002B016D">
        <w:rPr>
          <w:b w:val="0"/>
          <w:bCs w:val="0"/>
        </w:rPr>
        <w:t xml:space="preserve"> </w:t>
      </w:r>
      <w:proofErr w:type="gramStart"/>
      <w:r w:rsidR="00C14F81" w:rsidRPr="002B016D">
        <w:rPr>
          <w:b w:val="0"/>
          <w:bCs w:val="0"/>
        </w:rPr>
        <w:t>is described as being</w:t>
      </w:r>
      <w:proofErr w:type="gramEnd"/>
      <w:r w:rsidR="00C14F81" w:rsidRPr="002B016D">
        <w:rPr>
          <w:b w:val="0"/>
          <w:bCs w:val="0"/>
        </w:rPr>
        <w:t xml:space="preserve"> </w:t>
      </w:r>
      <w:r w:rsidR="00225F32">
        <w:rPr>
          <w:b w:val="0"/>
          <w:bCs w:val="0"/>
        </w:rPr>
        <w:t>“</w:t>
      </w:r>
      <w:r w:rsidR="00C14F81" w:rsidRPr="002B016D">
        <w:rPr>
          <w:b w:val="0"/>
          <w:bCs w:val="0"/>
        </w:rPr>
        <w:t>volatile</w:t>
      </w:r>
      <w:r w:rsidR="00225F32">
        <w:rPr>
          <w:b w:val="0"/>
          <w:bCs w:val="0"/>
        </w:rPr>
        <w:t>”</w:t>
      </w:r>
      <w:r w:rsidR="00C14F81" w:rsidRPr="002B016D">
        <w:rPr>
          <w:b w:val="0"/>
          <w:bCs w:val="0"/>
        </w:rPr>
        <w:t xml:space="preserve"> </w:t>
      </w:r>
      <w:r w:rsidR="00E030AF" w:rsidRPr="002B016D">
        <w:rPr>
          <w:b w:val="0"/>
          <w:bCs w:val="0"/>
        </w:rPr>
        <w:t>and p</w:t>
      </w:r>
      <w:r w:rsidR="00C14F81" w:rsidRPr="002B016D">
        <w:rPr>
          <w:b w:val="0"/>
          <w:bCs w:val="0"/>
        </w:rPr>
        <w:t xml:space="preserve">receding the stabbing, CCTV showed the deceased pushing the applicant so </w:t>
      </w:r>
      <w:r w:rsidR="00225F32">
        <w:rPr>
          <w:b w:val="0"/>
          <w:bCs w:val="0"/>
        </w:rPr>
        <w:t xml:space="preserve">as </w:t>
      </w:r>
      <w:r w:rsidR="00C14F81" w:rsidRPr="002B016D">
        <w:rPr>
          <w:b w:val="0"/>
          <w:bCs w:val="0"/>
        </w:rPr>
        <w:t>to cause her to fall and witnesses heard them arguing loudly. A neighbour reported that the deceased had been banging on the applicant’s door, demanding to be let in. Once in the house, the deceased grabbed the app</w:t>
      </w:r>
      <w:r w:rsidR="00BE36A2" w:rsidRPr="002B016D">
        <w:rPr>
          <w:b w:val="0"/>
          <w:bCs w:val="0"/>
        </w:rPr>
        <w:t>ellant</w:t>
      </w:r>
      <w:r w:rsidR="00C14F81" w:rsidRPr="002B016D">
        <w:rPr>
          <w:b w:val="0"/>
          <w:bCs w:val="0"/>
        </w:rPr>
        <w:t xml:space="preserve"> by her throat, and she feared that the assault would worsen. In response, she grabbed a</w:t>
      </w:r>
      <w:r w:rsidR="006933EA" w:rsidRPr="002B016D">
        <w:rPr>
          <w:b w:val="0"/>
          <w:bCs w:val="0"/>
        </w:rPr>
        <w:t xml:space="preserve"> nearby </w:t>
      </w:r>
      <w:r w:rsidR="00C14F81" w:rsidRPr="002B016D">
        <w:rPr>
          <w:b w:val="0"/>
          <w:bCs w:val="0"/>
        </w:rPr>
        <w:t>steak knife and</w:t>
      </w:r>
      <w:r w:rsidR="00DF2880" w:rsidRPr="002B016D">
        <w:rPr>
          <w:b w:val="0"/>
          <w:bCs w:val="0"/>
        </w:rPr>
        <w:t xml:space="preserve"> </w:t>
      </w:r>
      <w:r w:rsidR="00C14F81" w:rsidRPr="002B016D">
        <w:rPr>
          <w:b w:val="0"/>
          <w:bCs w:val="0"/>
        </w:rPr>
        <w:t>hit out at him once. She noted that “</w:t>
      </w:r>
      <w:r w:rsidR="00236735">
        <w:rPr>
          <w:b w:val="0"/>
          <w:bCs w:val="0"/>
        </w:rPr>
        <w:t>i</w:t>
      </w:r>
      <w:r w:rsidR="00C14F81" w:rsidRPr="002B016D">
        <w:rPr>
          <w:b w:val="0"/>
          <w:bCs w:val="0"/>
        </w:rPr>
        <w:t xml:space="preserve">t happened so quickly I cannot be sure exactly how it happened. I didn't mean to harm </w:t>
      </w:r>
      <w:proofErr w:type="gramStart"/>
      <w:r w:rsidR="00C14F81" w:rsidRPr="002B016D">
        <w:rPr>
          <w:b w:val="0"/>
          <w:bCs w:val="0"/>
        </w:rPr>
        <w:t>him,</w:t>
      </w:r>
      <w:proofErr w:type="gramEnd"/>
      <w:r w:rsidR="00C14F81" w:rsidRPr="002B016D">
        <w:rPr>
          <w:b w:val="0"/>
          <w:bCs w:val="0"/>
        </w:rPr>
        <w:t xml:space="preserve"> I just wanted him to get off me”</w:t>
      </w:r>
      <w:r w:rsidR="00C9699B" w:rsidRPr="002B016D">
        <w:rPr>
          <w:b w:val="0"/>
          <w:bCs w:val="0"/>
        </w:rPr>
        <w:t xml:space="preserve"> (2018: </w:t>
      </w:r>
      <w:r w:rsidR="00580AC2" w:rsidRPr="002B016D">
        <w:rPr>
          <w:b w:val="0"/>
          <w:bCs w:val="0"/>
        </w:rPr>
        <w:t>para 14)</w:t>
      </w:r>
      <w:r w:rsidR="00C14F81" w:rsidRPr="002B016D">
        <w:rPr>
          <w:b w:val="0"/>
          <w:bCs w:val="0"/>
        </w:rPr>
        <w:t xml:space="preserve">. In these circumstances, it was held that there was no evidence of a loss of self-control. </w:t>
      </w:r>
      <w:r w:rsidR="0012582E" w:rsidRPr="002B016D">
        <w:rPr>
          <w:b w:val="0"/>
          <w:bCs w:val="0"/>
        </w:rPr>
        <w:t xml:space="preserve">While the appeal was granted, this was </w:t>
      </w:r>
      <w:proofErr w:type="gramStart"/>
      <w:r w:rsidR="0012582E" w:rsidRPr="002B016D">
        <w:rPr>
          <w:b w:val="0"/>
          <w:bCs w:val="0"/>
        </w:rPr>
        <w:t>on the basis of</w:t>
      </w:r>
      <w:proofErr w:type="gramEnd"/>
      <w:r w:rsidR="0012582E" w:rsidRPr="002B016D">
        <w:rPr>
          <w:b w:val="0"/>
          <w:bCs w:val="0"/>
        </w:rPr>
        <w:t xml:space="preserve"> diminished responsibility and also due to the fact that she should have been </w:t>
      </w:r>
      <w:r w:rsidR="00292972" w:rsidRPr="002B016D">
        <w:rPr>
          <w:b w:val="0"/>
          <w:bCs w:val="0"/>
        </w:rPr>
        <w:t>provided with</w:t>
      </w:r>
      <w:r w:rsidR="0012582E" w:rsidRPr="002B016D">
        <w:rPr>
          <w:b w:val="0"/>
          <w:bCs w:val="0"/>
        </w:rPr>
        <w:t xml:space="preserve"> an intermediary during the trial, due to her impaired verbal skills. </w:t>
      </w:r>
      <w:r w:rsidR="00C14F81" w:rsidRPr="002B016D">
        <w:rPr>
          <w:b w:val="0"/>
          <w:bCs w:val="0"/>
        </w:rPr>
        <w:t>However</w:t>
      </w:r>
      <w:r w:rsidR="00C3688B" w:rsidRPr="002B016D">
        <w:rPr>
          <w:b w:val="0"/>
          <w:bCs w:val="0"/>
        </w:rPr>
        <w:t>,</w:t>
      </w:r>
      <w:r w:rsidR="00C14F81" w:rsidRPr="002B016D">
        <w:rPr>
          <w:b w:val="0"/>
          <w:bCs w:val="0"/>
        </w:rPr>
        <w:t xml:space="preserve"> it is difficult to reconcile this decision with </w:t>
      </w:r>
      <w:r w:rsidR="00C14F81" w:rsidRPr="002B016D">
        <w:rPr>
          <w:b w:val="0"/>
          <w:bCs w:val="0"/>
          <w:i/>
          <w:iCs/>
        </w:rPr>
        <w:t>Bird</w:t>
      </w:r>
      <w:r w:rsidR="00C3688B" w:rsidRPr="002B016D">
        <w:rPr>
          <w:b w:val="0"/>
          <w:bCs w:val="0"/>
          <w:i/>
          <w:iCs/>
        </w:rPr>
        <w:t xml:space="preserve">, </w:t>
      </w:r>
      <w:r w:rsidR="00C3688B" w:rsidRPr="002B016D">
        <w:rPr>
          <w:b w:val="0"/>
          <w:bCs w:val="0"/>
        </w:rPr>
        <w:t>and</w:t>
      </w:r>
      <w:r w:rsidR="00684B8A" w:rsidRPr="002B016D">
        <w:rPr>
          <w:b w:val="0"/>
          <w:bCs w:val="0"/>
        </w:rPr>
        <w:t xml:space="preserve"> as</w:t>
      </w:r>
      <w:r w:rsidR="00C3688B" w:rsidRPr="002B016D">
        <w:rPr>
          <w:b w:val="0"/>
          <w:bCs w:val="0"/>
        </w:rPr>
        <w:t xml:space="preserve"> with</w:t>
      </w:r>
      <w:r w:rsidR="00684B8A" w:rsidRPr="002B016D">
        <w:rPr>
          <w:b w:val="0"/>
          <w:bCs w:val="0"/>
        </w:rPr>
        <w:t xml:space="preserve"> </w:t>
      </w:r>
      <w:r w:rsidR="00200A5C" w:rsidRPr="00200A5C">
        <w:rPr>
          <w:b w:val="0"/>
          <w:bCs w:val="0"/>
          <w:i/>
          <w:iCs/>
        </w:rPr>
        <w:t xml:space="preserve">R v </w:t>
      </w:r>
      <w:r w:rsidR="00200A5C" w:rsidRPr="0028792D">
        <w:rPr>
          <w:b w:val="0"/>
          <w:bCs w:val="0"/>
          <w:i/>
          <w:iCs/>
        </w:rPr>
        <w:t>Martin</w:t>
      </w:r>
      <w:r w:rsidR="000F1124" w:rsidRPr="002B016D">
        <w:rPr>
          <w:b w:val="0"/>
          <w:bCs w:val="0"/>
          <w:i/>
          <w:iCs/>
        </w:rPr>
        <w:t>,</w:t>
      </w:r>
      <w:r w:rsidR="000F1124" w:rsidRPr="002B016D">
        <w:t xml:space="preserve"> </w:t>
      </w:r>
      <w:r w:rsidR="00A40C33" w:rsidRPr="002B016D">
        <w:rPr>
          <w:b w:val="0"/>
          <w:bCs w:val="0"/>
        </w:rPr>
        <w:t xml:space="preserve">the </w:t>
      </w:r>
      <w:r w:rsidR="00645D2A" w:rsidRPr="002B016D">
        <w:rPr>
          <w:b w:val="0"/>
          <w:bCs w:val="0"/>
        </w:rPr>
        <w:t xml:space="preserve">fact of strangulation </w:t>
      </w:r>
      <w:r w:rsidR="00C14F81" w:rsidRPr="002B016D">
        <w:rPr>
          <w:b w:val="0"/>
          <w:bCs w:val="0"/>
        </w:rPr>
        <w:t>lends itself to the fear</w:t>
      </w:r>
      <w:r w:rsidR="00C3688B" w:rsidRPr="002B016D">
        <w:rPr>
          <w:b w:val="0"/>
          <w:bCs w:val="0"/>
        </w:rPr>
        <w:t xml:space="preserve"> of serious</w:t>
      </w:r>
      <w:r w:rsidR="00C14F81" w:rsidRPr="002B016D">
        <w:rPr>
          <w:b w:val="0"/>
          <w:bCs w:val="0"/>
        </w:rPr>
        <w:t xml:space="preserve"> trigger. </w:t>
      </w:r>
      <w:r w:rsidR="00252C23" w:rsidRPr="002B016D">
        <w:rPr>
          <w:b w:val="0"/>
          <w:bCs w:val="0"/>
        </w:rPr>
        <w:t>Once again, t</w:t>
      </w:r>
      <w:r w:rsidR="00BF63C3" w:rsidRPr="002B016D">
        <w:rPr>
          <w:b w:val="0"/>
          <w:bCs w:val="0"/>
        </w:rPr>
        <w:t>he failure of</w:t>
      </w:r>
      <w:r w:rsidR="002E75FA" w:rsidRPr="002B016D">
        <w:rPr>
          <w:b w:val="0"/>
          <w:bCs w:val="0"/>
        </w:rPr>
        <w:t xml:space="preserve"> the court to recogni</w:t>
      </w:r>
      <w:r w:rsidR="00846D6D" w:rsidRPr="002B016D">
        <w:rPr>
          <w:b w:val="0"/>
          <w:bCs w:val="0"/>
        </w:rPr>
        <w:t>s</w:t>
      </w:r>
      <w:r w:rsidR="002E75FA" w:rsidRPr="002B016D">
        <w:rPr>
          <w:b w:val="0"/>
          <w:bCs w:val="0"/>
        </w:rPr>
        <w:t>e this eschews the lived reality and vulnerability of female victims of male violence.</w:t>
      </w:r>
      <w:r w:rsidR="00DB5DC8">
        <w:rPr>
          <w:rStyle w:val="EndnoteReference"/>
          <w:b w:val="0"/>
          <w:bCs w:val="0"/>
        </w:rPr>
        <w:endnoteReference w:id="6"/>
      </w:r>
      <w:r w:rsidR="002E75FA" w:rsidRPr="002B016D">
        <w:rPr>
          <w:b w:val="0"/>
          <w:bCs w:val="0"/>
        </w:rPr>
        <w:t xml:space="preserve"> </w:t>
      </w:r>
    </w:p>
    <w:p w14:paraId="03F2889E" w14:textId="6D1891C4" w:rsidR="003C2644" w:rsidRPr="002B016D" w:rsidRDefault="00567947" w:rsidP="00D87FC1">
      <w:pPr>
        <w:pStyle w:val="Heading1"/>
        <w:rPr>
          <w:b w:val="0"/>
          <w:bCs w:val="0"/>
        </w:rPr>
      </w:pPr>
      <w:r w:rsidRPr="002B016D">
        <w:t>Conclusion</w:t>
      </w:r>
    </w:p>
    <w:p w14:paraId="742F514F" w14:textId="74269B0E" w:rsidR="008C5133" w:rsidRPr="00D87FC1" w:rsidRDefault="008C5133" w:rsidP="008C5133">
      <w:pPr>
        <w:spacing w:line="360" w:lineRule="auto"/>
        <w:jc w:val="both"/>
        <w:rPr>
          <w:b w:val="0"/>
          <w:bCs w:val="0"/>
        </w:rPr>
      </w:pPr>
      <w:r w:rsidRPr="00D87FC1">
        <w:rPr>
          <w:b w:val="0"/>
          <w:bCs w:val="0"/>
        </w:rPr>
        <w:t>Th</w:t>
      </w:r>
      <w:r w:rsidR="00846D6D" w:rsidRPr="00D87FC1">
        <w:rPr>
          <w:b w:val="0"/>
          <w:bCs w:val="0"/>
        </w:rPr>
        <w:t>is</w:t>
      </w:r>
      <w:r w:rsidRPr="00D87FC1">
        <w:rPr>
          <w:b w:val="0"/>
          <w:bCs w:val="0"/>
        </w:rPr>
        <w:t xml:space="preserve"> </w:t>
      </w:r>
      <w:r w:rsidR="003115D5" w:rsidRPr="00D87FC1">
        <w:rPr>
          <w:b w:val="0"/>
          <w:bCs w:val="0"/>
        </w:rPr>
        <w:t>chapter aimed</w:t>
      </w:r>
      <w:r w:rsidRPr="00D87FC1">
        <w:rPr>
          <w:b w:val="0"/>
          <w:bCs w:val="0"/>
        </w:rPr>
        <w:t xml:space="preserve"> to explore how the loss of control defence, with a particular focus on the subject</w:t>
      </w:r>
      <w:r w:rsidR="00C37792" w:rsidRPr="00D87FC1">
        <w:rPr>
          <w:b w:val="0"/>
          <w:bCs w:val="0"/>
        </w:rPr>
        <w:t>ive</w:t>
      </w:r>
      <w:r w:rsidRPr="00D87FC1">
        <w:rPr>
          <w:b w:val="0"/>
          <w:bCs w:val="0"/>
        </w:rPr>
        <w:t xml:space="preserve"> element, was operating in cases involving women who kill their abusive partners. </w:t>
      </w:r>
      <w:r w:rsidRPr="00D87FC1">
        <w:rPr>
          <w:b w:val="0"/>
          <w:bCs w:val="0"/>
        </w:rPr>
        <w:lastRenderedPageBreak/>
        <w:t xml:space="preserve">However, </w:t>
      </w:r>
      <w:r w:rsidR="007C075C" w:rsidRPr="00D87FC1">
        <w:rPr>
          <w:b w:val="0"/>
          <w:bCs w:val="0"/>
        </w:rPr>
        <w:t>given the nature of the appeal</w:t>
      </w:r>
      <w:r w:rsidR="00F71EB4">
        <w:rPr>
          <w:b w:val="0"/>
          <w:bCs w:val="0"/>
        </w:rPr>
        <w:t>s</w:t>
      </w:r>
      <w:r w:rsidR="007C075C" w:rsidRPr="00D87FC1">
        <w:rPr>
          <w:b w:val="0"/>
          <w:bCs w:val="0"/>
        </w:rPr>
        <w:t xml:space="preserve">, it has </w:t>
      </w:r>
      <w:r w:rsidR="005C1955" w:rsidRPr="00D87FC1">
        <w:rPr>
          <w:b w:val="0"/>
          <w:bCs w:val="0"/>
        </w:rPr>
        <w:t xml:space="preserve">been necessary to engage in </w:t>
      </w:r>
      <w:r w:rsidR="007C075C" w:rsidRPr="00D87FC1">
        <w:rPr>
          <w:b w:val="0"/>
          <w:bCs w:val="0"/>
        </w:rPr>
        <w:t xml:space="preserve">an exploration of </w:t>
      </w:r>
      <w:r w:rsidR="005C1955" w:rsidRPr="00D87FC1">
        <w:rPr>
          <w:b w:val="0"/>
          <w:bCs w:val="0"/>
        </w:rPr>
        <w:t xml:space="preserve">those </w:t>
      </w:r>
      <w:r w:rsidR="007C075C" w:rsidRPr="00D87FC1">
        <w:rPr>
          <w:b w:val="0"/>
          <w:bCs w:val="0"/>
        </w:rPr>
        <w:t xml:space="preserve">cases in which men have killed their partners. </w:t>
      </w:r>
      <w:r w:rsidR="0038209E" w:rsidRPr="00D87FC1">
        <w:rPr>
          <w:b w:val="0"/>
          <w:bCs w:val="0"/>
        </w:rPr>
        <w:t>As the cases have shown, the defence is still being used primarily to mitigate femicide</w:t>
      </w:r>
      <w:r w:rsidR="00F24A34" w:rsidRPr="00D87FC1">
        <w:rPr>
          <w:b w:val="0"/>
          <w:bCs w:val="0"/>
        </w:rPr>
        <w:t xml:space="preserve"> </w:t>
      </w:r>
      <w:r w:rsidR="0038209E" w:rsidRPr="00D87FC1">
        <w:rPr>
          <w:b w:val="0"/>
          <w:bCs w:val="0"/>
        </w:rPr>
        <w:t xml:space="preserve">and </w:t>
      </w:r>
      <w:r w:rsidR="00F24A34" w:rsidRPr="00D87FC1">
        <w:rPr>
          <w:b w:val="0"/>
          <w:bCs w:val="0"/>
        </w:rPr>
        <w:t xml:space="preserve">had done little to avail female defendants. </w:t>
      </w:r>
      <w:r w:rsidR="00F27806" w:rsidRPr="00D87FC1">
        <w:rPr>
          <w:b w:val="0"/>
          <w:bCs w:val="0"/>
        </w:rPr>
        <w:t>T</w:t>
      </w:r>
      <w:r w:rsidR="00007736" w:rsidRPr="00D87FC1">
        <w:rPr>
          <w:b w:val="0"/>
          <w:bCs w:val="0"/>
        </w:rPr>
        <w:t xml:space="preserve">he chapter has contended that the Court of Appeal cases can be seen as part of the institutional machinery which produces and maintains significant </w:t>
      </w:r>
      <w:r w:rsidR="0008091C">
        <w:rPr>
          <w:b w:val="0"/>
          <w:bCs w:val="0"/>
        </w:rPr>
        <w:t>‘</w:t>
      </w:r>
      <w:r w:rsidR="008D54FB" w:rsidRPr="00D87FC1">
        <w:rPr>
          <w:b w:val="0"/>
          <w:bCs w:val="0"/>
        </w:rPr>
        <w:t>ideal scripts</w:t>
      </w:r>
      <w:r w:rsidR="0008091C">
        <w:rPr>
          <w:b w:val="0"/>
          <w:bCs w:val="0"/>
        </w:rPr>
        <w:t>’</w:t>
      </w:r>
      <w:r w:rsidR="008D54FB" w:rsidRPr="00D87FC1">
        <w:rPr>
          <w:b w:val="0"/>
          <w:bCs w:val="0"/>
        </w:rPr>
        <w:t xml:space="preserve"> of gender, which have a real material impact not only on those before the court but </w:t>
      </w:r>
      <w:r w:rsidR="00EC4B85">
        <w:rPr>
          <w:b w:val="0"/>
          <w:bCs w:val="0"/>
        </w:rPr>
        <w:t>on</w:t>
      </w:r>
      <w:r w:rsidR="008D54FB" w:rsidRPr="00D87FC1">
        <w:rPr>
          <w:b w:val="0"/>
          <w:bCs w:val="0"/>
        </w:rPr>
        <w:t xml:space="preserve"> society at large</w:t>
      </w:r>
      <w:r w:rsidR="00835F68" w:rsidRPr="00D87FC1">
        <w:rPr>
          <w:b w:val="0"/>
          <w:bCs w:val="0"/>
        </w:rPr>
        <w:t xml:space="preserve">. </w:t>
      </w:r>
      <w:r w:rsidR="000B16F9" w:rsidRPr="00D87FC1">
        <w:rPr>
          <w:b w:val="0"/>
          <w:bCs w:val="0"/>
        </w:rPr>
        <w:t>We have seen how an angry (male) response to (female) infidelity and relationship disharmony continues to be recogni</w:t>
      </w:r>
      <w:r w:rsidR="00846D6D" w:rsidRPr="00D87FC1">
        <w:rPr>
          <w:b w:val="0"/>
          <w:bCs w:val="0"/>
        </w:rPr>
        <w:t>s</w:t>
      </w:r>
      <w:r w:rsidR="000B16F9" w:rsidRPr="00D87FC1">
        <w:rPr>
          <w:b w:val="0"/>
          <w:bCs w:val="0"/>
        </w:rPr>
        <w:t xml:space="preserve">ed and </w:t>
      </w:r>
      <w:r w:rsidR="004606DB" w:rsidRPr="00D87FC1">
        <w:rPr>
          <w:b w:val="0"/>
          <w:bCs w:val="0"/>
        </w:rPr>
        <w:t xml:space="preserve">mitigated </w:t>
      </w:r>
      <w:r w:rsidR="000B16F9" w:rsidRPr="00D87FC1">
        <w:rPr>
          <w:b w:val="0"/>
          <w:bCs w:val="0"/>
        </w:rPr>
        <w:t xml:space="preserve">by the courts, while women </w:t>
      </w:r>
      <w:r w:rsidR="005769F1" w:rsidRPr="00D87FC1">
        <w:rPr>
          <w:b w:val="0"/>
          <w:bCs w:val="0"/>
        </w:rPr>
        <w:t>struggle to have their experiences acknowledged without the aid of further medical and psychiatric evidence</w:t>
      </w:r>
      <w:r w:rsidR="003C0A0F" w:rsidRPr="00D87FC1">
        <w:rPr>
          <w:b w:val="0"/>
          <w:bCs w:val="0"/>
        </w:rPr>
        <w:t xml:space="preserve">. </w:t>
      </w:r>
      <w:r w:rsidR="00592390" w:rsidRPr="00D87FC1">
        <w:rPr>
          <w:b w:val="0"/>
          <w:bCs w:val="0"/>
        </w:rPr>
        <w:t>While there has been some recognition of coercive control, this has yet to be used successfully in the context of the loss of control defence</w:t>
      </w:r>
      <w:r w:rsidR="006F2337" w:rsidRPr="00D87FC1">
        <w:rPr>
          <w:b w:val="0"/>
          <w:bCs w:val="0"/>
        </w:rPr>
        <w:t>, and it can be queried to what extent it will operate alongside the fear of violence trigger</w:t>
      </w:r>
      <w:r w:rsidR="00592390" w:rsidRPr="00D87FC1">
        <w:rPr>
          <w:b w:val="0"/>
          <w:bCs w:val="0"/>
        </w:rPr>
        <w:t xml:space="preserve">. </w:t>
      </w:r>
      <w:r w:rsidR="001929D4" w:rsidRPr="00D87FC1">
        <w:rPr>
          <w:b w:val="0"/>
          <w:bCs w:val="0"/>
        </w:rPr>
        <w:t>T</w:t>
      </w:r>
      <w:r w:rsidR="00C43749" w:rsidRPr="00D87FC1">
        <w:rPr>
          <w:b w:val="0"/>
          <w:bCs w:val="0"/>
        </w:rPr>
        <w:t xml:space="preserve">hrough this analysis of the cases, it has been argued that the law continues to frame loss of control around the masculine </w:t>
      </w:r>
      <w:r w:rsidR="00FD05C1" w:rsidRPr="00D87FC1">
        <w:rPr>
          <w:b w:val="0"/>
          <w:bCs w:val="0"/>
        </w:rPr>
        <w:t>body</w:t>
      </w:r>
      <w:r w:rsidR="00C43749" w:rsidRPr="00D87FC1">
        <w:rPr>
          <w:b w:val="0"/>
          <w:bCs w:val="0"/>
        </w:rPr>
        <w:t xml:space="preserve"> and effectively eschew the lived reality of female victims of domestic abuse</w:t>
      </w:r>
      <w:r w:rsidR="003C2644" w:rsidRPr="00D87FC1">
        <w:rPr>
          <w:b w:val="0"/>
          <w:bCs w:val="0"/>
        </w:rPr>
        <w:t xml:space="preserve">, </w:t>
      </w:r>
      <w:r w:rsidR="00046DFB" w:rsidRPr="00D87FC1">
        <w:rPr>
          <w:b w:val="0"/>
          <w:bCs w:val="0"/>
        </w:rPr>
        <w:t xml:space="preserve">particularly in the cases involving strangulation, </w:t>
      </w:r>
      <w:r w:rsidR="003C2644" w:rsidRPr="00D87FC1">
        <w:rPr>
          <w:b w:val="0"/>
          <w:bCs w:val="0"/>
        </w:rPr>
        <w:t>which leads to an uneven distribution of precarity,</w:t>
      </w:r>
      <w:r w:rsidR="00C43749" w:rsidRPr="00D87FC1">
        <w:rPr>
          <w:b w:val="0"/>
          <w:bCs w:val="0"/>
        </w:rPr>
        <w:t xml:space="preserve"> and construct</w:t>
      </w:r>
      <w:r w:rsidR="00121E0F" w:rsidRPr="00D87FC1">
        <w:rPr>
          <w:b w:val="0"/>
          <w:bCs w:val="0"/>
        </w:rPr>
        <w:t>s</w:t>
      </w:r>
      <w:r w:rsidR="00C43749" w:rsidRPr="00D87FC1">
        <w:rPr>
          <w:b w:val="0"/>
          <w:bCs w:val="0"/>
        </w:rPr>
        <w:t xml:space="preserve"> the female homicide victim as in some way </w:t>
      </w:r>
      <w:r w:rsidR="00BA4FB4" w:rsidRPr="00D87FC1">
        <w:rPr>
          <w:b w:val="0"/>
          <w:bCs w:val="0"/>
        </w:rPr>
        <w:t xml:space="preserve">as </w:t>
      </w:r>
      <w:r w:rsidR="00C43749" w:rsidRPr="00D87FC1">
        <w:rPr>
          <w:b w:val="0"/>
          <w:bCs w:val="0"/>
        </w:rPr>
        <w:t xml:space="preserve">less </w:t>
      </w:r>
      <w:proofErr w:type="spellStart"/>
      <w:r w:rsidR="00C43749" w:rsidRPr="00D87FC1">
        <w:rPr>
          <w:b w:val="0"/>
          <w:bCs w:val="0"/>
        </w:rPr>
        <w:t>grievabl</w:t>
      </w:r>
      <w:r w:rsidR="006F2337" w:rsidRPr="00D87FC1">
        <w:rPr>
          <w:b w:val="0"/>
          <w:bCs w:val="0"/>
        </w:rPr>
        <w:t>e</w:t>
      </w:r>
      <w:proofErr w:type="spellEnd"/>
      <w:r w:rsidR="006F2337" w:rsidRPr="00D87FC1">
        <w:rPr>
          <w:b w:val="0"/>
          <w:bCs w:val="0"/>
        </w:rPr>
        <w:t xml:space="preserve"> than her male counterpart.</w:t>
      </w:r>
      <w:r w:rsidR="00C43749" w:rsidRPr="00D87FC1">
        <w:rPr>
          <w:b w:val="0"/>
          <w:bCs w:val="0"/>
        </w:rPr>
        <w:t xml:space="preserve"> </w:t>
      </w:r>
    </w:p>
    <w:p w14:paraId="561BD06A" w14:textId="20E28481" w:rsidR="00AF5495" w:rsidRPr="002B016D" w:rsidRDefault="00AF5495">
      <w:pPr>
        <w:rPr>
          <w:b w:val="0"/>
          <w:bCs w:val="0"/>
          <w:color w:val="000000"/>
        </w:rPr>
      </w:pPr>
    </w:p>
    <w:p w14:paraId="5919DA83" w14:textId="77777777" w:rsidR="000A0395" w:rsidRPr="002B016D" w:rsidRDefault="000A0395">
      <w:pPr>
        <w:rPr>
          <w:b w:val="0"/>
          <w:bCs w:val="0"/>
          <w:color w:val="000000"/>
        </w:rPr>
      </w:pPr>
    </w:p>
    <w:p w14:paraId="2668ECA5" w14:textId="03148EA5" w:rsidR="007768CE" w:rsidRPr="00DB5DC8" w:rsidRDefault="00DB5DC8" w:rsidP="007768CE">
      <w:pPr>
        <w:spacing w:line="360" w:lineRule="auto"/>
        <w:rPr>
          <w:color w:val="000000"/>
        </w:rPr>
      </w:pPr>
      <w:r w:rsidRPr="00DB5DC8">
        <w:rPr>
          <w:color w:val="000000"/>
        </w:rPr>
        <w:t>Notes</w:t>
      </w:r>
    </w:p>
    <w:sectPr w:rsidR="007768CE" w:rsidRPr="00DB5DC8" w:rsidSect="00F924C6">
      <w:footerReference w:type="default" r:id="rId8"/>
      <w:endnotePr>
        <w:numFmt w:val="decimal"/>
      </w:endnotePr>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C4709" w14:textId="77777777" w:rsidR="0079177A" w:rsidRDefault="0079177A" w:rsidP="00373452">
      <w:r>
        <w:separator/>
      </w:r>
    </w:p>
  </w:endnote>
  <w:endnote w:type="continuationSeparator" w:id="0">
    <w:p w14:paraId="4CF6BBEF" w14:textId="77777777" w:rsidR="0079177A" w:rsidRDefault="0079177A" w:rsidP="00373452">
      <w:r>
        <w:continuationSeparator/>
      </w:r>
    </w:p>
  </w:endnote>
  <w:endnote w:id="1">
    <w:p w14:paraId="0603509F" w14:textId="4A71237D" w:rsidR="00F924C6" w:rsidRPr="00DB5DC8" w:rsidRDefault="00F924C6">
      <w:pPr>
        <w:pStyle w:val="EndnoteText"/>
        <w:rPr>
          <w:rFonts w:asciiTheme="majorBidi" w:hAnsiTheme="majorBidi" w:cstheme="majorBidi"/>
          <w:b w:val="0"/>
          <w:bCs w:val="0"/>
          <w:sz w:val="24"/>
          <w:szCs w:val="24"/>
        </w:rPr>
      </w:pPr>
      <w:r w:rsidRPr="00DB5DC8">
        <w:rPr>
          <w:rStyle w:val="EndnoteReference"/>
          <w:rFonts w:asciiTheme="majorBidi" w:hAnsiTheme="majorBidi" w:cstheme="majorBidi"/>
          <w:sz w:val="24"/>
          <w:szCs w:val="24"/>
        </w:rPr>
        <w:endnoteRef/>
      </w:r>
      <w:r w:rsidRPr="00DB5DC8">
        <w:rPr>
          <w:rFonts w:asciiTheme="majorBidi" w:hAnsiTheme="majorBidi" w:cstheme="majorBidi"/>
          <w:sz w:val="24"/>
          <w:szCs w:val="24"/>
        </w:rPr>
        <w:t xml:space="preserve"> </w:t>
      </w:r>
      <w:r w:rsidRPr="00DB5DC8">
        <w:rPr>
          <w:rFonts w:asciiTheme="majorBidi" w:hAnsiTheme="majorBidi" w:cstheme="majorBidi"/>
          <w:b w:val="0"/>
          <w:bCs w:val="0"/>
          <w:sz w:val="24"/>
          <w:szCs w:val="24"/>
        </w:rPr>
        <w:t>This chapter draws upon Butler’s concepts of vulnerability, precarity and precariousness. For Butler, bodies are intrinsically vulnerable, a fact which flows from the social reality of existence. Bodies are exposed to others and consequently susceptible to violence and injury (Butler, 2009a: 33-34).</w:t>
      </w:r>
      <w:r w:rsidR="00DF2880" w:rsidRPr="00DB5DC8">
        <w:rPr>
          <w:rFonts w:asciiTheme="majorBidi" w:hAnsiTheme="majorBidi" w:cstheme="majorBidi"/>
          <w:b w:val="0"/>
          <w:bCs w:val="0"/>
          <w:sz w:val="24"/>
          <w:szCs w:val="24"/>
        </w:rPr>
        <w:t xml:space="preserve"> </w:t>
      </w:r>
      <w:r w:rsidRPr="00DB5DC8">
        <w:rPr>
          <w:rFonts w:asciiTheme="majorBidi" w:hAnsiTheme="majorBidi" w:cstheme="majorBidi"/>
          <w:b w:val="0"/>
          <w:bCs w:val="0"/>
          <w:sz w:val="24"/>
          <w:szCs w:val="24"/>
        </w:rPr>
        <w:t>This vulnerability links to the precarious reality of life. Bodies are “physically persistent organisms” which “come into being and cease to be” (Butler 2009a: 30). Life is precarious and finite. However, precarity is not evenly distributed, with some lives being more precarious than others. Certain populations are at increased risk of “disease, poverty, starvation, displacement, and of exposure to violence without protection” (Butler, 2009a: 26).</w:t>
      </w:r>
    </w:p>
  </w:endnote>
  <w:endnote w:id="2">
    <w:p w14:paraId="292C2C00" w14:textId="5FE92DA4" w:rsidR="00F924C6" w:rsidRPr="00DB5DC8" w:rsidRDefault="00F924C6" w:rsidP="00F924C6">
      <w:pPr>
        <w:pStyle w:val="FootnoteText"/>
        <w:rPr>
          <w:rFonts w:asciiTheme="majorBidi" w:hAnsiTheme="majorBidi" w:cstheme="majorBidi"/>
          <w:sz w:val="24"/>
          <w:szCs w:val="24"/>
        </w:rPr>
      </w:pPr>
      <w:r w:rsidRPr="00DB5DC8">
        <w:rPr>
          <w:rStyle w:val="EndnoteReference"/>
          <w:rFonts w:asciiTheme="majorBidi" w:hAnsiTheme="majorBidi" w:cstheme="majorBidi"/>
          <w:sz w:val="24"/>
          <w:szCs w:val="24"/>
        </w:rPr>
        <w:endnoteRef/>
      </w:r>
      <w:r w:rsidRPr="00DB5DC8">
        <w:rPr>
          <w:rFonts w:asciiTheme="majorBidi" w:hAnsiTheme="majorBidi" w:cstheme="majorBidi"/>
          <w:sz w:val="24"/>
          <w:szCs w:val="24"/>
        </w:rPr>
        <w:t xml:space="preserve"> The notion of </w:t>
      </w:r>
      <w:r w:rsidRPr="00DB5DC8">
        <w:rPr>
          <w:rFonts w:asciiTheme="majorBidi" w:hAnsiTheme="majorBidi" w:cstheme="majorBidi"/>
          <w:sz w:val="24"/>
          <w:szCs w:val="24"/>
        </w:rPr>
        <w:t xml:space="preserve">grievability draws upon the work of Butler (2006) who argues that that not all lives </w:t>
      </w:r>
      <w:r w:rsidRPr="00DB5DC8">
        <w:rPr>
          <w:rFonts w:asciiTheme="majorBidi" w:hAnsiTheme="majorBidi" w:cstheme="majorBidi"/>
          <w:sz w:val="24"/>
          <w:szCs w:val="24"/>
        </w:rPr>
        <w:t xml:space="preserve">are considered to be </w:t>
      </w:r>
      <w:r w:rsidR="001E01C9" w:rsidRPr="00DB5DC8">
        <w:rPr>
          <w:rFonts w:asciiTheme="majorBidi" w:hAnsiTheme="majorBidi" w:cstheme="majorBidi"/>
          <w:sz w:val="24"/>
          <w:szCs w:val="24"/>
        </w:rPr>
        <w:t>“</w:t>
      </w:r>
      <w:r w:rsidRPr="00DB5DC8">
        <w:rPr>
          <w:rFonts w:asciiTheme="majorBidi" w:hAnsiTheme="majorBidi" w:cstheme="majorBidi"/>
          <w:sz w:val="24"/>
          <w:szCs w:val="24"/>
        </w:rPr>
        <w:t>livable lives</w:t>
      </w:r>
      <w:r w:rsidR="001E01C9" w:rsidRPr="00DB5DC8">
        <w:rPr>
          <w:rFonts w:asciiTheme="majorBidi" w:hAnsiTheme="majorBidi" w:cstheme="majorBidi"/>
          <w:sz w:val="24"/>
          <w:szCs w:val="24"/>
        </w:rPr>
        <w:t>”</w:t>
      </w:r>
      <w:r w:rsidRPr="00DB5DC8">
        <w:rPr>
          <w:rFonts w:asciiTheme="majorBidi" w:hAnsiTheme="majorBidi" w:cstheme="majorBidi"/>
          <w:sz w:val="24"/>
          <w:szCs w:val="24"/>
        </w:rPr>
        <w:t xml:space="preserve"> or lives worthy of grieving. This she links to her concepts of gender as performativity, whereby some lives and genders are constructed as intelligible and others as unintelligible and precarious:</w:t>
      </w:r>
    </w:p>
    <w:p w14:paraId="25719366" w14:textId="65253A3A" w:rsidR="00F924C6" w:rsidRPr="00DB5DC8" w:rsidRDefault="00F924C6" w:rsidP="00BD211C">
      <w:pPr>
        <w:pStyle w:val="FootnoteText"/>
        <w:ind w:left="720"/>
        <w:rPr>
          <w:rFonts w:asciiTheme="majorBidi" w:hAnsiTheme="majorBidi" w:cstheme="majorBidi"/>
          <w:sz w:val="24"/>
          <w:szCs w:val="24"/>
        </w:rPr>
      </w:pPr>
      <w:r w:rsidRPr="00DB5DC8">
        <w:rPr>
          <w:rFonts w:asciiTheme="majorBidi" w:hAnsiTheme="majorBidi" w:cstheme="majorBidi"/>
          <w:sz w:val="24"/>
          <w:szCs w:val="24"/>
          <w:lang w:val="en-US"/>
        </w:rPr>
        <w:t>Performativity has everything to do with “who” can become produced as a recognizable subject, a subject who is living, whose life is worth sheltering and whose life, when lost, would be worthy of mourning. Precarious life characterizes such lives who do not qualify as recognizable, readable, or grievable. (2009b: xii-xiii).</w:t>
      </w:r>
    </w:p>
  </w:endnote>
  <w:endnote w:id="3">
    <w:p w14:paraId="6FAC4D4A" w14:textId="29F1EFE9" w:rsidR="00F924C6" w:rsidRPr="00DB5DC8" w:rsidRDefault="00F924C6" w:rsidP="00DB5DC8">
      <w:pPr>
        <w:pStyle w:val="FootnoteText"/>
        <w:rPr>
          <w:rFonts w:asciiTheme="majorBidi" w:hAnsiTheme="majorBidi" w:cstheme="majorBidi"/>
          <w:sz w:val="24"/>
          <w:szCs w:val="24"/>
        </w:rPr>
      </w:pPr>
      <w:r w:rsidRPr="00DB5DC8">
        <w:rPr>
          <w:rStyle w:val="EndnoteReference"/>
          <w:rFonts w:asciiTheme="majorBidi" w:hAnsiTheme="majorBidi" w:cstheme="majorBidi"/>
          <w:sz w:val="24"/>
          <w:szCs w:val="24"/>
        </w:rPr>
        <w:endnoteRef/>
      </w:r>
      <w:r w:rsidRPr="00DB5DC8">
        <w:rPr>
          <w:rFonts w:asciiTheme="majorBidi" w:hAnsiTheme="majorBidi" w:cstheme="majorBidi"/>
          <w:sz w:val="24"/>
          <w:szCs w:val="24"/>
        </w:rPr>
        <w:t xml:space="preserve"> </w:t>
      </w:r>
      <w:r w:rsidRPr="00DB5DC8">
        <w:rPr>
          <w:rFonts w:asciiTheme="majorBidi" w:hAnsiTheme="majorBidi" w:cstheme="majorBidi"/>
          <w:sz w:val="24"/>
          <w:szCs w:val="24"/>
          <w:lang w:val="en-US"/>
        </w:rPr>
        <w:t xml:space="preserve">For a detailed analysis of the </w:t>
      </w:r>
      <w:r w:rsidRPr="00DB5DC8">
        <w:rPr>
          <w:rFonts w:asciiTheme="majorBidi" w:hAnsiTheme="majorBidi" w:cstheme="majorBidi"/>
          <w:i/>
          <w:iCs/>
          <w:sz w:val="24"/>
          <w:szCs w:val="24"/>
          <w:lang w:val="en-US"/>
        </w:rPr>
        <w:t>Challen</w:t>
      </w:r>
      <w:r w:rsidRPr="00DB5DC8">
        <w:rPr>
          <w:rFonts w:asciiTheme="majorBidi" w:hAnsiTheme="majorBidi" w:cstheme="majorBidi"/>
          <w:sz w:val="24"/>
          <w:szCs w:val="24"/>
          <w:lang w:val="en-US"/>
        </w:rPr>
        <w:t xml:space="preserve"> case and a discussion of the extent to which coercive control can be captured within the existing offences, see Bettinson (2019).</w:t>
      </w:r>
    </w:p>
  </w:endnote>
  <w:endnote w:id="4">
    <w:p w14:paraId="7C4351F8" w14:textId="21C805F4" w:rsidR="00F924C6" w:rsidRPr="00BD211C" w:rsidRDefault="00F924C6">
      <w:pPr>
        <w:pStyle w:val="EndnoteText"/>
        <w:rPr>
          <w:rFonts w:asciiTheme="majorBidi" w:hAnsiTheme="majorBidi" w:cstheme="majorBidi"/>
          <w:b w:val="0"/>
          <w:bCs w:val="0"/>
          <w:sz w:val="24"/>
          <w:szCs w:val="24"/>
        </w:rPr>
      </w:pPr>
      <w:r w:rsidRPr="00BD211C">
        <w:rPr>
          <w:rStyle w:val="EndnoteReference"/>
          <w:rFonts w:asciiTheme="majorBidi" w:hAnsiTheme="majorBidi" w:cstheme="majorBidi"/>
          <w:b w:val="0"/>
          <w:bCs w:val="0"/>
          <w:sz w:val="24"/>
          <w:szCs w:val="24"/>
        </w:rPr>
        <w:endnoteRef/>
      </w:r>
      <w:r w:rsidRPr="00BD211C">
        <w:rPr>
          <w:rFonts w:asciiTheme="majorBidi" w:hAnsiTheme="majorBidi" w:cstheme="majorBidi"/>
          <w:b w:val="0"/>
          <w:bCs w:val="0"/>
          <w:sz w:val="24"/>
          <w:szCs w:val="24"/>
        </w:rPr>
        <w:t xml:space="preserve"> </w:t>
      </w:r>
      <w:r w:rsidRPr="00BD211C">
        <w:rPr>
          <w:rFonts w:asciiTheme="majorBidi" w:hAnsiTheme="majorBidi" w:cstheme="majorBidi"/>
          <w:b w:val="0"/>
          <w:bCs w:val="0"/>
          <w:sz w:val="24"/>
          <w:szCs w:val="24"/>
          <w:lang w:val="en-US"/>
        </w:rPr>
        <w:t xml:space="preserve">see: </w:t>
      </w:r>
      <w:hyperlink r:id="rId1" w:history="1">
        <w:r w:rsidRPr="00BD211C">
          <w:rPr>
            <w:rStyle w:val="Hyperlink"/>
            <w:rFonts w:asciiTheme="majorBidi" w:hAnsiTheme="majorBidi" w:cstheme="majorBidi"/>
            <w:b w:val="0"/>
            <w:bCs w:val="0"/>
            <w:sz w:val="24"/>
            <w:szCs w:val="24"/>
            <w:lang w:val="en-US"/>
          </w:rPr>
          <w:t>https://www.justiceforwomen.org.uk/farieissia-martin</w:t>
        </w:r>
      </w:hyperlink>
      <w:r w:rsidRPr="00BD211C">
        <w:rPr>
          <w:rFonts w:asciiTheme="majorBidi" w:hAnsiTheme="majorBidi" w:cstheme="majorBidi"/>
          <w:b w:val="0"/>
          <w:bCs w:val="0"/>
          <w:sz w:val="24"/>
          <w:szCs w:val="24"/>
          <w:lang w:val="en-US"/>
        </w:rPr>
        <w:t xml:space="preserve"> and </w:t>
      </w:r>
      <w:hyperlink r:id="rId2" w:history="1">
        <w:r w:rsidRPr="00BD211C">
          <w:rPr>
            <w:rStyle w:val="Hyperlink"/>
            <w:rFonts w:asciiTheme="majorBidi" w:hAnsiTheme="majorBidi" w:cstheme="majorBidi"/>
            <w:b w:val="0"/>
            <w:bCs w:val="0"/>
            <w:sz w:val="24"/>
            <w:szCs w:val="24"/>
            <w:lang w:val="en-US"/>
          </w:rPr>
          <w:t>https://www.justiceforwomen.org.uk/news/2020/12/4/fri-martin-a-paradigm-case-of-coercive-control</w:t>
        </w:r>
      </w:hyperlink>
    </w:p>
  </w:endnote>
  <w:endnote w:id="5">
    <w:p w14:paraId="38CE5F12" w14:textId="418D7863" w:rsidR="00DB5DC8" w:rsidRPr="00BD211C" w:rsidRDefault="00DB5DC8" w:rsidP="00DB5DC8">
      <w:pPr>
        <w:pStyle w:val="FootnoteText"/>
        <w:rPr>
          <w:rFonts w:asciiTheme="majorBidi" w:hAnsiTheme="majorBidi" w:cstheme="majorBidi"/>
          <w:sz w:val="24"/>
          <w:szCs w:val="24"/>
        </w:rPr>
      </w:pPr>
      <w:r w:rsidRPr="00BD211C">
        <w:rPr>
          <w:rStyle w:val="EndnoteReference"/>
          <w:rFonts w:asciiTheme="majorBidi" w:hAnsiTheme="majorBidi" w:cstheme="majorBidi"/>
          <w:sz w:val="24"/>
          <w:szCs w:val="24"/>
        </w:rPr>
        <w:endnoteRef/>
      </w:r>
      <w:r w:rsidRPr="00BD211C">
        <w:rPr>
          <w:rFonts w:asciiTheme="majorBidi" w:hAnsiTheme="majorBidi" w:cstheme="majorBidi"/>
          <w:sz w:val="24"/>
          <w:szCs w:val="24"/>
        </w:rPr>
        <w:t xml:space="preserve"> Available online at </w:t>
      </w:r>
      <w:hyperlink r:id="rId3" w:history="1">
        <w:r w:rsidRPr="00BD211C">
          <w:rPr>
            <w:rStyle w:val="Hyperlink"/>
            <w:rFonts w:asciiTheme="majorBidi" w:hAnsiTheme="majorBidi" w:cstheme="majorBidi"/>
            <w:sz w:val="24"/>
            <w:szCs w:val="24"/>
          </w:rPr>
          <w:t>https://www.judiciary.uk/wp-content/uploads/2021/05/R-v-Farieissia-Martin-sentencing-remarks.pdf</w:t>
        </w:r>
      </w:hyperlink>
      <w:r w:rsidRPr="00BD211C">
        <w:rPr>
          <w:rStyle w:val="Hyperlink"/>
          <w:rFonts w:asciiTheme="majorBidi" w:hAnsiTheme="majorBidi" w:cstheme="majorBidi"/>
          <w:sz w:val="24"/>
          <w:szCs w:val="24"/>
        </w:rPr>
        <w:t>.</w:t>
      </w:r>
    </w:p>
  </w:endnote>
  <w:endnote w:id="6">
    <w:p w14:paraId="223FD1A2" w14:textId="37850324" w:rsidR="00DB5DC8" w:rsidRDefault="00DB5DC8">
      <w:pPr>
        <w:pStyle w:val="EndnoteText"/>
        <w:rPr>
          <w:rFonts w:asciiTheme="majorBidi" w:hAnsiTheme="majorBidi" w:cstheme="majorBidi"/>
          <w:b w:val="0"/>
          <w:bCs w:val="0"/>
          <w:sz w:val="24"/>
          <w:szCs w:val="24"/>
          <w:lang w:val="en-US"/>
        </w:rPr>
      </w:pPr>
      <w:r w:rsidRPr="00BD211C">
        <w:rPr>
          <w:rStyle w:val="EndnoteReference"/>
          <w:rFonts w:asciiTheme="majorBidi" w:hAnsiTheme="majorBidi" w:cstheme="majorBidi"/>
          <w:b w:val="0"/>
          <w:bCs w:val="0"/>
          <w:sz w:val="24"/>
          <w:szCs w:val="24"/>
        </w:rPr>
        <w:endnoteRef/>
      </w:r>
      <w:r w:rsidRPr="00BD211C">
        <w:rPr>
          <w:rFonts w:asciiTheme="majorBidi" w:hAnsiTheme="majorBidi" w:cstheme="majorBidi"/>
          <w:b w:val="0"/>
          <w:bCs w:val="0"/>
          <w:sz w:val="24"/>
          <w:szCs w:val="24"/>
        </w:rPr>
        <w:t xml:space="preserve"> </w:t>
      </w:r>
      <w:r w:rsidRPr="00BD211C">
        <w:rPr>
          <w:rFonts w:asciiTheme="majorBidi" w:hAnsiTheme="majorBidi" w:cstheme="majorBidi"/>
          <w:b w:val="0"/>
          <w:bCs w:val="0"/>
          <w:sz w:val="24"/>
          <w:szCs w:val="24"/>
          <w:lang w:val="en-US"/>
        </w:rPr>
        <w:t xml:space="preserve">See also the case of </w:t>
      </w:r>
      <w:r w:rsidRPr="00BD211C">
        <w:rPr>
          <w:rFonts w:asciiTheme="majorBidi" w:hAnsiTheme="majorBidi" w:cstheme="majorBidi"/>
          <w:b w:val="0"/>
          <w:bCs w:val="0"/>
          <w:i/>
          <w:iCs/>
          <w:sz w:val="24"/>
          <w:szCs w:val="24"/>
          <w:lang w:val="en-US"/>
        </w:rPr>
        <w:t xml:space="preserve">R v </w:t>
      </w:r>
      <w:r w:rsidRPr="00BD211C">
        <w:rPr>
          <w:rFonts w:asciiTheme="majorBidi" w:hAnsiTheme="majorBidi" w:cstheme="majorBidi"/>
          <w:b w:val="0"/>
          <w:bCs w:val="0"/>
          <w:i/>
          <w:iCs/>
          <w:sz w:val="24"/>
          <w:szCs w:val="24"/>
          <w:lang w:val="en-US"/>
        </w:rPr>
        <w:t xml:space="preserve">Labinjo-Halcrow </w:t>
      </w:r>
      <w:r w:rsidRPr="00BD211C">
        <w:rPr>
          <w:rFonts w:asciiTheme="majorBidi" w:hAnsiTheme="majorBidi" w:cstheme="majorBidi"/>
          <w:b w:val="0"/>
          <w:bCs w:val="0"/>
          <w:sz w:val="24"/>
          <w:szCs w:val="24"/>
          <w:lang w:val="en-US"/>
        </w:rPr>
        <w:t xml:space="preserve">[2020] EWCA Crim 951, in which the female defendant was initially convicted for manslaughter </w:t>
      </w:r>
      <w:r w:rsidRPr="00BD211C">
        <w:rPr>
          <w:rFonts w:asciiTheme="majorBidi" w:hAnsiTheme="majorBidi" w:cstheme="majorBidi"/>
          <w:b w:val="0"/>
          <w:bCs w:val="0"/>
          <w:sz w:val="24"/>
          <w:szCs w:val="24"/>
          <w:lang w:val="en-US"/>
        </w:rPr>
        <w:t>on the basis of diminished responsibility after stabbing her partner. Her appeal against conviction was permitted on the basis that the judge’s direction regarding past conduct was wrong in law, and this may have impacted the jury’s decision regarding self-defence. Upon retrial, she was again convicted for manslaughter. Note, however, that loss of control was not a factor considered in the appeal, hence why it is not explored in any detail in this chapter.</w:t>
      </w:r>
    </w:p>
    <w:p w14:paraId="04D63A6C" w14:textId="298BF982" w:rsidR="00BD211C" w:rsidRDefault="00BD211C">
      <w:pPr>
        <w:pStyle w:val="EndnoteText"/>
        <w:rPr>
          <w:rFonts w:asciiTheme="majorBidi" w:hAnsiTheme="majorBidi" w:cstheme="majorBidi"/>
          <w:b w:val="0"/>
          <w:bCs w:val="0"/>
          <w:sz w:val="24"/>
          <w:szCs w:val="24"/>
          <w:lang w:val="en-US"/>
        </w:rPr>
      </w:pPr>
    </w:p>
    <w:p w14:paraId="6563D7C2" w14:textId="77777777" w:rsidR="00BD211C" w:rsidRDefault="00BD211C" w:rsidP="00BD211C">
      <w:pPr>
        <w:spacing w:line="360" w:lineRule="auto"/>
        <w:jc w:val="both"/>
        <w:rPr>
          <w:color w:val="000000"/>
        </w:rPr>
      </w:pPr>
    </w:p>
    <w:p w14:paraId="7BC686C5" w14:textId="530AEE46" w:rsidR="00BD211C" w:rsidRPr="002B016D" w:rsidRDefault="00BD211C" w:rsidP="00BD211C">
      <w:pPr>
        <w:spacing w:line="360" w:lineRule="auto"/>
        <w:jc w:val="both"/>
        <w:rPr>
          <w:color w:val="000000"/>
        </w:rPr>
      </w:pPr>
      <w:r w:rsidRPr="002B016D">
        <w:rPr>
          <w:color w:val="000000"/>
        </w:rPr>
        <w:t>References</w:t>
      </w:r>
    </w:p>
    <w:p w14:paraId="0A2D4036" w14:textId="77777777" w:rsidR="00BD211C" w:rsidRPr="002B016D" w:rsidRDefault="00BD211C" w:rsidP="00BD211C">
      <w:pPr>
        <w:spacing w:line="360" w:lineRule="auto"/>
        <w:jc w:val="both"/>
        <w:rPr>
          <w:b w:val="0"/>
          <w:bCs w:val="0"/>
          <w:color w:val="000000"/>
        </w:rPr>
      </w:pPr>
    </w:p>
    <w:p w14:paraId="050508D9" w14:textId="77777777" w:rsidR="00BD211C" w:rsidRPr="002B016D" w:rsidRDefault="00BD211C" w:rsidP="00BD211C">
      <w:pPr>
        <w:jc w:val="both"/>
        <w:rPr>
          <w:b w:val="0"/>
          <w:bCs w:val="0"/>
          <w:color w:val="000000"/>
        </w:rPr>
      </w:pPr>
      <w:r w:rsidRPr="002B016D">
        <w:rPr>
          <w:b w:val="0"/>
          <w:bCs w:val="0"/>
          <w:color w:val="000000"/>
        </w:rPr>
        <w:t xml:space="preserve">Baker, D.J. and Zhao, L.X. (2012) Contributory Qualifying and Non-Qualifying Triggers in the loss of Control Defence: A Wrong Turn on Sexual Infidelity. </w:t>
      </w:r>
      <w:r w:rsidRPr="002B016D">
        <w:rPr>
          <w:b w:val="0"/>
          <w:bCs w:val="0"/>
          <w:i/>
          <w:iCs/>
          <w:color w:val="000000"/>
        </w:rPr>
        <w:t xml:space="preserve">Journal of Criminal Law, </w:t>
      </w:r>
      <w:r w:rsidRPr="002B016D">
        <w:rPr>
          <w:b w:val="0"/>
          <w:bCs w:val="0"/>
          <w:color w:val="000000"/>
        </w:rPr>
        <w:t>76: 254-275.</w:t>
      </w:r>
    </w:p>
    <w:p w14:paraId="2D312D46" w14:textId="77777777" w:rsidR="00BD211C" w:rsidRPr="002B016D" w:rsidRDefault="00BD211C" w:rsidP="00BD211C">
      <w:pPr>
        <w:jc w:val="both"/>
        <w:rPr>
          <w:b w:val="0"/>
          <w:bCs w:val="0"/>
          <w:color w:val="000000"/>
        </w:rPr>
      </w:pPr>
    </w:p>
    <w:p w14:paraId="52A291FF" w14:textId="77777777" w:rsidR="00BD211C" w:rsidRPr="002B016D" w:rsidRDefault="00BD211C" w:rsidP="00BD211C">
      <w:pPr>
        <w:jc w:val="both"/>
        <w:rPr>
          <w:b w:val="0"/>
          <w:bCs w:val="0"/>
          <w:color w:val="000000"/>
        </w:rPr>
      </w:pPr>
      <w:r w:rsidRPr="002B016D">
        <w:rPr>
          <w:b w:val="0"/>
          <w:bCs w:val="0"/>
          <w:color w:val="000000"/>
        </w:rPr>
        <w:t xml:space="preserve">Bandalli, S. (1995) Provocation - A Cautionary Note. </w:t>
      </w:r>
      <w:r w:rsidRPr="002B016D">
        <w:rPr>
          <w:b w:val="0"/>
          <w:bCs w:val="0"/>
          <w:i/>
          <w:iCs/>
          <w:color w:val="000000"/>
        </w:rPr>
        <w:t>Journal of Law and Society,</w:t>
      </w:r>
      <w:r w:rsidRPr="002B016D">
        <w:rPr>
          <w:b w:val="0"/>
          <w:bCs w:val="0"/>
          <w:color w:val="000000"/>
        </w:rPr>
        <w:t xml:space="preserve"> 22: 398-409.</w:t>
      </w:r>
    </w:p>
    <w:p w14:paraId="41C7CCFC" w14:textId="77777777" w:rsidR="00BD211C" w:rsidRPr="002B016D" w:rsidRDefault="00BD211C" w:rsidP="00BD211C">
      <w:pPr>
        <w:jc w:val="both"/>
        <w:rPr>
          <w:b w:val="0"/>
          <w:bCs w:val="0"/>
          <w:color w:val="000000"/>
        </w:rPr>
      </w:pPr>
    </w:p>
    <w:p w14:paraId="290FC839" w14:textId="77777777" w:rsidR="00BD211C" w:rsidRPr="002B016D" w:rsidRDefault="00BD211C" w:rsidP="00BD211C">
      <w:pPr>
        <w:jc w:val="both"/>
        <w:rPr>
          <w:b w:val="0"/>
          <w:bCs w:val="0"/>
          <w:color w:val="000000"/>
        </w:rPr>
      </w:pPr>
      <w:r w:rsidRPr="002B016D">
        <w:rPr>
          <w:b w:val="0"/>
          <w:bCs w:val="0"/>
          <w:color w:val="000000"/>
        </w:rPr>
        <w:t xml:space="preserve">Bettinson, V. (2019) Aligning Partial Defences to Murder with the Offence of Coercive or Controlling Behaviour. </w:t>
      </w:r>
      <w:r w:rsidRPr="002B016D">
        <w:rPr>
          <w:b w:val="0"/>
          <w:bCs w:val="0"/>
          <w:i/>
          <w:iCs/>
          <w:color w:val="000000"/>
        </w:rPr>
        <w:t xml:space="preserve">Journal of Criminal Law, </w:t>
      </w:r>
      <w:r w:rsidRPr="002B016D">
        <w:rPr>
          <w:b w:val="0"/>
          <w:bCs w:val="0"/>
          <w:color w:val="000000"/>
        </w:rPr>
        <w:t>83(1): 71-86.</w:t>
      </w:r>
    </w:p>
    <w:p w14:paraId="5D810307" w14:textId="77777777" w:rsidR="00BD211C" w:rsidRPr="002B016D" w:rsidRDefault="00BD211C" w:rsidP="00BD211C">
      <w:pPr>
        <w:jc w:val="both"/>
        <w:rPr>
          <w:b w:val="0"/>
          <w:bCs w:val="0"/>
          <w:color w:val="000000"/>
        </w:rPr>
      </w:pPr>
    </w:p>
    <w:p w14:paraId="395E18F5" w14:textId="77777777" w:rsidR="00BD211C" w:rsidRPr="002B016D" w:rsidRDefault="00BD211C" w:rsidP="00BD211C">
      <w:pPr>
        <w:jc w:val="both"/>
        <w:rPr>
          <w:b w:val="0"/>
          <w:bCs w:val="0"/>
          <w:color w:val="000000"/>
        </w:rPr>
      </w:pPr>
      <w:r w:rsidRPr="002B016D">
        <w:rPr>
          <w:b w:val="0"/>
          <w:bCs w:val="0"/>
          <w:color w:val="000000"/>
        </w:rPr>
        <w:t xml:space="preserve">Burton, M. (2003) Sentencing Domestic Homicide Upon Provocation: Still Getting Away with Murder. </w:t>
      </w:r>
      <w:r w:rsidRPr="002B016D">
        <w:rPr>
          <w:b w:val="0"/>
          <w:bCs w:val="0"/>
          <w:i/>
          <w:iCs/>
          <w:color w:val="000000"/>
        </w:rPr>
        <w:t>Feminist Legal Studies,</w:t>
      </w:r>
      <w:r w:rsidRPr="002B016D">
        <w:rPr>
          <w:b w:val="0"/>
          <w:bCs w:val="0"/>
          <w:color w:val="000000"/>
        </w:rPr>
        <w:t xml:space="preserve"> 11(3): 279-289.</w:t>
      </w:r>
    </w:p>
    <w:p w14:paraId="69F03AAE" w14:textId="77777777" w:rsidR="00BD211C" w:rsidRPr="002B016D" w:rsidRDefault="00BD211C" w:rsidP="00BD211C">
      <w:pPr>
        <w:jc w:val="both"/>
        <w:rPr>
          <w:b w:val="0"/>
          <w:bCs w:val="0"/>
          <w:color w:val="000000"/>
        </w:rPr>
      </w:pPr>
    </w:p>
    <w:p w14:paraId="40081095" w14:textId="77777777" w:rsidR="00BD211C" w:rsidRPr="002B016D" w:rsidRDefault="00BD211C" w:rsidP="00BD211C">
      <w:pPr>
        <w:jc w:val="both"/>
        <w:rPr>
          <w:b w:val="0"/>
          <w:bCs w:val="0"/>
          <w:color w:val="000000"/>
        </w:rPr>
      </w:pPr>
      <w:r w:rsidRPr="002B016D">
        <w:rPr>
          <w:b w:val="0"/>
          <w:bCs w:val="0"/>
          <w:color w:val="000000"/>
        </w:rPr>
        <w:t xml:space="preserve">Butler, J. (1999) </w:t>
      </w:r>
      <w:r w:rsidRPr="002B016D">
        <w:rPr>
          <w:b w:val="0"/>
          <w:bCs w:val="0"/>
          <w:i/>
          <w:iCs/>
          <w:color w:val="000000"/>
        </w:rPr>
        <w:t>Gender Trouble: Feminism and the Subversion of Identity</w:t>
      </w:r>
      <w:r w:rsidRPr="002B016D">
        <w:rPr>
          <w:b w:val="0"/>
          <w:bCs w:val="0"/>
          <w:color w:val="000000"/>
        </w:rPr>
        <w:t>. New York and London: Routledge.</w:t>
      </w:r>
    </w:p>
    <w:p w14:paraId="10710923" w14:textId="77777777" w:rsidR="00BD211C" w:rsidRPr="002B016D" w:rsidRDefault="00BD211C" w:rsidP="00BD211C">
      <w:pPr>
        <w:jc w:val="both"/>
        <w:rPr>
          <w:b w:val="0"/>
          <w:bCs w:val="0"/>
          <w:color w:val="000000"/>
        </w:rPr>
      </w:pPr>
    </w:p>
    <w:p w14:paraId="5B78317F" w14:textId="77777777" w:rsidR="00BD211C" w:rsidRPr="002B016D" w:rsidRDefault="00BD211C" w:rsidP="00BD211C">
      <w:pPr>
        <w:jc w:val="both"/>
        <w:rPr>
          <w:b w:val="0"/>
          <w:bCs w:val="0"/>
          <w:color w:val="000000"/>
        </w:rPr>
      </w:pPr>
      <w:r w:rsidRPr="002B016D">
        <w:rPr>
          <w:b w:val="0"/>
          <w:bCs w:val="0"/>
          <w:color w:val="000000"/>
        </w:rPr>
        <w:t xml:space="preserve">Butler, J. (2006) </w:t>
      </w:r>
      <w:r w:rsidRPr="002B016D">
        <w:rPr>
          <w:b w:val="0"/>
          <w:bCs w:val="0"/>
          <w:i/>
          <w:iCs/>
          <w:color w:val="000000"/>
        </w:rPr>
        <w:t xml:space="preserve">Precarious Life: The Powers of Mourning and Violence. </w:t>
      </w:r>
      <w:r w:rsidRPr="002B016D">
        <w:rPr>
          <w:b w:val="0"/>
          <w:bCs w:val="0"/>
          <w:color w:val="000000"/>
        </w:rPr>
        <w:t>Verso.</w:t>
      </w:r>
    </w:p>
    <w:p w14:paraId="2D0FAE4E" w14:textId="77777777" w:rsidR="00BD211C" w:rsidRPr="002B016D" w:rsidRDefault="00BD211C" w:rsidP="00BD211C">
      <w:pPr>
        <w:jc w:val="both"/>
        <w:rPr>
          <w:b w:val="0"/>
          <w:bCs w:val="0"/>
          <w:color w:val="000000"/>
        </w:rPr>
      </w:pPr>
    </w:p>
    <w:p w14:paraId="4D9E9FA8" w14:textId="77777777" w:rsidR="00BD211C" w:rsidRPr="002B016D" w:rsidRDefault="00BD211C" w:rsidP="00BD211C">
      <w:pPr>
        <w:jc w:val="both"/>
        <w:rPr>
          <w:b w:val="0"/>
          <w:bCs w:val="0"/>
          <w:color w:val="000000"/>
        </w:rPr>
      </w:pPr>
      <w:r w:rsidRPr="002B016D">
        <w:rPr>
          <w:b w:val="0"/>
          <w:bCs w:val="0"/>
          <w:color w:val="000000"/>
        </w:rPr>
        <w:t xml:space="preserve">Butler, J. (2009a) </w:t>
      </w:r>
      <w:r w:rsidRPr="002B016D">
        <w:rPr>
          <w:b w:val="0"/>
          <w:bCs w:val="0"/>
          <w:i/>
          <w:iCs/>
          <w:color w:val="000000"/>
        </w:rPr>
        <w:t>Frames of War: When is Life Grievable?</w:t>
      </w:r>
      <w:r w:rsidRPr="002B016D">
        <w:rPr>
          <w:b w:val="0"/>
          <w:bCs w:val="0"/>
          <w:color w:val="000000"/>
        </w:rPr>
        <w:t xml:space="preserve"> Verso.</w:t>
      </w:r>
    </w:p>
    <w:p w14:paraId="595FC825" w14:textId="77777777" w:rsidR="00BD211C" w:rsidRPr="002B016D" w:rsidRDefault="00BD211C" w:rsidP="00BD211C">
      <w:pPr>
        <w:jc w:val="both"/>
        <w:rPr>
          <w:b w:val="0"/>
          <w:bCs w:val="0"/>
          <w:color w:val="000000"/>
        </w:rPr>
      </w:pPr>
    </w:p>
    <w:p w14:paraId="4A8E24A8" w14:textId="77777777" w:rsidR="00BD211C" w:rsidRPr="002B016D" w:rsidRDefault="00BD211C" w:rsidP="00BD211C">
      <w:pPr>
        <w:jc w:val="both"/>
        <w:rPr>
          <w:b w:val="0"/>
          <w:bCs w:val="0"/>
          <w:color w:val="000000"/>
        </w:rPr>
      </w:pPr>
      <w:r w:rsidRPr="002B016D">
        <w:rPr>
          <w:b w:val="0"/>
          <w:bCs w:val="0"/>
          <w:color w:val="000000"/>
        </w:rPr>
        <w:t xml:space="preserve">Butler, J. (2009b) Performativity, Precarity and Sexual Politics. </w:t>
      </w:r>
      <w:r w:rsidRPr="002B016D">
        <w:rPr>
          <w:b w:val="0"/>
          <w:bCs w:val="0"/>
          <w:i/>
          <w:iCs/>
          <w:color w:val="000000"/>
        </w:rPr>
        <w:t>Revista de Antropología Iberoamericana</w:t>
      </w:r>
      <w:r w:rsidRPr="002B016D">
        <w:rPr>
          <w:b w:val="0"/>
          <w:bCs w:val="0"/>
          <w:color w:val="000000"/>
        </w:rPr>
        <w:t xml:space="preserve"> (AIBR), 4(3): i–xiii.</w:t>
      </w:r>
    </w:p>
    <w:p w14:paraId="4A212C7A" w14:textId="77777777" w:rsidR="00BD211C" w:rsidRPr="002B016D" w:rsidRDefault="00BD211C" w:rsidP="00BD211C">
      <w:pPr>
        <w:jc w:val="both"/>
        <w:rPr>
          <w:b w:val="0"/>
          <w:bCs w:val="0"/>
          <w:color w:val="000000"/>
        </w:rPr>
      </w:pPr>
    </w:p>
    <w:p w14:paraId="75B4304A" w14:textId="77777777" w:rsidR="00BD211C" w:rsidRPr="002B016D" w:rsidRDefault="00BD211C" w:rsidP="00BD211C">
      <w:pPr>
        <w:jc w:val="both"/>
        <w:rPr>
          <w:b w:val="0"/>
          <w:bCs w:val="0"/>
          <w:color w:val="000000"/>
        </w:rPr>
      </w:pPr>
      <w:r w:rsidRPr="002B016D">
        <w:rPr>
          <w:b w:val="0"/>
          <w:bCs w:val="0"/>
          <w:color w:val="000000"/>
        </w:rPr>
        <w:t xml:space="preserve">Butler, J. (2016) Rethinking Vulnerability and Resistance. In Butler, J. and Gambetti, Z. and Sabsay, L. (eds.) </w:t>
      </w:r>
      <w:r w:rsidRPr="002B016D">
        <w:rPr>
          <w:b w:val="0"/>
          <w:bCs w:val="0"/>
          <w:i/>
          <w:iCs/>
          <w:color w:val="000000"/>
        </w:rPr>
        <w:t xml:space="preserve">Vulnerability in Resistance. </w:t>
      </w:r>
      <w:r w:rsidRPr="002B016D">
        <w:rPr>
          <w:b w:val="0"/>
          <w:bCs w:val="0"/>
          <w:color w:val="000000"/>
        </w:rPr>
        <w:t>Duke University Press.</w:t>
      </w:r>
    </w:p>
    <w:p w14:paraId="1CAD7D46" w14:textId="77777777" w:rsidR="00BD211C" w:rsidRPr="002B016D" w:rsidRDefault="00BD211C" w:rsidP="00BD211C">
      <w:pPr>
        <w:jc w:val="both"/>
        <w:rPr>
          <w:b w:val="0"/>
          <w:bCs w:val="0"/>
          <w:color w:val="000000"/>
        </w:rPr>
      </w:pPr>
    </w:p>
    <w:p w14:paraId="46AB999B" w14:textId="77777777" w:rsidR="00BD211C" w:rsidRPr="002B016D" w:rsidRDefault="00BD211C" w:rsidP="00BD211C">
      <w:pPr>
        <w:jc w:val="both"/>
        <w:rPr>
          <w:b w:val="0"/>
          <w:bCs w:val="0"/>
        </w:rPr>
      </w:pPr>
      <w:r w:rsidRPr="002B016D">
        <w:rPr>
          <w:b w:val="0"/>
          <w:bCs w:val="0"/>
        </w:rPr>
        <w:t xml:space="preserve">Carline, A. (2011) Constructing the Subject of Prostitution: A Butlerian Reading of the Regulation of Sex Work. </w:t>
      </w:r>
      <w:r w:rsidRPr="002B016D">
        <w:rPr>
          <w:b w:val="0"/>
          <w:bCs w:val="0"/>
          <w:i/>
        </w:rPr>
        <w:t>International Journal for the Semiotics of Law,</w:t>
      </w:r>
      <w:r w:rsidRPr="002B016D">
        <w:rPr>
          <w:b w:val="0"/>
          <w:bCs w:val="0"/>
        </w:rPr>
        <w:t xml:space="preserve"> 24(1): 61-78.</w:t>
      </w:r>
    </w:p>
    <w:p w14:paraId="4030AB79" w14:textId="77777777" w:rsidR="00BD211C" w:rsidRPr="002B016D" w:rsidRDefault="00BD211C" w:rsidP="00BD211C">
      <w:pPr>
        <w:jc w:val="both"/>
        <w:rPr>
          <w:b w:val="0"/>
          <w:bCs w:val="0"/>
        </w:rPr>
      </w:pPr>
    </w:p>
    <w:p w14:paraId="262F0478" w14:textId="77777777" w:rsidR="00BD211C" w:rsidRPr="002B016D" w:rsidRDefault="00BD211C" w:rsidP="00BD211C">
      <w:pPr>
        <w:jc w:val="both"/>
        <w:rPr>
          <w:b w:val="0"/>
          <w:bCs w:val="0"/>
        </w:rPr>
      </w:pPr>
      <w:r w:rsidRPr="002B016D">
        <w:rPr>
          <w:b w:val="0"/>
          <w:bCs w:val="0"/>
        </w:rPr>
        <w:t xml:space="preserve">Carline, A. (2009) Reforming Provocation: Perspectives from the Law Commission and the Government. </w:t>
      </w:r>
      <w:r w:rsidRPr="002B016D">
        <w:rPr>
          <w:b w:val="0"/>
          <w:bCs w:val="0"/>
          <w:i/>
          <w:iCs/>
        </w:rPr>
        <w:t>Web Journal of Current Legal Issues,</w:t>
      </w:r>
      <w:r w:rsidRPr="002B016D">
        <w:rPr>
          <w:b w:val="0"/>
          <w:bCs w:val="0"/>
        </w:rPr>
        <w:t xml:space="preserve"> 2:1-9.</w:t>
      </w:r>
    </w:p>
    <w:p w14:paraId="74CB3C51" w14:textId="77777777" w:rsidR="00BD211C" w:rsidRPr="002B016D" w:rsidRDefault="00BD211C" w:rsidP="00BD211C">
      <w:pPr>
        <w:jc w:val="both"/>
        <w:rPr>
          <w:b w:val="0"/>
          <w:bCs w:val="0"/>
        </w:rPr>
      </w:pPr>
    </w:p>
    <w:p w14:paraId="33D5EFA1" w14:textId="77777777" w:rsidR="00BD211C" w:rsidRPr="002B016D" w:rsidRDefault="00BD211C" w:rsidP="00BD211C">
      <w:pPr>
        <w:jc w:val="both"/>
        <w:rPr>
          <w:b w:val="0"/>
          <w:bCs w:val="0"/>
        </w:rPr>
      </w:pPr>
      <w:r w:rsidRPr="002B016D">
        <w:rPr>
          <w:b w:val="0"/>
          <w:bCs w:val="0"/>
        </w:rPr>
        <w:t xml:space="preserve">Carline, A. (2006) Resignifications and Subversive Transformations: Judith Butler's Queer Theory and Women who Kill. </w:t>
      </w:r>
      <w:r w:rsidRPr="002B016D">
        <w:rPr>
          <w:b w:val="0"/>
          <w:bCs w:val="0"/>
          <w:i/>
        </w:rPr>
        <w:t>Liverpool Law Review,</w:t>
      </w:r>
      <w:r w:rsidRPr="002B016D">
        <w:rPr>
          <w:b w:val="0"/>
          <w:bCs w:val="0"/>
        </w:rPr>
        <w:t xml:space="preserve"> 27(3): 303-335.</w:t>
      </w:r>
    </w:p>
    <w:p w14:paraId="3156C53C" w14:textId="77777777" w:rsidR="00BD211C" w:rsidRPr="002B016D" w:rsidRDefault="00BD211C" w:rsidP="00BD211C">
      <w:pPr>
        <w:jc w:val="both"/>
        <w:rPr>
          <w:b w:val="0"/>
          <w:bCs w:val="0"/>
        </w:rPr>
      </w:pPr>
    </w:p>
    <w:p w14:paraId="68D96F27" w14:textId="77777777" w:rsidR="00BD211C" w:rsidRPr="002B016D" w:rsidRDefault="00BD211C" w:rsidP="00BD211C">
      <w:pPr>
        <w:jc w:val="both"/>
        <w:rPr>
          <w:b w:val="0"/>
          <w:bCs w:val="0"/>
        </w:rPr>
      </w:pPr>
      <w:r w:rsidRPr="002B016D">
        <w:rPr>
          <w:b w:val="0"/>
          <w:bCs w:val="0"/>
        </w:rPr>
        <w:t xml:space="preserve">Carline, A. (2005a) Zoora Shah: ‘An Unusual Woman’. </w:t>
      </w:r>
      <w:r w:rsidRPr="002B016D">
        <w:rPr>
          <w:b w:val="0"/>
          <w:bCs w:val="0"/>
          <w:i/>
        </w:rPr>
        <w:t>Social &amp; Legal Studies,</w:t>
      </w:r>
      <w:r w:rsidRPr="002B016D">
        <w:rPr>
          <w:b w:val="0"/>
          <w:bCs w:val="0"/>
        </w:rPr>
        <w:t xml:space="preserve"> 14(2): 215-238. </w:t>
      </w:r>
    </w:p>
    <w:p w14:paraId="788A1BA2" w14:textId="77777777" w:rsidR="00BD211C" w:rsidRPr="002B016D" w:rsidRDefault="00BD211C" w:rsidP="00BD211C">
      <w:pPr>
        <w:jc w:val="both"/>
        <w:rPr>
          <w:b w:val="0"/>
          <w:bCs w:val="0"/>
        </w:rPr>
      </w:pPr>
    </w:p>
    <w:p w14:paraId="65530857" w14:textId="77777777" w:rsidR="00BD211C" w:rsidRPr="002B016D" w:rsidRDefault="00BD211C" w:rsidP="00BD211C">
      <w:pPr>
        <w:jc w:val="both"/>
        <w:rPr>
          <w:b w:val="0"/>
          <w:bCs w:val="0"/>
        </w:rPr>
      </w:pPr>
      <w:r w:rsidRPr="002B016D">
        <w:rPr>
          <w:b w:val="0"/>
          <w:bCs w:val="0"/>
        </w:rPr>
        <w:t xml:space="preserve">Carline, A. (2005b) Women who Kill Their Abusive Partners: From Sameness to Gender Construction. </w:t>
      </w:r>
      <w:r w:rsidRPr="002B016D">
        <w:rPr>
          <w:b w:val="0"/>
          <w:bCs w:val="0"/>
          <w:i/>
        </w:rPr>
        <w:t>Liverpool Law Review,</w:t>
      </w:r>
      <w:r w:rsidRPr="002B016D">
        <w:rPr>
          <w:b w:val="0"/>
          <w:bCs w:val="0"/>
        </w:rPr>
        <w:t xml:space="preserve"> 26(1): 13-44.</w:t>
      </w:r>
    </w:p>
    <w:p w14:paraId="3D73E06D" w14:textId="77777777" w:rsidR="00BD211C" w:rsidRPr="002B016D" w:rsidRDefault="00BD211C" w:rsidP="00BD211C">
      <w:pPr>
        <w:jc w:val="both"/>
        <w:rPr>
          <w:b w:val="0"/>
          <w:bCs w:val="0"/>
        </w:rPr>
      </w:pPr>
    </w:p>
    <w:p w14:paraId="217581E0" w14:textId="77777777" w:rsidR="00BD211C" w:rsidRPr="002B016D" w:rsidRDefault="00BD211C" w:rsidP="00BD211C">
      <w:pPr>
        <w:jc w:val="both"/>
        <w:rPr>
          <w:b w:val="0"/>
          <w:bCs w:val="0"/>
          <w:i/>
          <w:iCs/>
        </w:rPr>
      </w:pPr>
      <w:r w:rsidRPr="002B016D">
        <w:rPr>
          <w:b w:val="0"/>
          <w:bCs w:val="0"/>
        </w:rPr>
        <w:t xml:space="preserve">Carline, A. and Easteal, P. (2014) </w:t>
      </w:r>
      <w:r w:rsidRPr="002B016D">
        <w:rPr>
          <w:b w:val="0"/>
          <w:bCs w:val="0"/>
          <w:i/>
          <w:iCs/>
        </w:rPr>
        <w:t xml:space="preserve">Shades of Grey - Domestic and Sexual Violence Against Women: Law Reform and Society. </w:t>
      </w:r>
      <w:r w:rsidRPr="002B016D">
        <w:rPr>
          <w:b w:val="0"/>
          <w:bCs w:val="0"/>
        </w:rPr>
        <w:t>Routledge: London</w:t>
      </w:r>
    </w:p>
    <w:p w14:paraId="340444C5" w14:textId="77777777" w:rsidR="00BD211C" w:rsidRPr="002B016D" w:rsidRDefault="00BD211C" w:rsidP="00BD211C">
      <w:pPr>
        <w:jc w:val="both"/>
        <w:rPr>
          <w:b w:val="0"/>
          <w:bCs w:val="0"/>
        </w:rPr>
      </w:pPr>
    </w:p>
    <w:p w14:paraId="22CEFD9A" w14:textId="77777777" w:rsidR="00BD211C" w:rsidRPr="002B016D" w:rsidRDefault="00BD211C" w:rsidP="00BD211C">
      <w:pPr>
        <w:pStyle w:val="NoSpacing"/>
        <w:rPr>
          <w:rFonts w:asciiTheme="majorBidi" w:hAnsiTheme="majorBidi" w:cstheme="majorBidi"/>
          <w:sz w:val="24"/>
          <w:szCs w:val="24"/>
        </w:rPr>
      </w:pPr>
      <w:r w:rsidRPr="002B016D">
        <w:rPr>
          <w:rFonts w:asciiTheme="majorBidi" w:hAnsiTheme="majorBidi" w:cstheme="majorBidi"/>
          <w:sz w:val="24"/>
          <w:szCs w:val="24"/>
        </w:rPr>
        <w:t xml:space="preserve">Centre for Women’s Justice. (2021) </w:t>
      </w:r>
      <w:r w:rsidRPr="002B016D">
        <w:rPr>
          <w:rFonts w:asciiTheme="majorBidi" w:hAnsiTheme="majorBidi" w:cstheme="majorBidi"/>
          <w:i/>
          <w:iCs/>
          <w:sz w:val="24"/>
          <w:szCs w:val="24"/>
        </w:rPr>
        <w:t>Women Who Kill: How the state criminalises women we might otherwise be burying</w:t>
      </w:r>
      <w:r w:rsidRPr="002B016D">
        <w:rPr>
          <w:rFonts w:asciiTheme="majorBidi" w:hAnsiTheme="majorBidi" w:cstheme="majorBidi"/>
          <w:sz w:val="24"/>
          <w:szCs w:val="24"/>
        </w:rPr>
        <w:t xml:space="preserve">. Available from: </w:t>
      </w:r>
      <w:r w:rsidRPr="002B016D">
        <w:rPr>
          <w:rFonts w:asciiTheme="majorBidi" w:hAnsiTheme="majorBidi" w:cstheme="majorBidi"/>
          <w:sz w:val="24"/>
          <w:szCs w:val="24"/>
        </w:rPr>
        <w:tab/>
      </w:r>
      <w:hyperlink r:id="rId4" w:history="1">
        <w:r w:rsidRPr="002B016D">
          <w:rPr>
            <w:rStyle w:val="Hyperlink"/>
            <w:rFonts w:asciiTheme="majorBidi" w:hAnsiTheme="majorBidi" w:cstheme="majorBidi"/>
            <w:sz w:val="24"/>
            <w:szCs w:val="24"/>
          </w:rPr>
          <w:t>https://static1.squarespace.com/static/5aa98420f2e6b1ba0c874e42/t/602a9a87e96acc025de5de67/1613404821139/CWJ_WomenWhoKill_Rpt_WEB-3+small.pdf</w:t>
        </w:r>
      </w:hyperlink>
      <w:r w:rsidRPr="002B016D">
        <w:rPr>
          <w:rFonts w:asciiTheme="majorBidi" w:hAnsiTheme="majorBidi" w:cstheme="majorBidi"/>
          <w:sz w:val="24"/>
          <w:szCs w:val="24"/>
        </w:rPr>
        <w:t xml:space="preserve"> </w:t>
      </w:r>
    </w:p>
    <w:p w14:paraId="79E3D415" w14:textId="77777777" w:rsidR="00BD211C" w:rsidRPr="002B016D" w:rsidRDefault="00BD211C" w:rsidP="00BD211C">
      <w:pPr>
        <w:jc w:val="both"/>
        <w:rPr>
          <w:b w:val="0"/>
          <w:bCs w:val="0"/>
        </w:rPr>
      </w:pPr>
    </w:p>
    <w:p w14:paraId="344C3359" w14:textId="77777777" w:rsidR="00BD211C" w:rsidRPr="002B016D" w:rsidRDefault="00BD211C" w:rsidP="00BD211C">
      <w:pPr>
        <w:jc w:val="both"/>
        <w:rPr>
          <w:b w:val="0"/>
          <w:bCs w:val="0"/>
        </w:rPr>
      </w:pPr>
    </w:p>
    <w:p w14:paraId="6A5AB1C6" w14:textId="77777777" w:rsidR="00BD211C" w:rsidRPr="002B016D" w:rsidRDefault="00BD211C" w:rsidP="00BD211C">
      <w:pPr>
        <w:jc w:val="both"/>
        <w:rPr>
          <w:b w:val="0"/>
          <w:bCs w:val="0"/>
        </w:rPr>
      </w:pPr>
      <w:r w:rsidRPr="002B016D">
        <w:rPr>
          <w:b w:val="0"/>
          <w:bCs w:val="0"/>
        </w:rPr>
        <w:t xml:space="preserve">Chantler, K., Robbins, R., Baker, V. and Stanley, N. (2020) Learning from Domestic Homicide Reviews in England and Wales. </w:t>
      </w:r>
      <w:r w:rsidRPr="002B016D">
        <w:rPr>
          <w:b w:val="0"/>
          <w:bCs w:val="0"/>
          <w:i/>
          <w:iCs/>
        </w:rPr>
        <w:t xml:space="preserve">Health and Social Care, </w:t>
      </w:r>
      <w:r w:rsidRPr="002B016D">
        <w:rPr>
          <w:b w:val="0"/>
          <w:bCs w:val="0"/>
        </w:rPr>
        <w:t>28: 485-493.</w:t>
      </w:r>
    </w:p>
    <w:p w14:paraId="3462EDF8" w14:textId="77777777" w:rsidR="00BD211C" w:rsidRPr="002B016D" w:rsidRDefault="00BD211C" w:rsidP="00BD211C">
      <w:pPr>
        <w:jc w:val="both"/>
        <w:rPr>
          <w:b w:val="0"/>
          <w:bCs w:val="0"/>
        </w:rPr>
      </w:pPr>
    </w:p>
    <w:p w14:paraId="5250124B" w14:textId="77777777" w:rsidR="00BD211C" w:rsidRPr="002B016D" w:rsidRDefault="00BD211C" w:rsidP="00BD211C">
      <w:pPr>
        <w:jc w:val="both"/>
        <w:rPr>
          <w:b w:val="0"/>
          <w:bCs w:val="0"/>
        </w:rPr>
      </w:pPr>
      <w:r w:rsidRPr="00D87FC1">
        <w:rPr>
          <w:b w:val="0"/>
          <w:bCs w:val="0"/>
        </w:rPr>
        <w:t xml:space="preserve">Claydon, L. and Rödiger, C. (2016) Fear, Loss of Control and Cognitive Neuroscience. </w:t>
      </w:r>
      <w:r w:rsidRPr="00D87FC1">
        <w:rPr>
          <w:b w:val="0"/>
          <w:bCs w:val="0"/>
          <w:i/>
          <w:iCs/>
        </w:rPr>
        <w:t xml:space="preserve">European Journal of Current Legal Issues, </w:t>
      </w:r>
      <w:r w:rsidRPr="00D87FC1">
        <w:rPr>
          <w:b w:val="0"/>
          <w:bCs w:val="0"/>
        </w:rPr>
        <w:t>22(2): 1-17</w:t>
      </w:r>
    </w:p>
    <w:p w14:paraId="64DAA0DC" w14:textId="77777777" w:rsidR="00BD211C" w:rsidRPr="002B016D" w:rsidRDefault="00BD211C" w:rsidP="00BD211C">
      <w:pPr>
        <w:jc w:val="both"/>
        <w:rPr>
          <w:b w:val="0"/>
          <w:bCs w:val="0"/>
        </w:rPr>
      </w:pPr>
    </w:p>
    <w:p w14:paraId="3259FB0E" w14:textId="77777777" w:rsidR="00BD211C" w:rsidRPr="002B016D" w:rsidRDefault="00BD211C" w:rsidP="00BD211C">
      <w:pPr>
        <w:jc w:val="both"/>
        <w:rPr>
          <w:b w:val="0"/>
          <w:bCs w:val="0"/>
        </w:rPr>
      </w:pPr>
      <w:r w:rsidRPr="002B016D">
        <w:rPr>
          <w:b w:val="0"/>
          <w:bCs w:val="0"/>
        </w:rPr>
        <w:t xml:space="preserve">Clough, A. (2012) Sexual Infidelity: The Exclusion that Never Was? </w:t>
      </w:r>
      <w:r w:rsidRPr="002B016D">
        <w:rPr>
          <w:b w:val="0"/>
          <w:bCs w:val="0"/>
          <w:i/>
          <w:iCs/>
        </w:rPr>
        <w:t>Journal of Criminal Law,</w:t>
      </w:r>
      <w:r w:rsidRPr="002B016D">
        <w:rPr>
          <w:b w:val="0"/>
          <w:bCs w:val="0"/>
        </w:rPr>
        <w:t xml:space="preserve"> 75(5): 382-388.</w:t>
      </w:r>
    </w:p>
    <w:p w14:paraId="4101077A" w14:textId="77777777" w:rsidR="00BD211C" w:rsidRPr="002B016D" w:rsidRDefault="00BD211C" w:rsidP="00BD211C">
      <w:pPr>
        <w:jc w:val="both"/>
        <w:rPr>
          <w:b w:val="0"/>
          <w:bCs w:val="0"/>
        </w:rPr>
      </w:pPr>
    </w:p>
    <w:p w14:paraId="5F88A06C" w14:textId="77777777" w:rsidR="00BD211C" w:rsidRPr="002B016D" w:rsidRDefault="00BD211C" w:rsidP="00BD211C">
      <w:pPr>
        <w:jc w:val="both"/>
        <w:rPr>
          <w:b w:val="0"/>
          <w:bCs w:val="0"/>
        </w:rPr>
      </w:pPr>
      <w:r w:rsidRPr="002B016D">
        <w:rPr>
          <w:b w:val="0"/>
          <w:bCs w:val="0"/>
        </w:rPr>
        <w:t xml:space="preserve">Clough, A. (2016) Battered Women: Loss of Control and Lost Opportunities. </w:t>
      </w:r>
      <w:r w:rsidRPr="002B016D">
        <w:rPr>
          <w:b w:val="0"/>
          <w:bCs w:val="0"/>
          <w:i/>
          <w:iCs/>
        </w:rPr>
        <w:t xml:space="preserve">Journal of International &amp; Comparative Law, </w:t>
      </w:r>
      <w:r w:rsidRPr="002B016D">
        <w:rPr>
          <w:b w:val="0"/>
          <w:bCs w:val="0"/>
        </w:rPr>
        <w:t>3(2): 279-316.</w:t>
      </w:r>
    </w:p>
    <w:p w14:paraId="177F258E" w14:textId="77777777" w:rsidR="00BD211C" w:rsidRPr="002B016D" w:rsidRDefault="00BD211C" w:rsidP="00BD211C">
      <w:pPr>
        <w:ind w:left="-300"/>
        <w:jc w:val="both"/>
        <w:rPr>
          <w:b w:val="0"/>
          <w:bCs w:val="0"/>
        </w:rPr>
      </w:pPr>
    </w:p>
    <w:p w14:paraId="03D075A8" w14:textId="77777777" w:rsidR="00BD211C" w:rsidRPr="002B016D" w:rsidRDefault="00BD211C" w:rsidP="00BD211C">
      <w:pPr>
        <w:jc w:val="both"/>
        <w:rPr>
          <w:b w:val="0"/>
          <w:bCs w:val="0"/>
        </w:rPr>
      </w:pPr>
      <w:r w:rsidRPr="002B016D">
        <w:rPr>
          <w:b w:val="0"/>
          <w:bCs w:val="0"/>
        </w:rPr>
        <w:t xml:space="preserve">Crown Prosecution Service (CPS) (2019) </w:t>
      </w:r>
      <w:r w:rsidRPr="002B016D">
        <w:rPr>
          <w:b w:val="0"/>
          <w:bCs w:val="0"/>
          <w:i/>
          <w:iCs/>
        </w:rPr>
        <w:t xml:space="preserve">CPS Accepts Sally Challen’s Manslaughter Plea. </w:t>
      </w:r>
      <w:r w:rsidRPr="002B016D">
        <w:rPr>
          <w:b w:val="0"/>
          <w:bCs w:val="0"/>
        </w:rPr>
        <w:t xml:space="preserve">Available online at: </w:t>
      </w:r>
      <w:hyperlink r:id="rId5" w:history="1">
        <w:r w:rsidRPr="002B016D">
          <w:rPr>
            <w:rStyle w:val="Hyperlink"/>
            <w:b w:val="0"/>
            <w:bCs w:val="0"/>
          </w:rPr>
          <w:t>https://www.cps.gov.uk/south-east/news/accepts-sally-challens-manslaughter-plea</w:t>
        </w:r>
      </w:hyperlink>
      <w:r w:rsidRPr="002B016D">
        <w:rPr>
          <w:b w:val="0"/>
          <w:bCs w:val="0"/>
        </w:rPr>
        <w:t xml:space="preserve"> (last accessed 13/10/21).</w:t>
      </w:r>
    </w:p>
    <w:p w14:paraId="6F3E62EE" w14:textId="77777777" w:rsidR="00BD211C" w:rsidRPr="002B016D" w:rsidRDefault="00BD211C" w:rsidP="00BD211C">
      <w:pPr>
        <w:jc w:val="both"/>
        <w:rPr>
          <w:b w:val="0"/>
          <w:bCs w:val="0"/>
        </w:rPr>
      </w:pPr>
    </w:p>
    <w:p w14:paraId="47662771" w14:textId="77777777" w:rsidR="00BD211C" w:rsidRPr="002B016D" w:rsidRDefault="00BD211C" w:rsidP="00BD211C">
      <w:pPr>
        <w:jc w:val="both"/>
        <w:rPr>
          <w:b w:val="0"/>
          <w:bCs w:val="0"/>
        </w:rPr>
      </w:pPr>
      <w:r w:rsidRPr="002B016D">
        <w:rPr>
          <w:b w:val="0"/>
          <w:bCs w:val="0"/>
        </w:rPr>
        <w:t xml:space="preserve">Edwards, S. (2010) Anger and Fear as Justifiable Preludes for Loss of Self-Control. </w:t>
      </w:r>
      <w:r w:rsidRPr="002B016D">
        <w:rPr>
          <w:b w:val="0"/>
          <w:bCs w:val="0"/>
          <w:i/>
          <w:iCs/>
        </w:rPr>
        <w:t xml:space="preserve">Journal of Criminal Law, </w:t>
      </w:r>
      <w:r w:rsidRPr="002B016D">
        <w:rPr>
          <w:b w:val="0"/>
          <w:bCs w:val="0"/>
        </w:rPr>
        <w:t>74(3): 223-241.</w:t>
      </w:r>
    </w:p>
    <w:p w14:paraId="3503F1F1" w14:textId="77777777" w:rsidR="00BD211C" w:rsidRPr="002B016D" w:rsidRDefault="00BD211C" w:rsidP="00BD211C">
      <w:pPr>
        <w:jc w:val="both"/>
        <w:rPr>
          <w:b w:val="0"/>
          <w:bCs w:val="0"/>
        </w:rPr>
      </w:pPr>
    </w:p>
    <w:p w14:paraId="736586DC" w14:textId="77777777" w:rsidR="00BD211C" w:rsidRPr="002B016D" w:rsidRDefault="00BD211C" w:rsidP="00BD211C">
      <w:pPr>
        <w:jc w:val="both"/>
        <w:rPr>
          <w:b w:val="0"/>
          <w:bCs w:val="0"/>
        </w:rPr>
      </w:pPr>
      <w:r w:rsidRPr="002B016D">
        <w:rPr>
          <w:b w:val="0"/>
          <w:bCs w:val="0"/>
        </w:rPr>
        <w:t xml:space="preserve">Edwards, S. (2015) The Strangulation of Female Partners. </w:t>
      </w:r>
      <w:r w:rsidRPr="002B016D">
        <w:rPr>
          <w:b w:val="0"/>
          <w:bCs w:val="0"/>
          <w:i/>
          <w:iCs/>
        </w:rPr>
        <w:t xml:space="preserve">Criminal Law Review, </w:t>
      </w:r>
      <w:r w:rsidRPr="002B016D">
        <w:rPr>
          <w:b w:val="0"/>
          <w:bCs w:val="0"/>
        </w:rPr>
        <w:t>12: 949-966.</w:t>
      </w:r>
    </w:p>
    <w:p w14:paraId="18F39DBC" w14:textId="77777777" w:rsidR="00BD211C" w:rsidRPr="002B016D" w:rsidRDefault="00BD211C" w:rsidP="00BD211C">
      <w:pPr>
        <w:jc w:val="both"/>
        <w:rPr>
          <w:b w:val="0"/>
          <w:bCs w:val="0"/>
        </w:rPr>
      </w:pPr>
    </w:p>
    <w:p w14:paraId="54F6F9DB" w14:textId="77777777" w:rsidR="00BD211C" w:rsidRPr="002B016D" w:rsidRDefault="00BD211C" w:rsidP="00BD211C">
      <w:pPr>
        <w:jc w:val="both"/>
        <w:rPr>
          <w:b w:val="0"/>
          <w:bCs w:val="0"/>
        </w:rPr>
      </w:pPr>
      <w:r w:rsidRPr="002B016D">
        <w:rPr>
          <w:b w:val="0"/>
          <w:bCs w:val="0"/>
        </w:rPr>
        <w:t xml:space="preserve">Johnson, H., Eriksson, L., Mazerolle, P. and Wortley, R. (2019) Intimate Femicide: The Role of Coercive Control. </w:t>
      </w:r>
      <w:r w:rsidRPr="002B016D">
        <w:rPr>
          <w:b w:val="0"/>
          <w:bCs w:val="0"/>
          <w:i/>
          <w:iCs/>
        </w:rPr>
        <w:t xml:space="preserve">Feminist Criminology, </w:t>
      </w:r>
      <w:r w:rsidRPr="002B016D">
        <w:rPr>
          <w:b w:val="0"/>
          <w:bCs w:val="0"/>
        </w:rPr>
        <w:t>14(1): 3-23.</w:t>
      </w:r>
    </w:p>
    <w:p w14:paraId="21DC281E" w14:textId="77777777" w:rsidR="00BD211C" w:rsidRPr="002B016D" w:rsidRDefault="00BD211C" w:rsidP="00BD211C">
      <w:pPr>
        <w:jc w:val="both"/>
        <w:rPr>
          <w:b w:val="0"/>
          <w:bCs w:val="0"/>
        </w:rPr>
      </w:pPr>
    </w:p>
    <w:p w14:paraId="15FBCD69" w14:textId="77777777" w:rsidR="00BD211C" w:rsidRPr="002B016D" w:rsidRDefault="00BD211C" w:rsidP="00BD211C">
      <w:pPr>
        <w:jc w:val="both"/>
        <w:rPr>
          <w:b w:val="0"/>
          <w:bCs w:val="0"/>
        </w:rPr>
      </w:pPr>
      <w:r w:rsidRPr="002B016D">
        <w:rPr>
          <w:b w:val="0"/>
          <w:bCs w:val="0"/>
        </w:rPr>
        <w:t xml:space="preserve">Fitz-Gibbon, K. (2013) Replacing Provocation in England and Wales: Examining the Partial Defence of Loss of Control. </w:t>
      </w:r>
      <w:r w:rsidRPr="002B016D">
        <w:rPr>
          <w:b w:val="0"/>
          <w:bCs w:val="0"/>
          <w:i/>
          <w:iCs/>
        </w:rPr>
        <w:t xml:space="preserve">Journal of Law and Society, </w:t>
      </w:r>
      <w:r w:rsidRPr="002B016D">
        <w:rPr>
          <w:b w:val="0"/>
          <w:bCs w:val="0"/>
        </w:rPr>
        <w:t>40(2): 280-305.</w:t>
      </w:r>
    </w:p>
    <w:p w14:paraId="7803E5B2" w14:textId="77777777" w:rsidR="00BD211C" w:rsidRPr="002B016D" w:rsidRDefault="00BD211C" w:rsidP="00BD211C">
      <w:pPr>
        <w:jc w:val="both"/>
        <w:rPr>
          <w:b w:val="0"/>
          <w:bCs w:val="0"/>
        </w:rPr>
      </w:pPr>
    </w:p>
    <w:p w14:paraId="488FD27A" w14:textId="77777777" w:rsidR="00BD211C" w:rsidRPr="002B016D" w:rsidRDefault="00BD211C" w:rsidP="00BD211C">
      <w:pPr>
        <w:jc w:val="both"/>
        <w:rPr>
          <w:b w:val="0"/>
          <w:bCs w:val="0"/>
        </w:rPr>
      </w:pPr>
      <w:r w:rsidRPr="002B016D">
        <w:rPr>
          <w:b w:val="0"/>
          <w:bCs w:val="0"/>
        </w:rPr>
        <w:t xml:space="preserve">Herring, J. (2011) The Serious Wrong of Domestic Abuse and the Loss of Control Defence. In A Reed and M Bohlander (eds.) </w:t>
      </w:r>
      <w:r w:rsidRPr="002B016D">
        <w:rPr>
          <w:b w:val="0"/>
          <w:bCs w:val="0"/>
          <w:i/>
          <w:iCs/>
        </w:rPr>
        <w:t>Loss of Control and Diminished Responsibility Manslaughter: Domestic, Comparative and International Perspectives</w:t>
      </w:r>
      <w:r w:rsidRPr="002B016D">
        <w:rPr>
          <w:b w:val="0"/>
          <w:bCs w:val="0"/>
        </w:rPr>
        <w:t>. Surrey: Ashgate.</w:t>
      </w:r>
    </w:p>
    <w:p w14:paraId="508A730D" w14:textId="77777777" w:rsidR="00BD211C" w:rsidRPr="002B016D" w:rsidRDefault="00BD211C" w:rsidP="00BD211C">
      <w:pPr>
        <w:jc w:val="both"/>
        <w:rPr>
          <w:b w:val="0"/>
          <w:bCs w:val="0"/>
        </w:rPr>
      </w:pPr>
    </w:p>
    <w:p w14:paraId="6A6CA6AB" w14:textId="77777777" w:rsidR="00BD211C" w:rsidRPr="002B016D" w:rsidRDefault="00BD211C" w:rsidP="00BD211C">
      <w:pPr>
        <w:jc w:val="both"/>
        <w:rPr>
          <w:b w:val="0"/>
          <w:bCs w:val="0"/>
        </w:rPr>
      </w:pPr>
      <w:r w:rsidRPr="002B016D">
        <w:rPr>
          <w:b w:val="0"/>
          <w:bCs w:val="0"/>
        </w:rPr>
        <w:t xml:space="preserve">Horder, J. (1992) </w:t>
      </w:r>
      <w:r w:rsidRPr="002B016D">
        <w:rPr>
          <w:b w:val="0"/>
          <w:bCs w:val="0"/>
          <w:i/>
          <w:iCs/>
        </w:rPr>
        <w:t>Provocation and Responsibility.</w:t>
      </w:r>
      <w:r w:rsidRPr="002B016D">
        <w:rPr>
          <w:b w:val="0"/>
          <w:bCs w:val="0"/>
        </w:rPr>
        <w:t xml:space="preserve"> Oxford: Clarendon Press.</w:t>
      </w:r>
    </w:p>
    <w:p w14:paraId="6542CC01" w14:textId="77777777" w:rsidR="00BD211C" w:rsidRPr="002B016D" w:rsidRDefault="00BD211C" w:rsidP="00BD211C">
      <w:pPr>
        <w:jc w:val="both"/>
        <w:rPr>
          <w:b w:val="0"/>
          <w:bCs w:val="0"/>
        </w:rPr>
      </w:pPr>
    </w:p>
    <w:p w14:paraId="4E99330E" w14:textId="77777777" w:rsidR="00BD211C" w:rsidRPr="002B016D" w:rsidRDefault="00BD211C" w:rsidP="00BD211C">
      <w:pPr>
        <w:jc w:val="both"/>
        <w:rPr>
          <w:b w:val="0"/>
          <w:bCs w:val="0"/>
        </w:rPr>
      </w:pPr>
      <w:r w:rsidRPr="002B016D">
        <w:rPr>
          <w:b w:val="0"/>
          <w:bCs w:val="0"/>
        </w:rPr>
        <w:t xml:space="preserve">Howes, SK., Williams, KS. and Wistrich, H. (2021) Women who kill: why self-defence rarely works for women who kill their abuser. </w:t>
      </w:r>
      <w:r w:rsidRPr="002B016D">
        <w:rPr>
          <w:b w:val="0"/>
          <w:bCs w:val="0"/>
          <w:i/>
          <w:iCs/>
        </w:rPr>
        <w:t xml:space="preserve">Criminal Law Review, </w:t>
      </w:r>
      <w:r w:rsidRPr="002B016D">
        <w:rPr>
          <w:b w:val="0"/>
          <w:bCs w:val="0"/>
        </w:rPr>
        <w:t>11: 945-957.</w:t>
      </w:r>
    </w:p>
    <w:p w14:paraId="6648811E" w14:textId="77777777" w:rsidR="00BD211C" w:rsidRPr="002B016D" w:rsidRDefault="00BD211C" w:rsidP="00BD211C">
      <w:pPr>
        <w:jc w:val="both"/>
        <w:rPr>
          <w:b w:val="0"/>
          <w:bCs w:val="0"/>
        </w:rPr>
      </w:pPr>
    </w:p>
    <w:p w14:paraId="068E3E5C" w14:textId="77777777" w:rsidR="00BD211C" w:rsidRPr="002B016D" w:rsidRDefault="00BD211C" w:rsidP="00BD211C">
      <w:pPr>
        <w:jc w:val="both"/>
        <w:rPr>
          <w:b w:val="0"/>
          <w:bCs w:val="0"/>
        </w:rPr>
      </w:pPr>
      <w:r w:rsidRPr="002B016D">
        <w:rPr>
          <w:b w:val="0"/>
          <w:bCs w:val="0"/>
        </w:rPr>
        <w:t xml:space="preserve">Law Commission No 290. (2004) </w:t>
      </w:r>
      <w:r w:rsidRPr="002B016D">
        <w:rPr>
          <w:b w:val="0"/>
          <w:bCs w:val="0"/>
          <w:i/>
          <w:iCs/>
        </w:rPr>
        <w:t>Partial Defences to Murder</w:t>
      </w:r>
      <w:r w:rsidRPr="002B016D">
        <w:rPr>
          <w:b w:val="0"/>
          <w:bCs w:val="0"/>
        </w:rPr>
        <w:t>. London: HMSO.</w:t>
      </w:r>
    </w:p>
    <w:p w14:paraId="19FAF676" w14:textId="77777777" w:rsidR="00BD211C" w:rsidRPr="002B016D" w:rsidRDefault="00BD211C" w:rsidP="00BD211C">
      <w:pPr>
        <w:jc w:val="both"/>
        <w:rPr>
          <w:b w:val="0"/>
          <w:bCs w:val="0"/>
        </w:rPr>
      </w:pPr>
    </w:p>
    <w:p w14:paraId="4BCDD8B2" w14:textId="77777777" w:rsidR="00BD211C" w:rsidRPr="002B016D" w:rsidRDefault="00BD211C" w:rsidP="00BD211C">
      <w:pPr>
        <w:jc w:val="both"/>
        <w:rPr>
          <w:b w:val="0"/>
          <w:bCs w:val="0"/>
        </w:rPr>
      </w:pPr>
      <w:r w:rsidRPr="002B016D">
        <w:rPr>
          <w:b w:val="0"/>
          <w:bCs w:val="0"/>
        </w:rPr>
        <w:t xml:space="preserve">Law Commission No 304. (2006) </w:t>
      </w:r>
      <w:r w:rsidRPr="002B016D">
        <w:rPr>
          <w:b w:val="0"/>
          <w:bCs w:val="0"/>
          <w:i/>
          <w:iCs/>
        </w:rPr>
        <w:t>Murder, Manslaughter and Infanticide</w:t>
      </w:r>
      <w:r w:rsidRPr="002B016D">
        <w:rPr>
          <w:b w:val="0"/>
          <w:bCs w:val="0"/>
        </w:rPr>
        <w:t>. London: HMSO.</w:t>
      </w:r>
    </w:p>
    <w:p w14:paraId="32FEF79C" w14:textId="77777777" w:rsidR="00BD211C" w:rsidRPr="002B016D" w:rsidRDefault="00BD211C" w:rsidP="00BD211C">
      <w:pPr>
        <w:jc w:val="both"/>
        <w:rPr>
          <w:b w:val="0"/>
          <w:bCs w:val="0"/>
        </w:rPr>
      </w:pPr>
    </w:p>
    <w:p w14:paraId="7A6DF86E" w14:textId="77777777" w:rsidR="00BD211C" w:rsidRPr="002B016D" w:rsidRDefault="00BD211C" w:rsidP="00BD211C">
      <w:pPr>
        <w:jc w:val="both"/>
        <w:rPr>
          <w:b w:val="0"/>
          <w:bCs w:val="0"/>
        </w:rPr>
      </w:pPr>
      <w:r w:rsidRPr="002B016D">
        <w:rPr>
          <w:b w:val="0"/>
          <w:bCs w:val="0"/>
        </w:rPr>
        <w:t xml:space="preserve">McColgan, A. (1993) In Defence of Battered Women who Kill. </w:t>
      </w:r>
      <w:r w:rsidRPr="00D87FC1">
        <w:rPr>
          <w:b w:val="0"/>
          <w:bCs w:val="0"/>
          <w:i/>
          <w:iCs/>
        </w:rPr>
        <w:t>Oxford Journal of Legal Studies</w:t>
      </w:r>
      <w:r w:rsidRPr="002B016D">
        <w:rPr>
          <w:b w:val="0"/>
          <w:bCs w:val="0"/>
          <w:i/>
          <w:iCs/>
        </w:rPr>
        <w:t>,</w:t>
      </w:r>
      <w:r w:rsidRPr="00D87FC1">
        <w:rPr>
          <w:b w:val="0"/>
          <w:bCs w:val="0"/>
          <w:i/>
          <w:iCs/>
        </w:rPr>
        <w:t xml:space="preserve"> </w:t>
      </w:r>
      <w:r w:rsidRPr="002B016D">
        <w:rPr>
          <w:b w:val="0"/>
          <w:bCs w:val="0"/>
        </w:rPr>
        <w:t>13(4) 508-529.</w:t>
      </w:r>
    </w:p>
    <w:p w14:paraId="67E08F37" w14:textId="77777777" w:rsidR="00BD211C" w:rsidRPr="002B016D" w:rsidRDefault="00BD211C" w:rsidP="00BD211C">
      <w:pPr>
        <w:jc w:val="both"/>
        <w:rPr>
          <w:b w:val="0"/>
          <w:bCs w:val="0"/>
        </w:rPr>
      </w:pPr>
    </w:p>
    <w:p w14:paraId="2CE3298B" w14:textId="77777777" w:rsidR="00BD211C" w:rsidRPr="002B016D" w:rsidRDefault="00BD211C" w:rsidP="00BD211C">
      <w:pPr>
        <w:jc w:val="both"/>
        <w:rPr>
          <w:b w:val="0"/>
          <w:bCs w:val="0"/>
        </w:rPr>
      </w:pPr>
      <w:r w:rsidRPr="002B016D">
        <w:rPr>
          <w:b w:val="0"/>
          <w:bCs w:val="0"/>
        </w:rPr>
        <w:t xml:space="preserve">McColgan, A. (2000) General Defences. In N. Nicolson and L. Bibbings (eds.) </w:t>
      </w:r>
      <w:r w:rsidRPr="002B016D">
        <w:rPr>
          <w:b w:val="0"/>
          <w:bCs w:val="0"/>
          <w:i/>
          <w:iCs/>
        </w:rPr>
        <w:t>Feminist Perspectives on Criminal Law</w:t>
      </w:r>
      <w:r w:rsidRPr="002B016D">
        <w:rPr>
          <w:b w:val="0"/>
          <w:bCs w:val="0"/>
        </w:rPr>
        <w:t>. London: Cavendish.</w:t>
      </w:r>
    </w:p>
    <w:p w14:paraId="21BD76F1" w14:textId="77777777" w:rsidR="00BD211C" w:rsidRPr="002B016D" w:rsidRDefault="00BD211C" w:rsidP="00BD211C">
      <w:pPr>
        <w:jc w:val="both"/>
        <w:rPr>
          <w:b w:val="0"/>
          <w:bCs w:val="0"/>
        </w:rPr>
      </w:pPr>
    </w:p>
    <w:p w14:paraId="7C88ACED" w14:textId="77777777" w:rsidR="00BD211C" w:rsidRPr="002B016D" w:rsidRDefault="00BD211C" w:rsidP="00BD211C">
      <w:pPr>
        <w:jc w:val="both"/>
        <w:rPr>
          <w:b w:val="0"/>
          <w:bCs w:val="0"/>
        </w:rPr>
      </w:pPr>
      <w:r w:rsidRPr="002B016D">
        <w:rPr>
          <w:b w:val="0"/>
          <w:bCs w:val="0"/>
        </w:rPr>
        <w:t xml:space="preserve">McPherson, R. (2019) Battered woman syndrome, diminished responsibility and women who kill: insights from Scottish case law. </w:t>
      </w:r>
      <w:r w:rsidRPr="002B016D">
        <w:rPr>
          <w:b w:val="0"/>
          <w:bCs w:val="0"/>
          <w:i/>
          <w:iCs/>
        </w:rPr>
        <w:t xml:space="preserve">Journal of Criminal Law, </w:t>
      </w:r>
      <w:r w:rsidRPr="002B016D">
        <w:rPr>
          <w:b w:val="0"/>
          <w:bCs w:val="0"/>
        </w:rPr>
        <w:t>83(5): 381-393.</w:t>
      </w:r>
    </w:p>
    <w:p w14:paraId="225EF4D7" w14:textId="77777777" w:rsidR="00BD211C" w:rsidRPr="002B016D" w:rsidRDefault="00BD211C" w:rsidP="00BD211C">
      <w:pPr>
        <w:jc w:val="both"/>
        <w:rPr>
          <w:b w:val="0"/>
          <w:bCs w:val="0"/>
        </w:rPr>
      </w:pPr>
    </w:p>
    <w:p w14:paraId="2FE38F95" w14:textId="77777777" w:rsidR="00BD211C" w:rsidRPr="002B016D" w:rsidRDefault="00BD211C" w:rsidP="00BD211C">
      <w:pPr>
        <w:jc w:val="both"/>
        <w:rPr>
          <w:b w:val="0"/>
          <w:bCs w:val="0"/>
        </w:rPr>
      </w:pPr>
      <w:r w:rsidRPr="002B016D">
        <w:rPr>
          <w:b w:val="0"/>
          <w:bCs w:val="0"/>
        </w:rPr>
        <w:t xml:space="preserve">Ministry of Justice. (2008) </w:t>
      </w:r>
      <w:r w:rsidRPr="002B016D">
        <w:rPr>
          <w:b w:val="0"/>
          <w:bCs w:val="0"/>
          <w:i/>
          <w:iCs/>
        </w:rPr>
        <w:t>Murder, Manslaughter and Infanticide: Proposals for reform of the law</w:t>
      </w:r>
      <w:r w:rsidRPr="002B016D">
        <w:rPr>
          <w:b w:val="0"/>
          <w:bCs w:val="0"/>
        </w:rPr>
        <w:t>. London: HMSO.</w:t>
      </w:r>
    </w:p>
    <w:p w14:paraId="480818CD" w14:textId="77777777" w:rsidR="00BD211C" w:rsidRPr="002B016D" w:rsidRDefault="00BD211C" w:rsidP="00BD211C">
      <w:pPr>
        <w:jc w:val="both"/>
        <w:rPr>
          <w:b w:val="0"/>
          <w:bCs w:val="0"/>
        </w:rPr>
      </w:pPr>
    </w:p>
    <w:p w14:paraId="79AC49DC" w14:textId="77777777" w:rsidR="00BD211C" w:rsidRPr="002B016D" w:rsidRDefault="00BD211C" w:rsidP="00BD211C">
      <w:pPr>
        <w:tabs>
          <w:tab w:val="left" w:pos="3660"/>
        </w:tabs>
        <w:jc w:val="both"/>
        <w:rPr>
          <w:b w:val="0"/>
          <w:bCs w:val="0"/>
        </w:rPr>
      </w:pPr>
      <w:r w:rsidRPr="002B016D">
        <w:rPr>
          <w:b w:val="0"/>
          <w:bCs w:val="0"/>
        </w:rPr>
        <w:t xml:space="preserve">Mitchell, B. (2011) Loss of self-control under the Coroners and Justice Act 2009: Oh No! In A. Reed and M. Bohlander (eds.) </w:t>
      </w:r>
      <w:r w:rsidRPr="002B016D">
        <w:rPr>
          <w:b w:val="0"/>
          <w:bCs w:val="0"/>
          <w:i/>
          <w:iCs/>
        </w:rPr>
        <w:t>Loss of Control and Diminished Responsibility: Domestic, Comparative and International Perspectives</w:t>
      </w:r>
      <w:r w:rsidRPr="002B016D">
        <w:rPr>
          <w:b w:val="0"/>
          <w:bCs w:val="0"/>
        </w:rPr>
        <w:t>. Surrey: Ashgate.</w:t>
      </w:r>
    </w:p>
    <w:p w14:paraId="619A7182" w14:textId="77777777" w:rsidR="00BD211C" w:rsidRPr="002B016D" w:rsidRDefault="00BD211C" w:rsidP="00BD211C">
      <w:pPr>
        <w:jc w:val="both"/>
        <w:rPr>
          <w:b w:val="0"/>
          <w:bCs w:val="0"/>
        </w:rPr>
      </w:pPr>
    </w:p>
    <w:p w14:paraId="7D017A57" w14:textId="77777777" w:rsidR="00BD211C" w:rsidRPr="002B016D" w:rsidRDefault="00BD211C" w:rsidP="00BD211C">
      <w:pPr>
        <w:jc w:val="both"/>
        <w:rPr>
          <w:b w:val="0"/>
          <w:bCs w:val="0"/>
        </w:rPr>
      </w:pPr>
      <w:r w:rsidRPr="002B016D">
        <w:rPr>
          <w:b w:val="0"/>
          <w:bCs w:val="0"/>
        </w:rPr>
        <w:t xml:space="preserve">Monckton Smith, J. (2012) </w:t>
      </w:r>
      <w:r w:rsidRPr="002B016D">
        <w:rPr>
          <w:b w:val="0"/>
          <w:bCs w:val="0"/>
          <w:i/>
          <w:iCs/>
        </w:rPr>
        <w:t xml:space="preserve">Murder, Gender and the Media: Narratives of Dangerous Love. </w:t>
      </w:r>
      <w:r w:rsidRPr="002B016D">
        <w:rPr>
          <w:b w:val="0"/>
          <w:bCs w:val="0"/>
        </w:rPr>
        <w:t>Basingstoke: Palgrave McMillan</w:t>
      </w:r>
    </w:p>
    <w:p w14:paraId="3CBF4DF2" w14:textId="77777777" w:rsidR="00BD211C" w:rsidRPr="002B016D" w:rsidRDefault="00BD211C" w:rsidP="00BD211C">
      <w:pPr>
        <w:jc w:val="both"/>
        <w:rPr>
          <w:b w:val="0"/>
          <w:bCs w:val="0"/>
        </w:rPr>
      </w:pPr>
    </w:p>
    <w:p w14:paraId="121E1DF3" w14:textId="77777777" w:rsidR="00BD211C" w:rsidRPr="002B016D" w:rsidRDefault="00BD211C" w:rsidP="00BD211C">
      <w:pPr>
        <w:jc w:val="both"/>
        <w:rPr>
          <w:b w:val="0"/>
          <w:bCs w:val="0"/>
        </w:rPr>
      </w:pPr>
      <w:r w:rsidRPr="002B016D">
        <w:rPr>
          <w:b w:val="0"/>
          <w:bCs w:val="0"/>
        </w:rPr>
        <w:t xml:space="preserve">Monckton Smith, J. (2020) Intimate Partner Femicide: Using Foucauldian Analysis to Track as Eight Stage Progression to Homicide. </w:t>
      </w:r>
      <w:r w:rsidRPr="002B016D">
        <w:rPr>
          <w:b w:val="0"/>
          <w:bCs w:val="0"/>
          <w:i/>
          <w:iCs/>
        </w:rPr>
        <w:t xml:space="preserve">Violence Against Women </w:t>
      </w:r>
      <w:r w:rsidRPr="002B016D">
        <w:rPr>
          <w:b w:val="0"/>
          <w:bCs w:val="0"/>
        </w:rPr>
        <w:t>26(11): 1267-1285.</w:t>
      </w:r>
    </w:p>
    <w:p w14:paraId="286FAF5F" w14:textId="77777777" w:rsidR="00BD211C" w:rsidRPr="002B016D" w:rsidRDefault="00BD211C" w:rsidP="00BD211C">
      <w:pPr>
        <w:jc w:val="both"/>
        <w:rPr>
          <w:b w:val="0"/>
          <w:bCs w:val="0"/>
        </w:rPr>
      </w:pPr>
    </w:p>
    <w:p w14:paraId="5FA79CE9" w14:textId="77777777" w:rsidR="00BD211C" w:rsidRPr="002B016D" w:rsidRDefault="00BD211C" w:rsidP="00BD211C">
      <w:pPr>
        <w:jc w:val="both"/>
        <w:rPr>
          <w:b w:val="0"/>
          <w:bCs w:val="0"/>
        </w:rPr>
      </w:pPr>
      <w:r w:rsidRPr="002B016D">
        <w:rPr>
          <w:b w:val="0"/>
          <w:bCs w:val="0"/>
        </w:rPr>
        <w:t xml:space="preserve">Nicholson, D. and Sanghvi, R. (1993) Battered Women and Provocation: The Implications of Ahluwalia. </w:t>
      </w:r>
      <w:r w:rsidRPr="002B016D">
        <w:rPr>
          <w:b w:val="0"/>
          <w:bCs w:val="0"/>
          <w:i/>
          <w:iCs/>
        </w:rPr>
        <w:t>Criminal Law Review</w:t>
      </w:r>
      <w:r w:rsidRPr="002B016D">
        <w:rPr>
          <w:b w:val="0"/>
          <w:bCs w:val="0"/>
        </w:rPr>
        <w:t>, 728-738.</w:t>
      </w:r>
    </w:p>
    <w:p w14:paraId="3C3B88D6" w14:textId="77777777" w:rsidR="00BD211C" w:rsidRPr="002B016D" w:rsidRDefault="00BD211C" w:rsidP="00BD211C">
      <w:pPr>
        <w:jc w:val="both"/>
        <w:rPr>
          <w:b w:val="0"/>
          <w:bCs w:val="0"/>
        </w:rPr>
      </w:pPr>
    </w:p>
    <w:p w14:paraId="52FD4CB0" w14:textId="77777777" w:rsidR="00BD211C" w:rsidRPr="002B016D" w:rsidRDefault="00BD211C" w:rsidP="00BD211C">
      <w:pPr>
        <w:jc w:val="both"/>
        <w:rPr>
          <w:b w:val="0"/>
          <w:bCs w:val="0"/>
        </w:rPr>
      </w:pPr>
      <w:r w:rsidRPr="002B016D">
        <w:rPr>
          <w:b w:val="0"/>
          <w:bCs w:val="0"/>
        </w:rPr>
        <w:t xml:space="preserve">Norrie, A. (2010). The Coroners and Justice Act 2009—Partial Defences to Murder (1) Loss of Control. </w:t>
      </w:r>
      <w:r w:rsidRPr="002B016D">
        <w:rPr>
          <w:b w:val="0"/>
          <w:bCs w:val="0"/>
          <w:i/>
          <w:iCs/>
        </w:rPr>
        <w:t>Criminal Law Review</w:t>
      </w:r>
      <w:r w:rsidRPr="002B016D">
        <w:rPr>
          <w:b w:val="0"/>
          <w:bCs w:val="0"/>
        </w:rPr>
        <w:t>, 275–289.</w:t>
      </w:r>
    </w:p>
    <w:p w14:paraId="5A73D8B3" w14:textId="77777777" w:rsidR="00BD211C" w:rsidRPr="002B016D" w:rsidRDefault="00BD211C" w:rsidP="00BD211C">
      <w:pPr>
        <w:jc w:val="both"/>
        <w:rPr>
          <w:b w:val="0"/>
          <w:bCs w:val="0"/>
        </w:rPr>
      </w:pPr>
    </w:p>
    <w:p w14:paraId="294D1FEC" w14:textId="77777777" w:rsidR="00BD211C" w:rsidRPr="002B016D" w:rsidRDefault="00BD211C" w:rsidP="00BD211C">
      <w:pPr>
        <w:jc w:val="both"/>
        <w:rPr>
          <w:b w:val="0"/>
          <w:bCs w:val="0"/>
        </w:rPr>
      </w:pPr>
      <w:r w:rsidRPr="002B016D">
        <w:rPr>
          <w:b w:val="0"/>
          <w:bCs w:val="0"/>
        </w:rPr>
        <w:t xml:space="preserve">O’Donovan, K. (1991) Defences for Battered Women who Kill. </w:t>
      </w:r>
      <w:r w:rsidRPr="002B016D">
        <w:rPr>
          <w:b w:val="0"/>
          <w:bCs w:val="0"/>
          <w:i/>
          <w:iCs/>
        </w:rPr>
        <w:t>Journal of Law and Society,</w:t>
      </w:r>
      <w:r w:rsidRPr="002B016D">
        <w:rPr>
          <w:b w:val="0"/>
          <w:bCs w:val="0"/>
        </w:rPr>
        <w:t xml:space="preserve"> 18(2), 219-237.</w:t>
      </w:r>
    </w:p>
    <w:p w14:paraId="0ECE72DC" w14:textId="77777777" w:rsidR="00BD211C" w:rsidRPr="002B016D" w:rsidRDefault="00BD211C" w:rsidP="00BD211C">
      <w:pPr>
        <w:jc w:val="both"/>
        <w:rPr>
          <w:b w:val="0"/>
          <w:bCs w:val="0"/>
        </w:rPr>
      </w:pPr>
    </w:p>
    <w:p w14:paraId="21191866" w14:textId="77777777" w:rsidR="00BD211C" w:rsidRPr="002B016D" w:rsidRDefault="00BD211C" w:rsidP="00BD211C">
      <w:pPr>
        <w:jc w:val="both"/>
        <w:rPr>
          <w:b w:val="0"/>
          <w:bCs w:val="0"/>
        </w:rPr>
      </w:pPr>
      <w:r w:rsidRPr="002B016D">
        <w:rPr>
          <w:b w:val="0"/>
          <w:bCs w:val="0"/>
        </w:rPr>
        <w:t xml:space="preserve">Quick, O. and Wells, C. (2012) Partial Reform of Partial Defences: Developments in England and Wales. </w:t>
      </w:r>
      <w:r w:rsidRPr="002B016D">
        <w:rPr>
          <w:b w:val="0"/>
          <w:bCs w:val="0"/>
          <w:i/>
          <w:iCs/>
        </w:rPr>
        <w:t xml:space="preserve">Australian &amp; New Zealand Journal of Criminology, </w:t>
      </w:r>
      <w:r w:rsidRPr="002B016D">
        <w:rPr>
          <w:b w:val="0"/>
          <w:bCs w:val="0"/>
        </w:rPr>
        <w:t xml:space="preserve">45(3): 337-350. </w:t>
      </w:r>
    </w:p>
    <w:p w14:paraId="5AC9B68D" w14:textId="77777777" w:rsidR="00BD211C" w:rsidRPr="002B016D" w:rsidRDefault="00BD211C" w:rsidP="00BD211C">
      <w:pPr>
        <w:jc w:val="both"/>
        <w:rPr>
          <w:b w:val="0"/>
          <w:bCs w:val="0"/>
        </w:rPr>
      </w:pPr>
    </w:p>
    <w:p w14:paraId="076D3397" w14:textId="77777777" w:rsidR="00BD211C" w:rsidRPr="002B016D" w:rsidRDefault="00BD211C" w:rsidP="00BD211C">
      <w:pPr>
        <w:jc w:val="both"/>
        <w:rPr>
          <w:b w:val="0"/>
          <w:bCs w:val="0"/>
        </w:rPr>
      </w:pPr>
      <w:r w:rsidRPr="002B016D">
        <w:rPr>
          <w:b w:val="0"/>
          <w:bCs w:val="0"/>
        </w:rPr>
        <w:t xml:space="preserve">Parsons, S. (2015) The Loss of Control Defence – Fit for Purpose? </w:t>
      </w:r>
      <w:r w:rsidRPr="002B016D">
        <w:rPr>
          <w:b w:val="0"/>
          <w:bCs w:val="0"/>
          <w:i/>
          <w:iCs/>
        </w:rPr>
        <w:t xml:space="preserve">Journal of Criminal Law, </w:t>
      </w:r>
      <w:r w:rsidRPr="002B016D">
        <w:rPr>
          <w:b w:val="0"/>
          <w:bCs w:val="0"/>
        </w:rPr>
        <w:t>79(2): 94-101.</w:t>
      </w:r>
    </w:p>
    <w:p w14:paraId="0360DEB5" w14:textId="77777777" w:rsidR="00BD211C" w:rsidRPr="002B016D" w:rsidRDefault="00BD211C" w:rsidP="00BD211C">
      <w:pPr>
        <w:jc w:val="both"/>
        <w:rPr>
          <w:b w:val="0"/>
          <w:bCs w:val="0"/>
        </w:rPr>
      </w:pPr>
    </w:p>
    <w:p w14:paraId="364C77BB" w14:textId="77777777" w:rsidR="00BD211C" w:rsidRPr="002B016D" w:rsidRDefault="00BD211C" w:rsidP="00BD211C">
      <w:pPr>
        <w:jc w:val="both"/>
        <w:rPr>
          <w:b w:val="0"/>
          <w:bCs w:val="0"/>
        </w:rPr>
      </w:pPr>
      <w:r w:rsidRPr="002B016D">
        <w:rPr>
          <w:b w:val="0"/>
          <w:bCs w:val="0"/>
        </w:rPr>
        <w:t xml:space="preserve">Singh, S. (2021) Punishing Mothers for Men’s Violence: Failure to Protect Legislation and the Criminalisation of Abused Women. </w:t>
      </w:r>
      <w:r w:rsidRPr="002B016D">
        <w:rPr>
          <w:b w:val="0"/>
          <w:bCs w:val="0"/>
          <w:i/>
          <w:iCs/>
        </w:rPr>
        <w:t xml:space="preserve">Feminist Legal Studies, </w:t>
      </w:r>
      <w:r w:rsidRPr="002B016D">
        <w:rPr>
          <w:b w:val="0"/>
          <w:bCs w:val="0"/>
        </w:rPr>
        <w:t>29(2): 181-204.</w:t>
      </w:r>
    </w:p>
    <w:p w14:paraId="2E9A20B1" w14:textId="77777777" w:rsidR="00BD211C" w:rsidRPr="002B016D" w:rsidRDefault="00BD211C" w:rsidP="00BD211C">
      <w:pPr>
        <w:jc w:val="both"/>
        <w:rPr>
          <w:b w:val="0"/>
          <w:bCs w:val="0"/>
        </w:rPr>
      </w:pPr>
    </w:p>
    <w:p w14:paraId="69E50562" w14:textId="77777777" w:rsidR="00BD211C" w:rsidRPr="002B016D" w:rsidRDefault="00BD211C" w:rsidP="00BD211C">
      <w:pPr>
        <w:jc w:val="both"/>
        <w:rPr>
          <w:b w:val="0"/>
          <w:bCs w:val="0"/>
        </w:rPr>
      </w:pPr>
      <w:r w:rsidRPr="002B016D">
        <w:rPr>
          <w:b w:val="0"/>
          <w:bCs w:val="0"/>
        </w:rPr>
        <w:t xml:space="preserve">Slater, J. (2012) Self-Control: Context or Camouflage? </w:t>
      </w:r>
      <w:r w:rsidRPr="002B016D">
        <w:rPr>
          <w:b w:val="0"/>
          <w:bCs w:val="0"/>
          <w:i/>
          <w:iCs/>
        </w:rPr>
        <w:t xml:space="preserve">Denning Law Journal, </w:t>
      </w:r>
      <w:r w:rsidRPr="002B016D">
        <w:rPr>
          <w:b w:val="0"/>
          <w:bCs w:val="0"/>
        </w:rPr>
        <w:t>153-168.</w:t>
      </w:r>
    </w:p>
    <w:p w14:paraId="120C6DB3" w14:textId="77777777" w:rsidR="00BD211C" w:rsidRPr="002B016D" w:rsidRDefault="00BD211C" w:rsidP="00BD211C">
      <w:pPr>
        <w:jc w:val="both"/>
        <w:rPr>
          <w:b w:val="0"/>
          <w:bCs w:val="0"/>
        </w:rPr>
      </w:pPr>
    </w:p>
    <w:p w14:paraId="01D9317D" w14:textId="77777777" w:rsidR="00BD211C" w:rsidRPr="002B016D" w:rsidRDefault="00BD211C" w:rsidP="00BD211C">
      <w:pPr>
        <w:jc w:val="both"/>
        <w:rPr>
          <w:b w:val="0"/>
          <w:bCs w:val="0"/>
        </w:rPr>
      </w:pPr>
      <w:r w:rsidRPr="002B016D">
        <w:rPr>
          <w:b w:val="0"/>
          <w:bCs w:val="0"/>
        </w:rPr>
        <w:t xml:space="preserve">Stannard, J.E. (2019) Getting Past the Judge in Cases of Loss of Control: R v Goodwin. </w:t>
      </w:r>
      <w:r w:rsidRPr="002B016D">
        <w:rPr>
          <w:b w:val="0"/>
          <w:bCs w:val="0"/>
          <w:i/>
          <w:iCs/>
        </w:rPr>
        <w:t xml:space="preserve">Northern Ireland Law Quarterly, </w:t>
      </w:r>
      <w:r w:rsidRPr="002B016D">
        <w:rPr>
          <w:b w:val="0"/>
          <w:bCs w:val="0"/>
        </w:rPr>
        <w:t>70(3) 377-382.</w:t>
      </w:r>
    </w:p>
    <w:p w14:paraId="044C4A80" w14:textId="77777777" w:rsidR="00BD211C" w:rsidRPr="002B016D" w:rsidRDefault="00BD211C" w:rsidP="00BD211C">
      <w:pPr>
        <w:jc w:val="both"/>
        <w:rPr>
          <w:b w:val="0"/>
          <w:bCs w:val="0"/>
        </w:rPr>
      </w:pPr>
    </w:p>
    <w:p w14:paraId="7DD2CBEB" w14:textId="77777777" w:rsidR="00BD211C" w:rsidRPr="002B016D" w:rsidRDefault="00BD211C" w:rsidP="00BD211C">
      <w:pPr>
        <w:jc w:val="both"/>
        <w:rPr>
          <w:b w:val="0"/>
          <w:bCs w:val="0"/>
        </w:rPr>
      </w:pPr>
      <w:r w:rsidRPr="002B016D">
        <w:rPr>
          <w:b w:val="0"/>
          <w:bCs w:val="0"/>
        </w:rPr>
        <w:t xml:space="preserve">Stark, E. (2007) </w:t>
      </w:r>
      <w:r w:rsidRPr="002B016D">
        <w:rPr>
          <w:b w:val="0"/>
          <w:bCs w:val="0"/>
          <w:i/>
          <w:iCs/>
        </w:rPr>
        <w:t>Coercive Control: How Men Entrap Women in Personal Life</w:t>
      </w:r>
      <w:r w:rsidRPr="002B016D">
        <w:rPr>
          <w:b w:val="0"/>
          <w:bCs w:val="0"/>
        </w:rPr>
        <w:t>.</w:t>
      </w:r>
      <w:r w:rsidRPr="002B016D">
        <w:t xml:space="preserve"> </w:t>
      </w:r>
      <w:r w:rsidRPr="00D87FC1">
        <w:rPr>
          <w:b w:val="0"/>
          <w:bCs w:val="0"/>
        </w:rPr>
        <w:t>London</w:t>
      </w:r>
      <w:r w:rsidRPr="002B016D">
        <w:t xml:space="preserve">: </w:t>
      </w:r>
      <w:r w:rsidRPr="002B016D">
        <w:rPr>
          <w:b w:val="0"/>
          <w:bCs w:val="0"/>
        </w:rPr>
        <w:t>Oxford University Press.</w:t>
      </w:r>
    </w:p>
    <w:p w14:paraId="1AE5E8C8" w14:textId="77777777" w:rsidR="00BD211C" w:rsidRPr="002B016D" w:rsidRDefault="00BD211C" w:rsidP="00BD211C"/>
    <w:p w14:paraId="011FF2F0" w14:textId="77777777" w:rsidR="00BD211C" w:rsidRPr="002B016D" w:rsidRDefault="00BD211C" w:rsidP="00BD211C">
      <w:pPr>
        <w:rPr>
          <w:b w:val="0"/>
          <w:bCs w:val="0"/>
        </w:rPr>
      </w:pPr>
      <w:r w:rsidRPr="002B016D">
        <w:rPr>
          <w:b w:val="0"/>
          <w:bCs w:val="0"/>
        </w:rPr>
        <w:t xml:space="preserve">Stark, F. (2012) Killing the Unfaithful. </w:t>
      </w:r>
      <w:r w:rsidRPr="002B016D">
        <w:rPr>
          <w:b w:val="0"/>
          <w:bCs w:val="0"/>
          <w:i/>
          <w:iCs/>
        </w:rPr>
        <w:t xml:space="preserve">Cambridge Law Journal, </w:t>
      </w:r>
      <w:r w:rsidRPr="002B016D">
        <w:rPr>
          <w:b w:val="0"/>
          <w:bCs w:val="0"/>
        </w:rPr>
        <w:t>71(2): 260-263.</w:t>
      </w:r>
    </w:p>
    <w:p w14:paraId="41B79018" w14:textId="77777777" w:rsidR="00BD211C" w:rsidRPr="002B016D" w:rsidRDefault="00BD211C" w:rsidP="00BD211C"/>
    <w:p w14:paraId="3A1FB752" w14:textId="77777777" w:rsidR="00BD211C" w:rsidRPr="002B016D" w:rsidRDefault="00BD211C" w:rsidP="00BD211C">
      <w:pPr>
        <w:rPr>
          <w:b w:val="0"/>
          <w:bCs w:val="0"/>
        </w:rPr>
      </w:pPr>
      <w:r w:rsidRPr="002B016D">
        <w:rPr>
          <w:b w:val="0"/>
          <w:bCs w:val="0"/>
        </w:rPr>
        <w:t xml:space="preserve">Storey, T. (2015)  Loss of Control “Sufficient Evidence” Again. </w:t>
      </w:r>
      <w:r w:rsidRPr="002B016D">
        <w:rPr>
          <w:b w:val="0"/>
          <w:bCs w:val="0"/>
          <w:i/>
          <w:iCs/>
        </w:rPr>
        <w:t xml:space="preserve">Journal of Criminal Law, </w:t>
      </w:r>
      <w:r w:rsidRPr="002B016D">
        <w:rPr>
          <w:b w:val="0"/>
          <w:bCs w:val="0"/>
        </w:rPr>
        <w:t>73(3) 154-157.</w:t>
      </w:r>
    </w:p>
    <w:p w14:paraId="6DC8987B" w14:textId="77777777" w:rsidR="00BD211C" w:rsidRPr="002B016D" w:rsidRDefault="00BD211C" w:rsidP="00BD211C">
      <w:pPr>
        <w:rPr>
          <w:b w:val="0"/>
          <w:bCs w:val="0"/>
        </w:rPr>
      </w:pPr>
    </w:p>
    <w:p w14:paraId="438EA2C4" w14:textId="77777777" w:rsidR="00BD211C" w:rsidRPr="002B016D" w:rsidRDefault="00BD211C" w:rsidP="00BD211C">
      <w:pPr>
        <w:rPr>
          <w:b w:val="0"/>
          <w:bCs w:val="0"/>
        </w:rPr>
      </w:pPr>
      <w:r w:rsidRPr="002B016D">
        <w:rPr>
          <w:b w:val="0"/>
          <w:bCs w:val="0"/>
        </w:rPr>
        <w:t xml:space="preserve">Storey, T. (2019) Coercive Control: An Offence but Not a Defence. </w:t>
      </w:r>
      <w:r w:rsidRPr="002B016D">
        <w:rPr>
          <w:b w:val="0"/>
          <w:bCs w:val="0"/>
          <w:i/>
          <w:iCs/>
        </w:rPr>
        <w:t xml:space="preserve">Journal of Criminal Law, </w:t>
      </w:r>
      <w:r w:rsidRPr="002B016D">
        <w:rPr>
          <w:b w:val="0"/>
          <w:bCs w:val="0"/>
        </w:rPr>
        <w:t>83(6): 513-515.</w:t>
      </w:r>
    </w:p>
    <w:p w14:paraId="52070B40" w14:textId="77777777" w:rsidR="00BD211C" w:rsidRPr="002B016D" w:rsidRDefault="00BD211C" w:rsidP="00BD211C">
      <w:pPr>
        <w:rPr>
          <w:b w:val="0"/>
          <w:bCs w:val="0"/>
        </w:rPr>
      </w:pPr>
    </w:p>
    <w:p w14:paraId="73476C1D" w14:textId="77777777" w:rsidR="00BD211C" w:rsidRPr="002B016D" w:rsidRDefault="00BD211C" w:rsidP="00BD211C">
      <w:pPr>
        <w:rPr>
          <w:b w:val="0"/>
          <w:bCs w:val="0"/>
        </w:rPr>
      </w:pPr>
      <w:r w:rsidRPr="002B016D">
        <w:rPr>
          <w:b w:val="0"/>
          <w:bCs w:val="0"/>
        </w:rPr>
        <w:t xml:space="preserve">Wake, N. (2013) Political Rhetoric or Principles Reform of Loss of Control? Anglo-Australian Perspectives on the Exclusionary Conduct Model. </w:t>
      </w:r>
      <w:r w:rsidRPr="002B016D">
        <w:rPr>
          <w:b w:val="0"/>
          <w:bCs w:val="0"/>
          <w:i/>
          <w:iCs/>
        </w:rPr>
        <w:t xml:space="preserve">Journal of Criminal Law, </w:t>
      </w:r>
      <w:r w:rsidRPr="002B016D">
        <w:rPr>
          <w:b w:val="0"/>
          <w:bCs w:val="0"/>
        </w:rPr>
        <w:t>77(6): 512-542.</w:t>
      </w:r>
    </w:p>
    <w:p w14:paraId="160B9AE2" w14:textId="77777777" w:rsidR="00BD211C" w:rsidRPr="002B016D" w:rsidRDefault="00BD211C" w:rsidP="00BD211C">
      <w:pPr>
        <w:rPr>
          <w:b w:val="0"/>
          <w:bCs w:val="0"/>
        </w:rPr>
      </w:pPr>
    </w:p>
    <w:p w14:paraId="56419DCD" w14:textId="77777777" w:rsidR="00BD211C" w:rsidRPr="002B016D" w:rsidRDefault="00BD211C" w:rsidP="00BD211C">
      <w:pPr>
        <w:rPr>
          <w:b w:val="0"/>
          <w:bCs w:val="0"/>
        </w:rPr>
      </w:pPr>
      <w:r w:rsidRPr="002B016D">
        <w:rPr>
          <w:b w:val="0"/>
          <w:bCs w:val="0"/>
        </w:rPr>
        <w:t xml:space="preserve">Wake, N. (2012) Loss of Control Beyond Sexual Infidelity. </w:t>
      </w:r>
      <w:r w:rsidRPr="002B016D">
        <w:rPr>
          <w:b w:val="0"/>
          <w:bCs w:val="0"/>
          <w:i/>
          <w:iCs/>
        </w:rPr>
        <w:t xml:space="preserve">Journal of Criminal Law, </w:t>
      </w:r>
      <w:r w:rsidRPr="002B016D">
        <w:rPr>
          <w:b w:val="0"/>
          <w:bCs w:val="0"/>
        </w:rPr>
        <w:t>76(3): 193-197.</w:t>
      </w:r>
    </w:p>
    <w:p w14:paraId="2E4FA92D" w14:textId="77777777" w:rsidR="00BD211C" w:rsidRPr="002B016D" w:rsidRDefault="00BD211C" w:rsidP="00BD211C">
      <w:pPr>
        <w:rPr>
          <w:b w:val="0"/>
          <w:bCs w:val="0"/>
        </w:rPr>
      </w:pPr>
    </w:p>
    <w:p w14:paraId="4119E5CF" w14:textId="77777777" w:rsidR="00BD211C" w:rsidRPr="002B016D" w:rsidRDefault="00BD211C" w:rsidP="00BD211C">
      <w:pPr>
        <w:rPr>
          <w:b w:val="0"/>
          <w:bCs w:val="0"/>
        </w:rPr>
      </w:pPr>
      <w:r w:rsidRPr="002B016D">
        <w:rPr>
          <w:b w:val="0"/>
          <w:bCs w:val="0"/>
        </w:rPr>
        <w:t xml:space="preserve">Withey, C. (2011) Loss of Control, Loss of Opportunity? </w:t>
      </w:r>
      <w:r w:rsidRPr="002B016D">
        <w:rPr>
          <w:b w:val="0"/>
          <w:bCs w:val="0"/>
          <w:i/>
          <w:iCs/>
        </w:rPr>
        <w:t xml:space="preserve">Criminal Law Review, </w:t>
      </w:r>
      <w:r w:rsidRPr="002B016D">
        <w:rPr>
          <w:b w:val="0"/>
          <w:bCs w:val="0"/>
        </w:rPr>
        <w:t>4: 463-279.</w:t>
      </w:r>
    </w:p>
    <w:p w14:paraId="19921476" w14:textId="77777777" w:rsidR="00BD211C" w:rsidRPr="002B016D" w:rsidRDefault="00BD211C" w:rsidP="00BD211C"/>
    <w:p w14:paraId="1427B9AD" w14:textId="77777777" w:rsidR="00BD211C" w:rsidRPr="002B016D" w:rsidRDefault="00BD211C" w:rsidP="00BD211C">
      <w:pPr>
        <w:rPr>
          <w:b w:val="0"/>
          <w:bCs w:val="0"/>
        </w:rPr>
      </w:pPr>
      <w:r w:rsidRPr="002B016D">
        <w:rPr>
          <w:b w:val="0"/>
          <w:bCs w:val="0"/>
        </w:rPr>
        <w:t xml:space="preserve">Young, A. (1991) Conjugal Homicide and Legal Violence: A Comparative Analysis. </w:t>
      </w:r>
      <w:r w:rsidRPr="002B016D">
        <w:rPr>
          <w:b w:val="0"/>
          <w:bCs w:val="0"/>
          <w:i/>
          <w:iCs/>
        </w:rPr>
        <w:t>Osgoode Hall Law Journal,</w:t>
      </w:r>
      <w:r w:rsidRPr="002B016D">
        <w:rPr>
          <w:b w:val="0"/>
          <w:bCs w:val="0"/>
        </w:rPr>
        <w:t xml:space="preserve"> 31(4): 761-808.</w:t>
      </w:r>
    </w:p>
    <w:p w14:paraId="79EFB382" w14:textId="77777777" w:rsidR="00BD211C" w:rsidRPr="00BD211C" w:rsidRDefault="00BD211C">
      <w:pPr>
        <w:pStyle w:val="EndnoteText"/>
        <w:rPr>
          <w:b w:val="0"/>
          <w:bCs w:val="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577614"/>
      <w:docPartObj>
        <w:docPartGallery w:val="Page Numbers (Bottom of Page)"/>
        <w:docPartUnique/>
      </w:docPartObj>
    </w:sdtPr>
    <w:sdtEndPr>
      <w:rPr>
        <w:b w:val="0"/>
        <w:bCs w:val="0"/>
        <w:noProof/>
      </w:rPr>
    </w:sdtEndPr>
    <w:sdtContent>
      <w:p w14:paraId="29681747" w14:textId="71139180" w:rsidR="006E6F65" w:rsidRPr="006E6F65" w:rsidRDefault="006E6F65">
        <w:pPr>
          <w:pStyle w:val="Footer"/>
          <w:jc w:val="center"/>
          <w:rPr>
            <w:b w:val="0"/>
            <w:bCs w:val="0"/>
          </w:rPr>
        </w:pPr>
        <w:r w:rsidRPr="006E6F65">
          <w:rPr>
            <w:b w:val="0"/>
            <w:bCs w:val="0"/>
          </w:rPr>
          <w:fldChar w:fldCharType="begin"/>
        </w:r>
        <w:r w:rsidRPr="006E6F65">
          <w:rPr>
            <w:b w:val="0"/>
            <w:bCs w:val="0"/>
          </w:rPr>
          <w:instrText xml:space="preserve"> PAGE   \* MERGEFORMAT </w:instrText>
        </w:r>
        <w:r w:rsidRPr="006E6F65">
          <w:rPr>
            <w:b w:val="0"/>
            <w:bCs w:val="0"/>
          </w:rPr>
          <w:fldChar w:fldCharType="separate"/>
        </w:r>
        <w:r w:rsidRPr="006E6F65">
          <w:rPr>
            <w:b w:val="0"/>
            <w:bCs w:val="0"/>
            <w:noProof/>
          </w:rPr>
          <w:t>2</w:t>
        </w:r>
        <w:r w:rsidRPr="006E6F65">
          <w:rPr>
            <w:b w:val="0"/>
            <w:bCs w:val="0"/>
            <w:noProof/>
          </w:rPr>
          <w:fldChar w:fldCharType="end"/>
        </w:r>
      </w:p>
    </w:sdtContent>
  </w:sdt>
  <w:p w14:paraId="0E932CE5" w14:textId="77777777" w:rsidR="0079539E" w:rsidRPr="006E6F65" w:rsidRDefault="0079539E">
    <w:pPr>
      <w:pStyle w:val="Footer"/>
      <w:rPr>
        <w:b w:val="0"/>
        <w:b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34D28" w14:textId="77777777" w:rsidR="0079177A" w:rsidRDefault="0079177A" w:rsidP="00373452">
      <w:r>
        <w:separator/>
      </w:r>
    </w:p>
  </w:footnote>
  <w:footnote w:type="continuationSeparator" w:id="0">
    <w:p w14:paraId="12929AEE" w14:textId="77777777" w:rsidR="0079177A" w:rsidRDefault="0079177A" w:rsidP="003734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D87D13"/>
    <w:multiLevelType w:val="hybridMultilevel"/>
    <w:tmpl w:val="488C71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1863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258"/>
    <w:rsid w:val="00001670"/>
    <w:rsid w:val="00002283"/>
    <w:rsid w:val="00002509"/>
    <w:rsid w:val="0000374E"/>
    <w:rsid w:val="00003CEB"/>
    <w:rsid w:val="000041C0"/>
    <w:rsid w:val="000058F2"/>
    <w:rsid w:val="00006218"/>
    <w:rsid w:val="0000680F"/>
    <w:rsid w:val="000075A4"/>
    <w:rsid w:val="00007736"/>
    <w:rsid w:val="00007A11"/>
    <w:rsid w:val="00007CC9"/>
    <w:rsid w:val="000104F8"/>
    <w:rsid w:val="00010627"/>
    <w:rsid w:val="0001068D"/>
    <w:rsid w:val="00012025"/>
    <w:rsid w:val="000126F2"/>
    <w:rsid w:val="00012B39"/>
    <w:rsid w:val="00013290"/>
    <w:rsid w:val="00014174"/>
    <w:rsid w:val="00014BFB"/>
    <w:rsid w:val="00016157"/>
    <w:rsid w:val="000161EB"/>
    <w:rsid w:val="00017465"/>
    <w:rsid w:val="000176D2"/>
    <w:rsid w:val="000206C0"/>
    <w:rsid w:val="00021094"/>
    <w:rsid w:val="0002660E"/>
    <w:rsid w:val="00027384"/>
    <w:rsid w:val="00027A7C"/>
    <w:rsid w:val="00027B6E"/>
    <w:rsid w:val="00031CF1"/>
    <w:rsid w:val="00032A1E"/>
    <w:rsid w:val="00032C56"/>
    <w:rsid w:val="00032DCD"/>
    <w:rsid w:val="00033477"/>
    <w:rsid w:val="00033D13"/>
    <w:rsid w:val="00034B51"/>
    <w:rsid w:val="00036003"/>
    <w:rsid w:val="0004120A"/>
    <w:rsid w:val="00041853"/>
    <w:rsid w:val="000418FD"/>
    <w:rsid w:val="0004258C"/>
    <w:rsid w:val="00043FE2"/>
    <w:rsid w:val="00044400"/>
    <w:rsid w:val="00044A9A"/>
    <w:rsid w:val="000450F3"/>
    <w:rsid w:val="0004528A"/>
    <w:rsid w:val="00045732"/>
    <w:rsid w:val="0004594D"/>
    <w:rsid w:val="00045B2E"/>
    <w:rsid w:val="00046DFB"/>
    <w:rsid w:val="00046E2A"/>
    <w:rsid w:val="00047264"/>
    <w:rsid w:val="00047309"/>
    <w:rsid w:val="00047B9E"/>
    <w:rsid w:val="0005093B"/>
    <w:rsid w:val="00050C09"/>
    <w:rsid w:val="00051204"/>
    <w:rsid w:val="00051581"/>
    <w:rsid w:val="000523D8"/>
    <w:rsid w:val="00052F06"/>
    <w:rsid w:val="00052FB4"/>
    <w:rsid w:val="00053984"/>
    <w:rsid w:val="00054926"/>
    <w:rsid w:val="00056050"/>
    <w:rsid w:val="0005605B"/>
    <w:rsid w:val="000561D0"/>
    <w:rsid w:val="0005629D"/>
    <w:rsid w:val="000570C3"/>
    <w:rsid w:val="00057B00"/>
    <w:rsid w:val="00061CA1"/>
    <w:rsid w:val="000626A8"/>
    <w:rsid w:val="00062E12"/>
    <w:rsid w:val="000632BA"/>
    <w:rsid w:val="00064F77"/>
    <w:rsid w:val="00065D82"/>
    <w:rsid w:val="00065FD0"/>
    <w:rsid w:val="000717BC"/>
    <w:rsid w:val="000740B6"/>
    <w:rsid w:val="00074B1D"/>
    <w:rsid w:val="000765D0"/>
    <w:rsid w:val="00077F19"/>
    <w:rsid w:val="00080265"/>
    <w:rsid w:val="0008091C"/>
    <w:rsid w:val="00081735"/>
    <w:rsid w:val="000818B4"/>
    <w:rsid w:val="00082FE3"/>
    <w:rsid w:val="00084512"/>
    <w:rsid w:val="0008510B"/>
    <w:rsid w:val="000855A5"/>
    <w:rsid w:val="00085B70"/>
    <w:rsid w:val="00086EDA"/>
    <w:rsid w:val="0008723E"/>
    <w:rsid w:val="00087D31"/>
    <w:rsid w:val="00087E13"/>
    <w:rsid w:val="000907CB"/>
    <w:rsid w:val="000915D4"/>
    <w:rsid w:val="0009240A"/>
    <w:rsid w:val="000926EA"/>
    <w:rsid w:val="00092A38"/>
    <w:rsid w:val="0009387F"/>
    <w:rsid w:val="00094328"/>
    <w:rsid w:val="0009540A"/>
    <w:rsid w:val="0009557E"/>
    <w:rsid w:val="00096CA8"/>
    <w:rsid w:val="00097A27"/>
    <w:rsid w:val="000A0395"/>
    <w:rsid w:val="000A1016"/>
    <w:rsid w:val="000A1AD3"/>
    <w:rsid w:val="000A2973"/>
    <w:rsid w:val="000A3FBB"/>
    <w:rsid w:val="000A48B4"/>
    <w:rsid w:val="000A503C"/>
    <w:rsid w:val="000A5A5A"/>
    <w:rsid w:val="000A7FD7"/>
    <w:rsid w:val="000B16F9"/>
    <w:rsid w:val="000B1868"/>
    <w:rsid w:val="000B2013"/>
    <w:rsid w:val="000B2DE4"/>
    <w:rsid w:val="000B4F19"/>
    <w:rsid w:val="000B5028"/>
    <w:rsid w:val="000B51C7"/>
    <w:rsid w:val="000B5294"/>
    <w:rsid w:val="000B574F"/>
    <w:rsid w:val="000B7921"/>
    <w:rsid w:val="000B7D72"/>
    <w:rsid w:val="000C03D2"/>
    <w:rsid w:val="000C4BC0"/>
    <w:rsid w:val="000C5A04"/>
    <w:rsid w:val="000C6696"/>
    <w:rsid w:val="000D0264"/>
    <w:rsid w:val="000D0971"/>
    <w:rsid w:val="000D1739"/>
    <w:rsid w:val="000D24C2"/>
    <w:rsid w:val="000D33AC"/>
    <w:rsid w:val="000D390F"/>
    <w:rsid w:val="000D3D44"/>
    <w:rsid w:val="000D4BC4"/>
    <w:rsid w:val="000D5297"/>
    <w:rsid w:val="000D5D6D"/>
    <w:rsid w:val="000D6B72"/>
    <w:rsid w:val="000D6C1E"/>
    <w:rsid w:val="000D746F"/>
    <w:rsid w:val="000D798C"/>
    <w:rsid w:val="000D7DF6"/>
    <w:rsid w:val="000E0450"/>
    <w:rsid w:val="000E1160"/>
    <w:rsid w:val="000E19B7"/>
    <w:rsid w:val="000E1F37"/>
    <w:rsid w:val="000E28E9"/>
    <w:rsid w:val="000E2C8F"/>
    <w:rsid w:val="000E39B9"/>
    <w:rsid w:val="000E41AF"/>
    <w:rsid w:val="000E43E4"/>
    <w:rsid w:val="000E501B"/>
    <w:rsid w:val="000E68DD"/>
    <w:rsid w:val="000E6EEC"/>
    <w:rsid w:val="000E734C"/>
    <w:rsid w:val="000F0E9F"/>
    <w:rsid w:val="000F1124"/>
    <w:rsid w:val="000F5A24"/>
    <w:rsid w:val="000F5B25"/>
    <w:rsid w:val="000F5FB1"/>
    <w:rsid w:val="000F6B97"/>
    <w:rsid w:val="000F6C67"/>
    <w:rsid w:val="000F76D4"/>
    <w:rsid w:val="000F7807"/>
    <w:rsid w:val="000F7860"/>
    <w:rsid w:val="000F7D70"/>
    <w:rsid w:val="001005E3"/>
    <w:rsid w:val="00101A95"/>
    <w:rsid w:val="00103110"/>
    <w:rsid w:val="001033DD"/>
    <w:rsid w:val="0010447E"/>
    <w:rsid w:val="001048AA"/>
    <w:rsid w:val="001049FC"/>
    <w:rsid w:val="001057AA"/>
    <w:rsid w:val="001057F7"/>
    <w:rsid w:val="001062D7"/>
    <w:rsid w:val="00106377"/>
    <w:rsid w:val="0010653F"/>
    <w:rsid w:val="00106AAC"/>
    <w:rsid w:val="001102AB"/>
    <w:rsid w:val="00111636"/>
    <w:rsid w:val="00111671"/>
    <w:rsid w:val="00112A44"/>
    <w:rsid w:val="001130C0"/>
    <w:rsid w:val="001138F2"/>
    <w:rsid w:val="00113F57"/>
    <w:rsid w:val="00116AC3"/>
    <w:rsid w:val="00121232"/>
    <w:rsid w:val="001212E5"/>
    <w:rsid w:val="001213B3"/>
    <w:rsid w:val="00121E0F"/>
    <w:rsid w:val="001227C4"/>
    <w:rsid w:val="00123586"/>
    <w:rsid w:val="001251B9"/>
    <w:rsid w:val="0012582E"/>
    <w:rsid w:val="0012645B"/>
    <w:rsid w:val="001308F8"/>
    <w:rsid w:val="00131C52"/>
    <w:rsid w:val="001336C7"/>
    <w:rsid w:val="00133B43"/>
    <w:rsid w:val="00135782"/>
    <w:rsid w:val="00136076"/>
    <w:rsid w:val="001361D9"/>
    <w:rsid w:val="001368CE"/>
    <w:rsid w:val="00136BB8"/>
    <w:rsid w:val="00136DD2"/>
    <w:rsid w:val="0014058E"/>
    <w:rsid w:val="0014119F"/>
    <w:rsid w:val="001416B6"/>
    <w:rsid w:val="00142BC9"/>
    <w:rsid w:val="001431CA"/>
    <w:rsid w:val="001437AF"/>
    <w:rsid w:val="001457EE"/>
    <w:rsid w:val="00147671"/>
    <w:rsid w:val="0015067B"/>
    <w:rsid w:val="0015239B"/>
    <w:rsid w:val="00154DCE"/>
    <w:rsid w:val="00154ED7"/>
    <w:rsid w:val="00154EF0"/>
    <w:rsid w:val="001552AC"/>
    <w:rsid w:val="0015594D"/>
    <w:rsid w:val="00155AF0"/>
    <w:rsid w:val="001576D1"/>
    <w:rsid w:val="00157E9A"/>
    <w:rsid w:val="00157EB6"/>
    <w:rsid w:val="00160262"/>
    <w:rsid w:val="001612B3"/>
    <w:rsid w:val="00161C0E"/>
    <w:rsid w:val="00162990"/>
    <w:rsid w:val="00163FDC"/>
    <w:rsid w:val="00164A9B"/>
    <w:rsid w:val="001655F9"/>
    <w:rsid w:val="0016775C"/>
    <w:rsid w:val="0016785A"/>
    <w:rsid w:val="0017050D"/>
    <w:rsid w:val="001727BC"/>
    <w:rsid w:val="001729EC"/>
    <w:rsid w:val="00172E38"/>
    <w:rsid w:val="001739AF"/>
    <w:rsid w:val="0017443B"/>
    <w:rsid w:val="00174B0A"/>
    <w:rsid w:val="001766A4"/>
    <w:rsid w:val="0017737A"/>
    <w:rsid w:val="00177A88"/>
    <w:rsid w:val="00180FE7"/>
    <w:rsid w:val="00182E47"/>
    <w:rsid w:val="001839D1"/>
    <w:rsid w:val="00183BCC"/>
    <w:rsid w:val="001849C5"/>
    <w:rsid w:val="00184C12"/>
    <w:rsid w:val="00184F7E"/>
    <w:rsid w:val="0018542E"/>
    <w:rsid w:val="001909B8"/>
    <w:rsid w:val="001919EF"/>
    <w:rsid w:val="001929D4"/>
    <w:rsid w:val="0019345D"/>
    <w:rsid w:val="00193C30"/>
    <w:rsid w:val="00193E94"/>
    <w:rsid w:val="00196048"/>
    <w:rsid w:val="00196118"/>
    <w:rsid w:val="00197202"/>
    <w:rsid w:val="001A1FEC"/>
    <w:rsid w:val="001A273D"/>
    <w:rsid w:val="001A354C"/>
    <w:rsid w:val="001A3924"/>
    <w:rsid w:val="001A780E"/>
    <w:rsid w:val="001B1271"/>
    <w:rsid w:val="001B141E"/>
    <w:rsid w:val="001B1D58"/>
    <w:rsid w:val="001B5220"/>
    <w:rsid w:val="001B6230"/>
    <w:rsid w:val="001C0967"/>
    <w:rsid w:val="001C18DF"/>
    <w:rsid w:val="001C3B9E"/>
    <w:rsid w:val="001C3DDA"/>
    <w:rsid w:val="001C5881"/>
    <w:rsid w:val="001C58E8"/>
    <w:rsid w:val="001C6F96"/>
    <w:rsid w:val="001D018F"/>
    <w:rsid w:val="001D24E1"/>
    <w:rsid w:val="001D2607"/>
    <w:rsid w:val="001D367B"/>
    <w:rsid w:val="001D3DBD"/>
    <w:rsid w:val="001D4B90"/>
    <w:rsid w:val="001D52BF"/>
    <w:rsid w:val="001D573F"/>
    <w:rsid w:val="001D576D"/>
    <w:rsid w:val="001D5E05"/>
    <w:rsid w:val="001D6A12"/>
    <w:rsid w:val="001E01C9"/>
    <w:rsid w:val="001E0C59"/>
    <w:rsid w:val="001E0F56"/>
    <w:rsid w:val="001E1F04"/>
    <w:rsid w:val="001E1FD2"/>
    <w:rsid w:val="001E360A"/>
    <w:rsid w:val="001E4F15"/>
    <w:rsid w:val="001E52B3"/>
    <w:rsid w:val="001E5567"/>
    <w:rsid w:val="001E6F71"/>
    <w:rsid w:val="001E734D"/>
    <w:rsid w:val="001E7CDF"/>
    <w:rsid w:val="001E7E1E"/>
    <w:rsid w:val="001F0007"/>
    <w:rsid w:val="001F145B"/>
    <w:rsid w:val="001F2291"/>
    <w:rsid w:val="001F4381"/>
    <w:rsid w:val="001F444F"/>
    <w:rsid w:val="001F5E52"/>
    <w:rsid w:val="001F6B45"/>
    <w:rsid w:val="001F6C65"/>
    <w:rsid w:val="001F7A95"/>
    <w:rsid w:val="00200A5C"/>
    <w:rsid w:val="00200CA5"/>
    <w:rsid w:val="00201F65"/>
    <w:rsid w:val="00202BDF"/>
    <w:rsid w:val="002033FB"/>
    <w:rsid w:val="0020440C"/>
    <w:rsid w:val="0020796B"/>
    <w:rsid w:val="00210CDB"/>
    <w:rsid w:val="002119D4"/>
    <w:rsid w:val="00213AF0"/>
    <w:rsid w:val="00214775"/>
    <w:rsid w:val="0021621D"/>
    <w:rsid w:val="00217042"/>
    <w:rsid w:val="002210C8"/>
    <w:rsid w:val="002210EE"/>
    <w:rsid w:val="0022216B"/>
    <w:rsid w:val="00222413"/>
    <w:rsid w:val="00222751"/>
    <w:rsid w:val="00222B48"/>
    <w:rsid w:val="00223373"/>
    <w:rsid w:val="00223C18"/>
    <w:rsid w:val="002245A3"/>
    <w:rsid w:val="002254D3"/>
    <w:rsid w:val="00225F32"/>
    <w:rsid w:val="0022712D"/>
    <w:rsid w:val="00233964"/>
    <w:rsid w:val="00234AE2"/>
    <w:rsid w:val="00234AF2"/>
    <w:rsid w:val="002352EF"/>
    <w:rsid w:val="0023626F"/>
    <w:rsid w:val="00236735"/>
    <w:rsid w:val="00236C68"/>
    <w:rsid w:val="00237B08"/>
    <w:rsid w:val="00237DC7"/>
    <w:rsid w:val="00240C64"/>
    <w:rsid w:val="002413AF"/>
    <w:rsid w:val="0024155E"/>
    <w:rsid w:val="002419C8"/>
    <w:rsid w:val="0024438D"/>
    <w:rsid w:val="002466CA"/>
    <w:rsid w:val="00247D49"/>
    <w:rsid w:val="00247F23"/>
    <w:rsid w:val="002506BD"/>
    <w:rsid w:val="0025116E"/>
    <w:rsid w:val="002511D5"/>
    <w:rsid w:val="00251F7F"/>
    <w:rsid w:val="00252B42"/>
    <w:rsid w:val="00252C23"/>
    <w:rsid w:val="00252F80"/>
    <w:rsid w:val="00253BA2"/>
    <w:rsid w:val="00254398"/>
    <w:rsid w:val="00254C67"/>
    <w:rsid w:val="00256F5A"/>
    <w:rsid w:val="002574C9"/>
    <w:rsid w:val="00261BCB"/>
    <w:rsid w:val="00262BBD"/>
    <w:rsid w:val="00263595"/>
    <w:rsid w:val="00263805"/>
    <w:rsid w:val="00264052"/>
    <w:rsid w:val="002642C5"/>
    <w:rsid w:val="0026584B"/>
    <w:rsid w:val="0026771E"/>
    <w:rsid w:val="00270678"/>
    <w:rsid w:val="002707DB"/>
    <w:rsid w:val="00271717"/>
    <w:rsid w:val="00271F65"/>
    <w:rsid w:val="002722EF"/>
    <w:rsid w:val="00272413"/>
    <w:rsid w:val="0027681B"/>
    <w:rsid w:val="0028035C"/>
    <w:rsid w:val="00280951"/>
    <w:rsid w:val="0028166A"/>
    <w:rsid w:val="00281B57"/>
    <w:rsid w:val="00281D4B"/>
    <w:rsid w:val="00283282"/>
    <w:rsid w:val="00284112"/>
    <w:rsid w:val="002844EF"/>
    <w:rsid w:val="00285261"/>
    <w:rsid w:val="002861B5"/>
    <w:rsid w:val="00290429"/>
    <w:rsid w:val="00290E68"/>
    <w:rsid w:val="00291896"/>
    <w:rsid w:val="00291D1A"/>
    <w:rsid w:val="00292972"/>
    <w:rsid w:val="002954B3"/>
    <w:rsid w:val="00296646"/>
    <w:rsid w:val="002A0537"/>
    <w:rsid w:val="002A0763"/>
    <w:rsid w:val="002A1FF8"/>
    <w:rsid w:val="002A2522"/>
    <w:rsid w:val="002A4BBD"/>
    <w:rsid w:val="002A5FE5"/>
    <w:rsid w:val="002A605A"/>
    <w:rsid w:val="002A6DF6"/>
    <w:rsid w:val="002A7B9F"/>
    <w:rsid w:val="002B016D"/>
    <w:rsid w:val="002B25FF"/>
    <w:rsid w:val="002B4390"/>
    <w:rsid w:val="002B4CEC"/>
    <w:rsid w:val="002B769A"/>
    <w:rsid w:val="002B7A84"/>
    <w:rsid w:val="002C0168"/>
    <w:rsid w:val="002C1131"/>
    <w:rsid w:val="002C1404"/>
    <w:rsid w:val="002C2B0E"/>
    <w:rsid w:val="002C330F"/>
    <w:rsid w:val="002C3BA1"/>
    <w:rsid w:val="002C5F29"/>
    <w:rsid w:val="002C65A4"/>
    <w:rsid w:val="002C77C0"/>
    <w:rsid w:val="002C77EF"/>
    <w:rsid w:val="002D01B8"/>
    <w:rsid w:val="002D0D04"/>
    <w:rsid w:val="002D294A"/>
    <w:rsid w:val="002D2BCC"/>
    <w:rsid w:val="002D47D4"/>
    <w:rsid w:val="002D5483"/>
    <w:rsid w:val="002D735D"/>
    <w:rsid w:val="002E036F"/>
    <w:rsid w:val="002E03B8"/>
    <w:rsid w:val="002E077E"/>
    <w:rsid w:val="002E0C7D"/>
    <w:rsid w:val="002E3D6A"/>
    <w:rsid w:val="002E415C"/>
    <w:rsid w:val="002E44C8"/>
    <w:rsid w:val="002E544C"/>
    <w:rsid w:val="002E5A8B"/>
    <w:rsid w:val="002E61E1"/>
    <w:rsid w:val="002E75FA"/>
    <w:rsid w:val="002E7A76"/>
    <w:rsid w:val="002E7F2E"/>
    <w:rsid w:val="002F08BA"/>
    <w:rsid w:val="002F25CA"/>
    <w:rsid w:val="002F30F2"/>
    <w:rsid w:val="002F34A4"/>
    <w:rsid w:val="002F4244"/>
    <w:rsid w:val="002F42C8"/>
    <w:rsid w:val="002F44BF"/>
    <w:rsid w:val="002F580B"/>
    <w:rsid w:val="002F6C87"/>
    <w:rsid w:val="002F7608"/>
    <w:rsid w:val="00300262"/>
    <w:rsid w:val="00305825"/>
    <w:rsid w:val="00307DF4"/>
    <w:rsid w:val="003115D5"/>
    <w:rsid w:val="003124E0"/>
    <w:rsid w:val="0031335B"/>
    <w:rsid w:val="0031446E"/>
    <w:rsid w:val="00315E40"/>
    <w:rsid w:val="0031614D"/>
    <w:rsid w:val="0031616B"/>
    <w:rsid w:val="003161EE"/>
    <w:rsid w:val="00317484"/>
    <w:rsid w:val="00320D2F"/>
    <w:rsid w:val="00321BA0"/>
    <w:rsid w:val="00322018"/>
    <w:rsid w:val="003256F7"/>
    <w:rsid w:val="00327019"/>
    <w:rsid w:val="00327F81"/>
    <w:rsid w:val="00330D96"/>
    <w:rsid w:val="003312CF"/>
    <w:rsid w:val="003322BB"/>
    <w:rsid w:val="00332A41"/>
    <w:rsid w:val="00333377"/>
    <w:rsid w:val="00333C1E"/>
    <w:rsid w:val="00333CC1"/>
    <w:rsid w:val="003358A6"/>
    <w:rsid w:val="003376EB"/>
    <w:rsid w:val="00341545"/>
    <w:rsid w:val="00341C46"/>
    <w:rsid w:val="00342175"/>
    <w:rsid w:val="00342BBA"/>
    <w:rsid w:val="003431FE"/>
    <w:rsid w:val="00344939"/>
    <w:rsid w:val="00345002"/>
    <w:rsid w:val="0034570A"/>
    <w:rsid w:val="00345908"/>
    <w:rsid w:val="00345C56"/>
    <w:rsid w:val="00346B95"/>
    <w:rsid w:val="00350865"/>
    <w:rsid w:val="00350A6C"/>
    <w:rsid w:val="00353A21"/>
    <w:rsid w:val="00353C86"/>
    <w:rsid w:val="003544F9"/>
    <w:rsid w:val="003550B5"/>
    <w:rsid w:val="00355426"/>
    <w:rsid w:val="00356D76"/>
    <w:rsid w:val="00356E64"/>
    <w:rsid w:val="0035748D"/>
    <w:rsid w:val="00357623"/>
    <w:rsid w:val="0035778C"/>
    <w:rsid w:val="00360031"/>
    <w:rsid w:val="003610C6"/>
    <w:rsid w:val="00361452"/>
    <w:rsid w:val="003617C2"/>
    <w:rsid w:val="003618C5"/>
    <w:rsid w:val="00361C3A"/>
    <w:rsid w:val="00361FFF"/>
    <w:rsid w:val="00362AF6"/>
    <w:rsid w:val="00362FBD"/>
    <w:rsid w:val="00363BAE"/>
    <w:rsid w:val="003648FE"/>
    <w:rsid w:val="003677D0"/>
    <w:rsid w:val="00367A22"/>
    <w:rsid w:val="00370EEA"/>
    <w:rsid w:val="00372498"/>
    <w:rsid w:val="00372A22"/>
    <w:rsid w:val="00372D74"/>
    <w:rsid w:val="0037316D"/>
    <w:rsid w:val="00373452"/>
    <w:rsid w:val="00373494"/>
    <w:rsid w:val="00374906"/>
    <w:rsid w:val="003749E9"/>
    <w:rsid w:val="00375CD4"/>
    <w:rsid w:val="00376243"/>
    <w:rsid w:val="003768F7"/>
    <w:rsid w:val="00380350"/>
    <w:rsid w:val="00380D0E"/>
    <w:rsid w:val="00381500"/>
    <w:rsid w:val="0038209E"/>
    <w:rsid w:val="00382C05"/>
    <w:rsid w:val="00382E90"/>
    <w:rsid w:val="003835A8"/>
    <w:rsid w:val="00383B2A"/>
    <w:rsid w:val="003858F5"/>
    <w:rsid w:val="00385AF5"/>
    <w:rsid w:val="003864DD"/>
    <w:rsid w:val="00386A9D"/>
    <w:rsid w:val="00387765"/>
    <w:rsid w:val="00390233"/>
    <w:rsid w:val="00391142"/>
    <w:rsid w:val="003926B2"/>
    <w:rsid w:val="00393C90"/>
    <w:rsid w:val="00395301"/>
    <w:rsid w:val="003968A7"/>
    <w:rsid w:val="003976C1"/>
    <w:rsid w:val="003A1BE4"/>
    <w:rsid w:val="003A1DF0"/>
    <w:rsid w:val="003A439B"/>
    <w:rsid w:val="003A45EE"/>
    <w:rsid w:val="003A534A"/>
    <w:rsid w:val="003A5EDC"/>
    <w:rsid w:val="003A68C1"/>
    <w:rsid w:val="003A6C3B"/>
    <w:rsid w:val="003A6DED"/>
    <w:rsid w:val="003A790F"/>
    <w:rsid w:val="003A7DDC"/>
    <w:rsid w:val="003B0411"/>
    <w:rsid w:val="003B08C3"/>
    <w:rsid w:val="003B1044"/>
    <w:rsid w:val="003B1243"/>
    <w:rsid w:val="003B2EC1"/>
    <w:rsid w:val="003B3084"/>
    <w:rsid w:val="003B3DDE"/>
    <w:rsid w:val="003B4FA9"/>
    <w:rsid w:val="003B4FBC"/>
    <w:rsid w:val="003B5129"/>
    <w:rsid w:val="003B5713"/>
    <w:rsid w:val="003B5D3E"/>
    <w:rsid w:val="003B615E"/>
    <w:rsid w:val="003B634F"/>
    <w:rsid w:val="003B69C3"/>
    <w:rsid w:val="003B7FB0"/>
    <w:rsid w:val="003C0241"/>
    <w:rsid w:val="003C0A0F"/>
    <w:rsid w:val="003C1F0D"/>
    <w:rsid w:val="003C2644"/>
    <w:rsid w:val="003C3015"/>
    <w:rsid w:val="003C3800"/>
    <w:rsid w:val="003C51B9"/>
    <w:rsid w:val="003C5D75"/>
    <w:rsid w:val="003C5F94"/>
    <w:rsid w:val="003C620A"/>
    <w:rsid w:val="003C693D"/>
    <w:rsid w:val="003D0DC0"/>
    <w:rsid w:val="003D1A32"/>
    <w:rsid w:val="003D1A50"/>
    <w:rsid w:val="003D25D4"/>
    <w:rsid w:val="003D5AF0"/>
    <w:rsid w:val="003D736F"/>
    <w:rsid w:val="003D747B"/>
    <w:rsid w:val="003E1FF0"/>
    <w:rsid w:val="003E272A"/>
    <w:rsid w:val="003E3059"/>
    <w:rsid w:val="003E3A6C"/>
    <w:rsid w:val="003E566C"/>
    <w:rsid w:val="003E64F9"/>
    <w:rsid w:val="003E7AA8"/>
    <w:rsid w:val="003F0741"/>
    <w:rsid w:val="003F16B4"/>
    <w:rsid w:val="003F2634"/>
    <w:rsid w:val="003F285C"/>
    <w:rsid w:val="003F2E1C"/>
    <w:rsid w:val="003F3692"/>
    <w:rsid w:val="003F3D97"/>
    <w:rsid w:val="003F40E9"/>
    <w:rsid w:val="003F4234"/>
    <w:rsid w:val="003F4D2A"/>
    <w:rsid w:val="003F57AF"/>
    <w:rsid w:val="003F7FD8"/>
    <w:rsid w:val="00400874"/>
    <w:rsid w:val="00400AC7"/>
    <w:rsid w:val="00400EEA"/>
    <w:rsid w:val="0040123C"/>
    <w:rsid w:val="004013FA"/>
    <w:rsid w:val="00401A53"/>
    <w:rsid w:val="00401CFD"/>
    <w:rsid w:val="004027AE"/>
    <w:rsid w:val="00402E21"/>
    <w:rsid w:val="00403314"/>
    <w:rsid w:val="00403A1E"/>
    <w:rsid w:val="00404494"/>
    <w:rsid w:val="004052B8"/>
    <w:rsid w:val="00405492"/>
    <w:rsid w:val="004054D8"/>
    <w:rsid w:val="00405705"/>
    <w:rsid w:val="004058BC"/>
    <w:rsid w:val="00405EB8"/>
    <w:rsid w:val="00406072"/>
    <w:rsid w:val="00411210"/>
    <w:rsid w:val="00412238"/>
    <w:rsid w:val="00413FB9"/>
    <w:rsid w:val="0042038A"/>
    <w:rsid w:val="00420DDE"/>
    <w:rsid w:val="00421A06"/>
    <w:rsid w:val="00422C67"/>
    <w:rsid w:val="00423386"/>
    <w:rsid w:val="00423F86"/>
    <w:rsid w:val="00424329"/>
    <w:rsid w:val="004243B2"/>
    <w:rsid w:val="0042572C"/>
    <w:rsid w:val="00431008"/>
    <w:rsid w:val="00433758"/>
    <w:rsid w:val="00434607"/>
    <w:rsid w:val="00441F15"/>
    <w:rsid w:val="004424B1"/>
    <w:rsid w:val="00442917"/>
    <w:rsid w:val="00442CC0"/>
    <w:rsid w:val="00443D82"/>
    <w:rsid w:val="00444507"/>
    <w:rsid w:val="0044511F"/>
    <w:rsid w:val="00445C18"/>
    <w:rsid w:val="0044612F"/>
    <w:rsid w:val="004505F1"/>
    <w:rsid w:val="004510D1"/>
    <w:rsid w:val="00451D9A"/>
    <w:rsid w:val="00454A8B"/>
    <w:rsid w:val="00456198"/>
    <w:rsid w:val="0045769C"/>
    <w:rsid w:val="004577A5"/>
    <w:rsid w:val="004606DB"/>
    <w:rsid w:val="00460D98"/>
    <w:rsid w:val="00460FDD"/>
    <w:rsid w:val="00461D27"/>
    <w:rsid w:val="00463F22"/>
    <w:rsid w:val="004654FD"/>
    <w:rsid w:val="0046570A"/>
    <w:rsid w:val="00465727"/>
    <w:rsid w:val="00470882"/>
    <w:rsid w:val="00470A1F"/>
    <w:rsid w:val="00471624"/>
    <w:rsid w:val="00471DFC"/>
    <w:rsid w:val="00472F42"/>
    <w:rsid w:val="004732AE"/>
    <w:rsid w:val="004742FF"/>
    <w:rsid w:val="00476241"/>
    <w:rsid w:val="00476A01"/>
    <w:rsid w:val="00477BAB"/>
    <w:rsid w:val="00477C13"/>
    <w:rsid w:val="004812FB"/>
    <w:rsid w:val="00481EF5"/>
    <w:rsid w:val="004826D0"/>
    <w:rsid w:val="00482965"/>
    <w:rsid w:val="00482C43"/>
    <w:rsid w:val="00482C79"/>
    <w:rsid w:val="00482DB2"/>
    <w:rsid w:val="0048521E"/>
    <w:rsid w:val="00485D99"/>
    <w:rsid w:val="004870C3"/>
    <w:rsid w:val="00487C63"/>
    <w:rsid w:val="00487C68"/>
    <w:rsid w:val="00490442"/>
    <w:rsid w:val="004904E0"/>
    <w:rsid w:val="004916CD"/>
    <w:rsid w:val="00492039"/>
    <w:rsid w:val="00493371"/>
    <w:rsid w:val="004946E0"/>
    <w:rsid w:val="0049564F"/>
    <w:rsid w:val="00495D54"/>
    <w:rsid w:val="00495F77"/>
    <w:rsid w:val="00497294"/>
    <w:rsid w:val="004979EA"/>
    <w:rsid w:val="004A04AF"/>
    <w:rsid w:val="004A0816"/>
    <w:rsid w:val="004A0BB4"/>
    <w:rsid w:val="004A11B6"/>
    <w:rsid w:val="004A15EA"/>
    <w:rsid w:val="004A1902"/>
    <w:rsid w:val="004A39F5"/>
    <w:rsid w:val="004A3E4B"/>
    <w:rsid w:val="004A4F33"/>
    <w:rsid w:val="004A62D2"/>
    <w:rsid w:val="004A6FE7"/>
    <w:rsid w:val="004B27C2"/>
    <w:rsid w:val="004B297E"/>
    <w:rsid w:val="004B2C54"/>
    <w:rsid w:val="004B2E36"/>
    <w:rsid w:val="004B343F"/>
    <w:rsid w:val="004B3D83"/>
    <w:rsid w:val="004B4140"/>
    <w:rsid w:val="004B4EEE"/>
    <w:rsid w:val="004B5D8B"/>
    <w:rsid w:val="004C21DC"/>
    <w:rsid w:val="004C3E1A"/>
    <w:rsid w:val="004C4068"/>
    <w:rsid w:val="004C5F2A"/>
    <w:rsid w:val="004C698C"/>
    <w:rsid w:val="004C752B"/>
    <w:rsid w:val="004D111C"/>
    <w:rsid w:val="004D2786"/>
    <w:rsid w:val="004D2ADB"/>
    <w:rsid w:val="004D2FC8"/>
    <w:rsid w:val="004D3080"/>
    <w:rsid w:val="004D31C2"/>
    <w:rsid w:val="004D3298"/>
    <w:rsid w:val="004D46B3"/>
    <w:rsid w:val="004D4CA4"/>
    <w:rsid w:val="004D5003"/>
    <w:rsid w:val="004D585F"/>
    <w:rsid w:val="004D695B"/>
    <w:rsid w:val="004D7942"/>
    <w:rsid w:val="004E0622"/>
    <w:rsid w:val="004E08CB"/>
    <w:rsid w:val="004E1168"/>
    <w:rsid w:val="004E2CD9"/>
    <w:rsid w:val="004E374E"/>
    <w:rsid w:val="004E4061"/>
    <w:rsid w:val="004E43F6"/>
    <w:rsid w:val="004E45F1"/>
    <w:rsid w:val="004E558C"/>
    <w:rsid w:val="004E5841"/>
    <w:rsid w:val="004E5DBD"/>
    <w:rsid w:val="004E5E98"/>
    <w:rsid w:val="004E6C2E"/>
    <w:rsid w:val="004E7D20"/>
    <w:rsid w:val="004E7E2D"/>
    <w:rsid w:val="004F0775"/>
    <w:rsid w:val="004F1FF1"/>
    <w:rsid w:val="004F325B"/>
    <w:rsid w:val="004F3458"/>
    <w:rsid w:val="004F3639"/>
    <w:rsid w:val="004F3781"/>
    <w:rsid w:val="004F4171"/>
    <w:rsid w:val="004F542A"/>
    <w:rsid w:val="004F6B2B"/>
    <w:rsid w:val="00500123"/>
    <w:rsid w:val="005002CA"/>
    <w:rsid w:val="005002F0"/>
    <w:rsid w:val="0050160A"/>
    <w:rsid w:val="00501734"/>
    <w:rsid w:val="00501F05"/>
    <w:rsid w:val="005022AE"/>
    <w:rsid w:val="0050267D"/>
    <w:rsid w:val="005035AD"/>
    <w:rsid w:val="005035EC"/>
    <w:rsid w:val="00504AAD"/>
    <w:rsid w:val="00504B1D"/>
    <w:rsid w:val="00505A98"/>
    <w:rsid w:val="00505BAB"/>
    <w:rsid w:val="00506C0E"/>
    <w:rsid w:val="00506C8A"/>
    <w:rsid w:val="00506CC6"/>
    <w:rsid w:val="0050786C"/>
    <w:rsid w:val="0051154A"/>
    <w:rsid w:val="00511728"/>
    <w:rsid w:val="005118B6"/>
    <w:rsid w:val="00511C5A"/>
    <w:rsid w:val="00515216"/>
    <w:rsid w:val="005162B0"/>
    <w:rsid w:val="00517FDA"/>
    <w:rsid w:val="00520702"/>
    <w:rsid w:val="00521499"/>
    <w:rsid w:val="00521702"/>
    <w:rsid w:val="00524246"/>
    <w:rsid w:val="00524CA8"/>
    <w:rsid w:val="00525F32"/>
    <w:rsid w:val="005260FF"/>
    <w:rsid w:val="00526284"/>
    <w:rsid w:val="005264A9"/>
    <w:rsid w:val="005265C2"/>
    <w:rsid w:val="00530853"/>
    <w:rsid w:val="00530D32"/>
    <w:rsid w:val="00530E6F"/>
    <w:rsid w:val="00531C8B"/>
    <w:rsid w:val="00532058"/>
    <w:rsid w:val="0053255A"/>
    <w:rsid w:val="00533AA0"/>
    <w:rsid w:val="005345EE"/>
    <w:rsid w:val="0053533A"/>
    <w:rsid w:val="00537053"/>
    <w:rsid w:val="00537337"/>
    <w:rsid w:val="0053776B"/>
    <w:rsid w:val="00537EFC"/>
    <w:rsid w:val="005422D8"/>
    <w:rsid w:val="00545489"/>
    <w:rsid w:val="00545692"/>
    <w:rsid w:val="00546414"/>
    <w:rsid w:val="005466AC"/>
    <w:rsid w:val="00547B32"/>
    <w:rsid w:val="005529FA"/>
    <w:rsid w:val="0055556F"/>
    <w:rsid w:val="00557258"/>
    <w:rsid w:val="00557843"/>
    <w:rsid w:val="00557FD4"/>
    <w:rsid w:val="005602E7"/>
    <w:rsid w:val="00560B9D"/>
    <w:rsid w:val="0056107D"/>
    <w:rsid w:val="005621C4"/>
    <w:rsid w:val="00562BA5"/>
    <w:rsid w:val="005631D5"/>
    <w:rsid w:val="00563432"/>
    <w:rsid w:val="00565054"/>
    <w:rsid w:val="00566D09"/>
    <w:rsid w:val="0056740C"/>
    <w:rsid w:val="00567751"/>
    <w:rsid w:val="00567947"/>
    <w:rsid w:val="00567F6B"/>
    <w:rsid w:val="005704D5"/>
    <w:rsid w:val="0057081E"/>
    <w:rsid w:val="00570FA9"/>
    <w:rsid w:val="005712B1"/>
    <w:rsid w:val="00571368"/>
    <w:rsid w:val="005727C8"/>
    <w:rsid w:val="00572972"/>
    <w:rsid w:val="00575CB4"/>
    <w:rsid w:val="00575EDA"/>
    <w:rsid w:val="005769F1"/>
    <w:rsid w:val="00576D78"/>
    <w:rsid w:val="0057760B"/>
    <w:rsid w:val="00577656"/>
    <w:rsid w:val="00580AC2"/>
    <w:rsid w:val="00580F06"/>
    <w:rsid w:val="0058150B"/>
    <w:rsid w:val="00581A89"/>
    <w:rsid w:val="00581B3F"/>
    <w:rsid w:val="00581C81"/>
    <w:rsid w:val="00581F71"/>
    <w:rsid w:val="0058222F"/>
    <w:rsid w:val="005844B8"/>
    <w:rsid w:val="00584AFA"/>
    <w:rsid w:val="005877CF"/>
    <w:rsid w:val="005905A5"/>
    <w:rsid w:val="00590920"/>
    <w:rsid w:val="00591033"/>
    <w:rsid w:val="005911AE"/>
    <w:rsid w:val="00591531"/>
    <w:rsid w:val="00591DC0"/>
    <w:rsid w:val="00592390"/>
    <w:rsid w:val="00593490"/>
    <w:rsid w:val="005936F4"/>
    <w:rsid w:val="0059453C"/>
    <w:rsid w:val="00594C28"/>
    <w:rsid w:val="005964D5"/>
    <w:rsid w:val="00596573"/>
    <w:rsid w:val="00596CF2"/>
    <w:rsid w:val="00597580"/>
    <w:rsid w:val="005977E9"/>
    <w:rsid w:val="005A044B"/>
    <w:rsid w:val="005A0610"/>
    <w:rsid w:val="005A15C4"/>
    <w:rsid w:val="005A1E0A"/>
    <w:rsid w:val="005A274E"/>
    <w:rsid w:val="005A4413"/>
    <w:rsid w:val="005A4784"/>
    <w:rsid w:val="005A4A37"/>
    <w:rsid w:val="005A72BB"/>
    <w:rsid w:val="005A74B3"/>
    <w:rsid w:val="005A7539"/>
    <w:rsid w:val="005A782A"/>
    <w:rsid w:val="005B2F8B"/>
    <w:rsid w:val="005B4262"/>
    <w:rsid w:val="005B56C6"/>
    <w:rsid w:val="005B63C5"/>
    <w:rsid w:val="005B70FF"/>
    <w:rsid w:val="005B7C45"/>
    <w:rsid w:val="005C07A9"/>
    <w:rsid w:val="005C1955"/>
    <w:rsid w:val="005C1EF1"/>
    <w:rsid w:val="005C279B"/>
    <w:rsid w:val="005C2A63"/>
    <w:rsid w:val="005C2B58"/>
    <w:rsid w:val="005C457B"/>
    <w:rsid w:val="005C5BA8"/>
    <w:rsid w:val="005C5EDC"/>
    <w:rsid w:val="005C690C"/>
    <w:rsid w:val="005D07C7"/>
    <w:rsid w:val="005D1577"/>
    <w:rsid w:val="005D281E"/>
    <w:rsid w:val="005D2DE5"/>
    <w:rsid w:val="005D32A5"/>
    <w:rsid w:val="005D355D"/>
    <w:rsid w:val="005D4544"/>
    <w:rsid w:val="005D5861"/>
    <w:rsid w:val="005D5C6E"/>
    <w:rsid w:val="005D5DFE"/>
    <w:rsid w:val="005D5EE2"/>
    <w:rsid w:val="005D6F0D"/>
    <w:rsid w:val="005D7B7D"/>
    <w:rsid w:val="005D7D8A"/>
    <w:rsid w:val="005E0716"/>
    <w:rsid w:val="005E14C0"/>
    <w:rsid w:val="005E23EB"/>
    <w:rsid w:val="005E29A0"/>
    <w:rsid w:val="005E2AF0"/>
    <w:rsid w:val="005E442A"/>
    <w:rsid w:val="005E508D"/>
    <w:rsid w:val="005E6427"/>
    <w:rsid w:val="005E72C6"/>
    <w:rsid w:val="005E7380"/>
    <w:rsid w:val="005F2BCA"/>
    <w:rsid w:val="005F4B0D"/>
    <w:rsid w:val="005F5029"/>
    <w:rsid w:val="005F5AEA"/>
    <w:rsid w:val="005F6E54"/>
    <w:rsid w:val="005F783B"/>
    <w:rsid w:val="00600E61"/>
    <w:rsid w:val="00600F41"/>
    <w:rsid w:val="006019A0"/>
    <w:rsid w:val="0060365B"/>
    <w:rsid w:val="006039B2"/>
    <w:rsid w:val="006045D6"/>
    <w:rsid w:val="00607D39"/>
    <w:rsid w:val="00607F81"/>
    <w:rsid w:val="00610D20"/>
    <w:rsid w:val="006110B0"/>
    <w:rsid w:val="006114B5"/>
    <w:rsid w:val="0061346F"/>
    <w:rsid w:val="0061361F"/>
    <w:rsid w:val="00614D57"/>
    <w:rsid w:val="00616827"/>
    <w:rsid w:val="00617B2B"/>
    <w:rsid w:val="00620165"/>
    <w:rsid w:val="0062184F"/>
    <w:rsid w:val="00622603"/>
    <w:rsid w:val="00623AAC"/>
    <w:rsid w:val="00625948"/>
    <w:rsid w:val="00626333"/>
    <w:rsid w:val="006307F2"/>
    <w:rsid w:val="00634DC0"/>
    <w:rsid w:val="00636AAE"/>
    <w:rsid w:val="0063718A"/>
    <w:rsid w:val="00637F4D"/>
    <w:rsid w:val="006411F8"/>
    <w:rsid w:val="00641A0A"/>
    <w:rsid w:val="00641B51"/>
    <w:rsid w:val="00644D30"/>
    <w:rsid w:val="0064588B"/>
    <w:rsid w:val="00645D2A"/>
    <w:rsid w:val="006466CB"/>
    <w:rsid w:val="006469CE"/>
    <w:rsid w:val="00647F1C"/>
    <w:rsid w:val="00650920"/>
    <w:rsid w:val="00652C4E"/>
    <w:rsid w:val="00652DA4"/>
    <w:rsid w:val="00653239"/>
    <w:rsid w:val="006538EB"/>
    <w:rsid w:val="006556B0"/>
    <w:rsid w:val="00655DF5"/>
    <w:rsid w:val="00656077"/>
    <w:rsid w:val="00656195"/>
    <w:rsid w:val="00656FAA"/>
    <w:rsid w:val="00657257"/>
    <w:rsid w:val="006608C6"/>
    <w:rsid w:val="006611B6"/>
    <w:rsid w:val="00662E4E"/>
    <w:rsid w:val="0066365C"/>
    <w:rsid w:val="00663863"/>
    <w:rsid w:val="00663DAD"/>
    <w:rsid w:val="006641C7"/>
    <w:rsid w:val="00666206"/>
    <w:rsid w:val="00666E65"/>
    <w:rsid w:val="00666EF1"/>
    <w:rsid w:val="006676E4"/>
    <w:rsid w:val="00671B2D"/>
    <w:rsid w:val="006727AE"/>
    <w:rsid w:val="00673BFB"/>
    <w:rsid w:val="006756B2"/>
    <w:rsid w:val="00676AE7"/>
    <w:rsid w:val="00677BB7"/>
    <w:rsid w:val="00680292"/>
    <w:rsid w:val="00682281"/>
    <w:rsid w:val="006828D1"/>
    <w:rsid w:val="0068373A"/>
    <w:rsid w:val="006838D4"/>
    <w:rsid w:val="006847A3"/>
    <w:rsid w:val="00684B8A"/>
    <w:rsid w:val="0068565D"/>
    <w:rsid w:val="00686540"/>
    <w:rsid w:val="00690825"/>
    <w:rsid w:val="00691889"/>
    <w:rsid w:val="00691A99"/>
    <w:rsid w:val="006923D7"/>
    <w:rsid w:val="00692BD1"/>
    <w:rsid w:val="006933EA"/>
    <w:rsid w:val="006935E1"/>
    <w:rsid w:val="00693EB5"/>
    <w:rsid w:val="00694070"/>
    <w:rsid w:val="00694083"/>
    <w:rsid w:val="00694E3A"/>
    <w:rsid w:val="006950C3"/>
    <w:rsid w:val="00696CEB"/>
    <w:rsid w:val="006977CC"/>
    <w:rsid w:val="006979B5"/>
    <w:rsid w:val="006979F0"/>
    <w:rsid w:val="006A0E2C"/>
    <w:rsid w:val="006A23FA"/>
    <w:rsid w:val="006A3CC3"/>
    <w:rsid w:val="006A54F0"/>
    <w:rsid w:val="006B0F80"/>
    <w:rsid w:val="006B4242"/>
    <w:rsid w:val="006B482A"/>
    <w:rsid w:val="006B6FEE"/>
    <w:rsid w:val="006B7D13"/>
    <w:rsid w:val="006B7D33"/>
    <w:rsid w:val="006C0542"/>
    <w:rsid w:val="006C17DE"/>
    <w:rsid w:val="006C23FE"/>
    <w:rsid w:val="006C2E99"/>
    <w:rsid w:val="006C5538"/>
    <w:rsid w:val="006C7B51"/>
    <w:rsid w:val="006C7BFF"/>
    <w:rsid w:val="006D10FB"/>
    <w:rsid w:val="006D11D7"/>
    <w:rsid w:val="006D1C41"/>
    <w:rsid w:val="006D23E0"/>
    <w:rsid w:val="006D24BB"/>
    <w:rsid w:val="006D2542"/>
    <w:rsid w:val="006D46B1"/>
    <w:rsid w:val="006D489F"/>
    <w:rsid w:val="006D7BBB"/>
    <w:rsid w:val="006E1125"/>
    <w:rsid w:val="006E2876"/>
    <w:rsid w:val="006E2CE2"/>
    <w:rsid w:val="006E3713"/>
    <w:rsid w:val="006E479C"/>
    <w:rsid w:val="006E47AC"/>
    <w:rsid w:val="006E6D31"/>
    <w:rsid w:val="006E6F65"/>
    <w:rsid w:val="006E78DB"/>
    <w:rsid w:val="006E7B19"/>
    <w:rsid w:val="006F2337"/>
    <w:rsid w:val="006F292F"/>
    <w:rsid w:val="006F3CFD"/>
    <w:rsid w:val="006F411A"/>
    <w:rsid w:val="006F49CC"/>
    <w:rsid w:val="006F4C6F"/>
    <w:rsid w:val="006F518D"/>
    <w:rsid w:val="006F5E02"/>
    <w:rsid w:val="00700786"/>
    <w:rsid w:val="00702D77"/>
    <w:rsid w:val="00703CC1"/>
    <w:rsid w:val="00705AA5"/>
    <w:rsid w:val="007077E7"/>
    <w:rsid w:val="007079F9"/>
    <w:rsid w:val="0071115C"/>
    <w:rsid w:val="00713D20"/>
    <w:rsid w:val="00716104"/>
    <w:rsid w:val="00717FB7"/>
    <w:rsid w:val="0072200D"/>
    <w:rsid w:val="00723F31"/>
    <w:rsid w:val="007242E4"/>
    <w:rsid w:val="0072581D"/>
    <w:rsid w:val="00725A1E"/>
    <w:rsid w:val="007261DB"/>
    <w:rsid w:val="00726A4B"/>
    <w:rsid w:val="0072773E"/>
    <w:rsid w:val="00727E9F"/>
    <w:rsid w:val="00730579"/>
    <w:rsid w:val="007307E1"/>
    <w:rsid w:val="00730EB3"/>
    <w:rsid w:val="00731FD5"/>
    <w:rsid w:val="007326ED"/>
    <w:rsid w:val="007334FF"/>
    <w:rsid w:val="00733695"/>
    <w:rsid w:val="00734816"/>
    <w:rsid w:val="00735652"/>
    <w:rsid w:val="007379FB"/>
    <w:rsid w:val="007402F3"/>
    <w:rsid w:val="0074036D"/>
    <w:rsid w:val="007414A8"/>
    <w:rsid w:val="0074350A"/>
    <w:rsid w:val="0074542D"/>
    <w:rsid w:val="00745ECF"/>
    <w:rsid w:val="00746255"/>
    <w:rsid w:val="00746E2B"/>
    <w:rsid w:val="00747897"/>
    <w:rsid w:val="00747DB7"/>
    <w:rsid w:val="0075070B"/>
    <w:rsid w:val="00750775"/>
    <w:rsid w:val="00751DB9"/>
    <w:rsid w:val="00752911"/>
    <w:rsid w:val="00752BB0"/>
    <w:rsid w:val="0075361B"/>
    <w:rsid w:val="00753D14"/>
    <w:rsid w:val="00753DD0"/>
    <w:rsid w:val="00754720"/>
    <w:rsid w:val="00757179"/>
    <w:rsid w:val="00760718"/>
    <w:rsid w:val="007629ED"/>
    <w:rsid w:val="007631D5"/>
    <w:rsid w:val="007642B2"/>
    <w:rsid w:val="0077217B"/>
    <w:rsid w:val="0077293A"/>
    <w:rsid w:val="00773837"/>
    <w:rsid w:val="0077436E"/>
    <w:rsid w:val="007768CE"/>
    <w:rsid w:val="00776CB6"/>
    <w:rsid w:val="00780AAD"/>
    <w:rsid w:val="00780D76"/>
    <w:rsid w:val="00781145"/>
    <w:rsid w:val="00782491"/>
    <w:rsid w:val="007825B3"/>
    <w:rsid w:val="00782E22"/>
    <w:rsid w:val="00783C5C"/>
    <w:rsid w:val="007843BE"/>
    <w:rsid w:val="007856AB"/>
    <w:rsid w:val="00787354"/>
    <w:rsid w:val="007874BF"/>
    <w:rsid w:val="00790187"/>
    <w:rsid w:val="0079024A"/>
    <w:rsid w:val="00790A19"/>
    <w:rsid w:val="0079177A"/>
    <w:rsid w:val="00792801"/>
    <w:rsid w:val="0079393D"/>
    <w:rsid w:val="00793A37"/>
    <w:rsid w:val="0079539E"/>
    <w:rsid w:val="00795958"/>
    <w:rsid w:val="00795A88"/>
    <w:rsid w:val="0079752F"/>
    <w:rsid w:val="007A10C0"/>
    <w:rsid w:val="007A361A"/>
    <w:rsid w:val="007A38F9"/>
    <w:rsid w:val="007A4388"/>
    <w:rsid w:val="007A5CDC"/>
    <w:rsid w:val="007A6688"/>
    <w:rsid w:val="007A6CCF"/>
    <w:rsid w:val="007A7769"/>
    <w:rsid w:val="007B004D"/>
    <w:rsid w:val="007B0C33"/>
    <w:rsid w:val="007B4723"/>
    <w:rsid w:val="007B489D"/>
    <w:rsid w:val="007B6118"/>
    <w:rsid w:val="007B6EF1"/>
    <w:rsid w:val="007B79FE"/>
    <w:rsid w:val="007B7D0F"/>
    <w:rsid w:val="007C00AB"/>
    <w:rsid w:val="007C0704"/>
    <w:rsid w:val="007C075C"/>
    <w:rsid w:val="007C0DF0"/>
    <w:rsid w:val="007C18EB"/>
    <w:rsid w:val="007C1919"/>
    <w:rsid w:val="007C3A7A"/>
    <w:rsid w:val="007C4217"/>
    <w:rsid w:val="007C476A"/>
    <w:rsid w:val="007C5040"/>
    <w:rsid w:val="007C509B"/>
    <w:rsid w:val="007C52B5"/>
    <w:rsid w:val="007C5F09"/>
    <w:rsid w:val="007D3082"/>
    <w:rsid w:val="007D377F"/>
    <w:rsid w:val="007D3ED1"/>
    <w:rsid w:val="007D44A7"/>
    <w:rsid w:val="007D4E7B"/>
    <w:rsid w:val="007D5630"/>
    <w:rsid w:val="007D5A42"/>
    <w:rsid w:val="007D627E"/>
    <w:rsid w:val="007D6CD0"/>
    <w:rsid w:val="007D735F"/>
    <w:rsid w:val="007D7499"/>
    <w:rsid w:val="007E0865"/>
    <w:rsid w:val="007E0D4E"/>
    <w:rsid w:val="007E6370"/>
    <w:rsid w:val="007E6A73"/>
    <w:rsid w:val="007F0107"/>
    <w:rsid w:val="007F1D2D"/>
    <w:rsid w:val="007F1E3A"/>
    <w:rsid w:val="007F201E"/>
    <w:rsid w:val="007F212A"/>
    <w:rsid w:val="007F24A3"/>
    <w:rsid w:val="007F3661"/>
    <w:rsid w:val="007F3842"/>
    <w:rsid w:val="007F3DAA"/>
    <w:rsid w:val="007F5ECB"/>
    <w:rsid w:val="007F5EE7"/>
    <w:rsid w:val="007F6838"/>
    <w:rsid w:val="00801398"/>
    <w:rsid w:val="0080264A"/>
    <w:rsid w:val="00803293"/>
    <w:rsid w:val="0080347A"/>
    <w:rsid w:val="00803FF1"/>
    <w:rsid w:val="008044B1"/>
    <w:rsid w:val="008044F3"/>
    <w:rsid w:val="008063C7"/>
    <w:rsid w:val="0080731F"/>
    <w:rsid w:val="00807332"/>
    <w:rsid w:val="00807C64"/>
    <w:rsid w:val="00807D9B"/>
    <w:rsid w:val="0081239D"/>
    <w:rsid w:val="0081250E"/>
    <w:rsid w:val="00813ADD"/>
    <w:rsid w:val="008152A0"/>
    <w:rsid w:val="00815FA5"/>
    <w:rsid w:val="00815FDE"/>
    <w:rsid w:val="0081683F"/>
    <w:rsid w:val="00817848"/>
    <w:rsid w:val="00817ACF"/>
    <w:rsid w:val="0082065E"/>
    <w:rsid w:val="00822940"/>
    <w:rsid w:val="008248CB"/>
    <w:rsid w:val="008255DF"/>
    <w:rsid w:val="00826B69"/>
    <w:rsid w:val="00826F51"/>
    <w:rsid w:val="00831BCB"/>
    <w:rsid w:val="008321AE"/>
    <w:rsid w:val="00835C47"/>
    <w:rsid w:val="00835F68"/>
    <w:rsid w:val="008365E2"/>
    <w:rsid w:val="0083687C"/>
    <w:rsid w:val="00837026"/>
    <w:rsid w:val="00841A25"/>
    <w:rsid w:val="00841E74"/>
    <w:rsid w:val="0084206D"/>
    <w:rsid w:val="00843988"/>
    <w:rsid w:val="00844F9F"/>
    <w:rsid w:val="00846D6D"/>
    <w:rsid w:val="00850652"/>
    <w:rsid w:val="00851A2D"/>
    <w:rsid w:val="00854E0B"/>
    <w:rsid w:val="008558B2"/>
    <w:rsid w:val="00855983"/>
    <w:rsid w:val="0086004B"/>
    <w:rsid w:val="00860094"/>
    <w:rsid w:val="00861018"/>
    <w:rsid w:val="00861524"/>
    <w:rsid w:val="00861635"/>
    <w:rsid w:val="00861A5E"/>
    <w:rsid w:val="008643A1"/>
    <w:rsid w:val="00864F65"/>
    <w:rsid w:val="00865217"/>
    <w:rsid w:val="00866BC6"/>
    <w:rsid w:val="00866D8C"/>
    <w:rsid w:val="00866EDB"/>
    <w:rsid w:val="008703F1"/>
    <w:rsid w:val="008713FC"/>
    <w:rsid w:val="0087146C"/>
    <w:rsid w:val="00871A37"/>
    <w:rsid w:val="00874065"/>
    <w:rsid w:val="00874E0C"/>
    <w:rsid w:val="0087545F"/>
    <w:rsid w:val="008759B1"/>
    <w:rsid w:val="008761BE"/>
    <w:rsid w:val="00876ADC"/>
    <w:rsid w:val="008777A4"/>
    <w:rsid w:val="00880923"/>
    <w:rsid w:val="00880D3D"/>
    <w:rsid w:val="00884CB2"/>
    <w:rsid w:val="00884E27"/>
    <w:rsid w:val="00884F11"/>
    <w:rsid w:val="008856B5"/>
    <w:rsid w:val="008866BF"/>
    <w:rsid w:val="00886941"/>
    <w:rsid w:val="00890B01"/>
    <w:rsid w:val="00895BBD"/>
    <w:rsid w:val="0089639F"/>
    <w:rsid w:val="00896FB4"/>
    <w:rsid w:val="008973BC"/>
    <w:rsid w:val="008A002F"/>
    <w:rsid w:val="008A0663"/>
    <w:rsid w:val="008A1748"/>
    <w:rsid w:val="008A1E46"/>
    <w:rsid w:val="008A225F"/>
    <w:rsid w:val="008A26BA"/>
    <w:rsid w:val="008A7D65"/>
    <w:rsid w:val="008B0954"/>
    <w:rsid w:val="008B2343"/>
    <w:rsid w:val="008B2384"/>
    <w:rsid w:val="008B4674"/>
    <w:rsid w:val="008B48B1"/>
    <w:rsid w:val="008B4E04"/>
    <w:rsid w:val="008B7151"/>
    <w:rsid w:val="008B7C2F"/>
    <w:rsid w:val="008C07F6"/>
    <w:rsid w:val="008C1DBB"/>
    <w:rsid w:val="008C2194"/>
    <w:rsid w:val="008C224C"/>
    <w:rsid w:val="008C22B6"/>
    <w:rsid w:val="008C22DD"/>
    <w:rsid w:val="008C272C"/>
    <w:rsid w:val="008C2A98"/>
    <w:rsid w:val="008C3483"/>
    <w:rsid w:val="008C3C7A"/>
    <w:rsid w:val="008C49DF"/>
    <w:rsid w:val="008C4A1A"/>
    <w:rsid w:val="008C50F5"/>
    <w:rsid w:val="008C5133"/>
    <w:rsid w:val="008C54AB"/>
    <w:rsid w:val="008C59B0"/>
    <w:rsid w:val="008C5E6C"/>
    <w:rsid w:val="008C7F38"/>
    <w:rsid w:val="008D011B"/>
    <w:rsid w:val="008D1059"/>
    <w:rsid w:val="008D23CF"/>
    <w:rsid w:val="008D3AC2"/>
    <w:rsid w:val="008D3C6F"/>
    <w:rsid w:val="008D4BF3"/>
    <w:rsid w:val="008D54CE"/>
    <w:rsid w:val="008D54FB"/>
    <w:rsid w:val="008D6E06"/>
    <w:rsid w:val="008D6EFB"/>
    <w:rsid w:val="008D7CD3"/>
    <w:rsid w:val="008D7D62"/>
    <w:rsid w:val="008E2CB4"/>
    <w:rsid w:val="008E5F44"/>
    <w:rsid w:val="008E5F53"/>
    <w:rsid w:val="008E6778"/>
    <w:rsid w:val="008E6F81"/>
    <w:rsid w:val="008E7164"/>
    <w:rsid w:val="008E7E91"/>
    <w:rsid w:val="008F1C3E"/>
    <w:rsid w:val="008F3358"/>
    <w:rsid w:val="008F37E6"/>
    <w:rsid w:val="008F464D"/>
    <w:rsid w:val="008F4A6A"/>
    <w:rsid w:val="008F7241"/>
    <w:rsid w:val="00900E32"/>
    <w:rsid w:val="009013E2"/>
    <w:rsid w:val="009016F8"/>
    <w:rsid w:val="009026C3"/>
    <w:rsid w:val="009035DA"/>
    <w:rsid w:val="00903CDD"/>
    <w:rsid w:val="0090483B"/>
    <w:rsid w:val="009049D3"/>
    <w:rsid w:val="00904DE1"/>
    <w:rsid w:val="00905E4B"/>
    <w:rsid w:val="00906B4E"/>
    <w:rsid w:val="00906C86"/>
    <w:rsid w:val="00907C01"/>
    <w:rsid w:val="00910C94"/>
    <w:rsid w:val="009118AD"/>
    <w:rsid w:val="009133B6"/>
    <w:rsid w:val="00914BAB"/>
    <w:rsid w:val="00915304"/>
    <w:rsid w:val="0091590F"/>
    <w:rsid w:val="0091592B"/>
    <w:rsid w:val="00915D92"/>
    <w:rsid w:val="00916401"/>
    <w:rsid w:val="009205F1"/>
    <w:rsid w:val="009211CA"/>
    <w:rsid w:val="0092212A"/>
    <w:rsid w:val="00922294"/>
    <w:rsid w:val="00923285"/>
    <w:rsid w:val="00923E87"/>
    <w:rsid w:val="009242C6"/>
    <w:rsid w:val="0092436C"/>
    <w:rsid w:val="00924926"/>
    <w:rsid w:val="00924D24"/>
    <w:rsid w:val="00924D31"/>
    <w:rsid w:val="00925845"/>
    <w:rsid w:val="00925D98"/>
    <w:rsid w:val="00926185"/>
    <w:rsid w:val="00926C27"/>
    <w:rsid w:val="00927AD9"/>
    <w:rsid w:val="00930C59"/>
    <w:rsid w:val="00930ED4"/>
    <w:rsid w:val="00931CEA"/>
    <w:rsid w:val="009332A1"/>
    <w:rsid w:val="00933B71"/>
    <w:rsid w:val="00936622"/>
    <w:rsid w:val="009366BF"/>
    <w:rsid w:val="00940C56"/>
    <w:rsid w:val="00940F36"/>
    <w:rsid w:val="009436B8"/>
    <w:rsid w:val="009438CE"/>
    <w:rsid w:val="00944B18"/>
    <w:rsid w:val="00945992"/>
    <w:rsid w:val="00945DBE"/>
    <w:rsid w:val="00945EBA"/>
    <w:rsid w:val="0094632B"/>
    <w:rsid w:val="0094659D"/>
    <w:rsid w:val="009504D8"/>
    <w:rsid w:val="00951505"/>
    <w:rsid w:val="00951A59"/>
    <w:rsid w:val="0095209B"/>
    <w:rsid w:val="00952EBE"/>
    <w:rsid w:val="00953D7A"/>
    <w:rsid w:val="00953FB2"/>
    <w:rsid w:val="009544F8"/>
    <w:rsid w:val="00955130"/>
    <w:rsid w:val="00955AB4"/>
    <w:rsid w:val="009563FA"/>
    <w:rsid w:val="00956642"/>
    <w:rsid w:val="00956CBB"/>
    <w:rsid w:val="009576DE"/>
    <w:rsid w:val="00957A0D"/>
    <w:rsid w:val="0096094C"/>
    <w:rsid w:val="00961A8A"/>
    <w:rsid w:val="009622D3"/>
    <w:rsid w:val="00964ABE"/>
    <w:rsid w:val="00965219"/>
    <w:rsid w:val="00966C53"/>
    <w:rsid w:val="00966D78"/>
    <w:rsid w:val="009671EE"/>
    <w:rsid w:val="009711CD"/>
    <w:rsid w:val="00971750"/>
    <w:rsid w:val="00971AF7"/>
    <w:rsid w:val="009733F4"/>
    <w:rsid w:val="00973DAA"/>
    <w:rsid w:val="009742DC"/>
    <w:rsid w:val="00974839"/>
    <w:rsid w:val="00974882"/>
    <w:rsid w:val="00975046"/>
    <w:rsid w:val="0097734D"/>
    <w:rsid w:val="009803E1"/>
    <w:rsid w:val="009804DC"/>
    <w:rsid w:val="009809BD"/>
    <w:rsid w:val="00981031"/>
    <w:rsid w:val="009812B6"/>
    <w:rsid w:val="0098217B"/>
    <w:rsid w:val="00982B46"/>
    <w:rsid w:val="00982DEF"/>
    <w:rsid w:val="00983DAE"/>
    <w:rsid w:val="00985BAF"/>
    <w:rsid w:val="00990B31"/>
    <w:rsid w:val="009912F8"/>
    <w:rsid w:val="009921D9"/>
    <w:rsid w:val="0099246A"/>
    <w:rsid w:val="00992578"/>
    <w:rsid w:val="009929B1"/>
    <w:rsid w:val="00992DE5"/>
    <w:rsid w:val="009932DB"/>
    <w:rsid w:val="00994762"/>
    <w:rsid w:val="00994F3E"/>
    <w:rsid w:val="00994F44"/>
    <w:rsid w:val="00995247"/>
    <w:rsid w:val="009964FF"/>
    <w:rsid w:val="00997056"/>
    <w:rsid w:val="0099731A"/>
    <w:rsid w:val="009A4170"/>
    <w:rsid w:val="009A5058"/>
    <w:rsid w:val="009A69EF"/>
    <w:rsid w:val="009A6B55"/>
    <w:rsid w:val="009A6BA2"/>
    <w:rsid w:val="009B078C"/>
    <w:rsid w:val="009B39F6"/>
    <w:rsid w:val="009B484E"/>
    <w:rsid w:val="009B6CAA"/>
    <w:rsid w:val="009C0C37"/>
    <w:rsid w:val="009C1B1D"/>
    <w:rsid w:val="009C2390"/>
    <w:rsid w:val="009C25AE"/>
    <w:rsid w:val="009C3EE0"/>
    <w:rsid w:val="009C43E6"/>
    <w:rsid w:val="009C4682"/>
    <w:rsid w:val="009C4D13"/>
    <w:rsid w:val="009C6B98"/>
    <w:rsid w:val="009C6DE2"/>
    <w:rsid w:val="009C736A"/>
    <w:rsid w:val="009C73D8"/>
    <w:rsid w:val="009C74DA"/>
    <w:rsid w:val="009C7A44"/>
    <w:rsid w:val="009D234A"/>
    <w:rsid w:val="009D4B9C"/>
    <w:rsid w:val="009D66F9"/>
    <w:rsid w:val="009D6D72"/>
    <w:rsid w:val="009D7DC9"/>
    <w:rsid w:val="009E0224"/>
    <w:rsid w:val="009E2417"/>
    <w:rsid w:val="009E2CF2"/>
    <w:rsid w:val="009E54B2"/>
    <w:rsid w:val="009E607C"/>
    <w:rsid w:val="009E64D0"/>
    <w:rsid w:val="009E66CD"/>
    <w:rsid w:val="009E7526"/>
    <w:rsid w:val="009F0482"/>
    <w:rsid w:val="009F0C65"/>
    <w:rsid w:val="009F1191"/>
    <w:rsid w:val="009F2240"/>
    <w:rsid w:val="009F2E19"/>
    <w:rsid w:val="009F300C"/>
    <w:rsid w:val="009F31D1"/>
    <w:rsid w:val="009F3E58"/>
    <w:rsid w:val="009F4890"/>
    <w:rsid w:val="009F4949"/>
    <w:rsid w:val="009F4FEB"/>
    <w:rsid w:val="009F5A56"/>
    <w:rsid w:val="009F663D"/>
    <w:rsid w:val="009F6AF9"/>
    <w:rsid w:val="00A0035C"/>
    <w:rsid w:val="00A00451"/>
    <w:rsid w:val="00A00B51"/>
    <w:rsid w:val="00A011FB"/>
    <w:rsid w:val="00A01786"/>
    <w:rsid w:val="00A03FAD"/>
    <w:rsid w:val="00A0447F"/>
    <w:rsid w:val="00A04A7A"/>
    <w:rsid w:val="00A11F82"/>
    <w:rsid w:val="00A13937"/>
    <w:rsid w:val="00A15F45"/>
    <w:rsid w:val="00A22D01"/>
    <w:rsid w:val="00A22F38"/>
    <w:rsid w:val="00A24348"/>
    <w:rsid w:val="00A24F41"/>
    <w:rsid w:val="00A2773C"/>
    <w:rsid w:val="00A27A15"/>
    <w:rsid w:val="00A3196C"/>
    <w:rsid w:val="00A32517"/>
    <w:rsid w:val="00A32C29"/>
    <w:rsid w:val="00A34CF1"/>
    <w:rsid w:val="00A3582C"/>
    <w:rsid w:val="00A36735"/>
    <w:rsid w:val="00A36DA9"/>
    <w:rsid w:val="00A36F88"/>
    <w:rsid w:val="00A37361"/>
    <w:rsid w:val="00A37CAD"/>
    <w:rsid w:val="00A40683"/>
    <w:rsid w:val="00A40B61"/>
    <w:rsid w:val="00A40C33"/>
    <w:rsid w:val="00A40CCD"/>
    <w:rsid w:val="00A41540"/>
    <w:rsid w:val="00A42F22"/>
    <w:rsid w:val="00A436E9"/>
    <w:rsid w:val="00A43710"/>
    <w:rsid w:val="00A43714"/>
    <w:rsid w:val="00A4439D"/>
    <w:rsid w:val="00A4589E"/>
    <w:rsid w:val="00A4758A"/>
    <w:rsid w:val="00A47B32"/>
    <w:rsid w:val="00A50E5D"/>
    <w:rsid w:val="00A535AF"/>
    <w:rsid w:val="00A54408"/>
    <w:rsid w:val="00A5517F"/>
    <w:rsid w:val="00A5593F"/>
    <w:rsid w:val="00A5604A"/>
    <w:rsid w:val="00A57A87"/>
    <w:rsid w:val="00A57B01"/>
    <w:rsid w:val="00A57BD9"/>
    <w:rsid w:val="00A6124B"/>
    <w:rsid w:val="00A61BCC"/>
    <w:rsid w:val="00A62344"/>
    <w:rsid w:val="00A64F40"/>
    <w:rsid w:val="00A6519B"/>
    <w:rsid w:val="00A658D9"/>
    <w:rsid w:val="00A65D01"/>
    <w:rsid w:val="00A6693A"/>
    <w:rsid w:val="00A67595"/>
    <w:rsid w:val="00A703EE"/>
    <w:rsid w:val="00A70B5A"/>
    <w:rsid w:val="00A70BC0"/>
    <w:rsid w:val="00A70FCD"/>
    <w:rsid w:val="00A71273"/>
    <w:rsid w:val="00A727D1"/>
    <w:rsid w:val="00A7404C"/>
    <w:rsid w:val="00A74305"/>
    <w:rsid w:val="00A74BAA"/>
    <w:rsid w:val="00A7743A"/>
    <w:rsid w:val="00A80D3D"/>
    <w:rsid w:val="00A8157A"/>
    <w:rsid w:val="00A8316D"/>
    <w:rsid w:val="00A8346A"/>
    <w:rsid w:val="00A837BB"/>
    <w:rsid w:val="00A839DE"/>
    <w:rsid w:val="00A8401B"/>
    <w:rsid w:val="00A849F9"/>
    <w:rsid w:val="00A8589C"/>
    <w:rsid w:val="00A85BF4"/>
    <w:rsid w:val="00A8642F"/>
    <w:rsid w:val="00A867A6"/>
    <w:rsid w:val="00A87E5E"/>
    <w:rsid w:val="00A91C82"/>
    <w:rsid w:val="00A9314A"/>
    <w:rsid w:val="00A9420C"/>
    <w:rsid w:val="00A94A66"/>
    <w:rsid w:val="00A95930"/>
    <w:rsid w:val="00A95B9B"/>
    <w:rsid w:val="00A964E7"/>
    <w:rsid w:val="00A96C92"/>
    <w:rsid w:val="00A97543"/>
    <w:rsid w:val="00AA03F8"/>
    <w:rsid w:val="00AA0CE3"/>
    <w:rsid w:val="00AA1637"/>
    <w:rsid w:val="00AA1A01"/>
    <w:rsid w:val="00AA1B88"/>
    <w:rsid w:val="00AA332B"/>
    <w:rsid w:val="00AA3EB7"/>
    <w:rsid w:val="00AA4833"/>
    <w:rsid w:val="00AA4ACF"/>
    <w:rsid w:val="00AA570B"/>
    <w:rsid w:val="00AA7B9D"/>
    <w:rsid w:val="00AB3D2D"/>
    <w:rsid w:val="00AB5522"/>
    <w:rsid w:val="00AB5B09"/>
    <w:rsid w:val="00AB6D02"/>
    <w:rsid w:val="00AB7080"/>
    <w:rsid w:val="00AC0174"/>
    <w:rsid w:val="00AC09EE"/>
    <w:rsid w:val="00AC0AC7"/>
    <w:rsid w:val="00AC1BF8"/>
    <w:rsid w:val="00AC428A"/>
    <w:rsid w:val="00AC5219"/>
    <w:rsid w:val="00AC59CA"/>
    <w:rsid w:val="00AC5BBD"/>
    <w:rsid w:val="00AC6470"/>
    <w:rsid w:val="00AC6C21"/>
    <w:rsid w:val="00AC6ECF"/>
    <w:rsid w:val="00AC6EE9"/>
    <w:rsid w:val="00AC7F91"/>
    <w:rsid w:val="00AD0ED2"/>
    <w:rsid w:val="00AD1FCE"/>
    <w:rsid w:val="00AD2165"/>
    <w:rsid w:val="00AD2468"/>
    <w:rsid w:val="00AD28CE"/>
    <w:rsid w:val="00AD305F"/>
    <w:rsid w:val="00AD35F3"/>
    <w:rsid w:val="00AD3A13"/>
    <w:rsid w:val="00AD4037"/>
    <w:rsid w:val="00AD4095"/>
    <w:rsid w:val="00AD411C"/>
    <w:rsid w:val="00AD539C"/>
    <w:rsid w:val="00AD621B"/>
    <w:rsid w:val="00AD7475"/>
    <w:rsid w:val="00AD7DA4"/>
    <w:rsid w:val="00AE09C6"/>
    <w:rsid w:val="00AE1A13"/>
    <w:rsid w:val="00AE4F33"/>
    <w:rsid w:val="00AE798A"/>
    <w:rsid w:val="00AE7ED1"/>
    <w:rsid w:val="00AF09A7"/>
    <w:rsid w:val="00AF1299"/>
    <w:rsid w:val="00AF16BE"/>
    <w:rsid w:val="00AF2257"/>
    <w:rsid w:val="00AF5495"/>
    <w:rsid w:val="00AF60BA"/>
    <w:rsid w:val="00AF6777"/>
    <w:rsid w:val="00AF6E06"/>
    <w:rsid w:val="00AF6E42"/>
    <w:rsid w:val="00B00512"/>
    <w:rsid w:val="00B00DE4"/>
    <w:rsid w:val="00B01E02"/>
    <w:rsid w:val="00B03973"/>
    <w:rsid w:val="00B03CE3"/>
    <w:rsid w:val="00B04104"/>
    <w:rsid w:val="00B04ABE"/>
    <w:rsid w:val="00B04B90"/>
    <w:rsid w:val="00B054F8"/>
    <w:rsid w:val="00B1187B"/>
    <w:rsid w:val="00B11D01"/>
    <w:rsid w:val="00B13DD7"/>
    <w:rsid w:val="00B17164"/>
    <w:rsid w:val="00B20984"/>
    <w:rsid w:val="00B20D65"/>
    <w:rsid w:val="00B20FBA"/>
    <w:rsid w:val="00B24139"/>
    <w:rsid w:val="00B24817"/>
    <w:rsid w:val="00B24836"/>
    <w:rsid w:val="00B31A44"/>
    <w:rsid w:val="00B326DC"/>
    <w:rsid w:val="00B3336C"/>
    <w:rsid w:val="00B33CE5"/>
    <w:rsid w:val="00B34326"/>
    <w:rsid w:val="00B36238"/>
    <w:rsid w:val="00B36397"/>
    <w:rsid w:val="00B367BB"/>
    <w:rsid w:val="00B36BE9"/>
    <w:rsid w:val="00B37C55"/>
    <w:rsid w:val="00B404B5"/>
    <w:rsid w:val="00B40A5D"/>
    <w:rsid w:val="00B41B8C"/>
    <w:rsid w:val="00B41DB8"/>
    <w:rsid w:val="00B42FA5"/>
    <w:rsid w:val="00B44323"/>
    <w:rsid w:val="00B44829"/>
    <w:rsid w:val="00B44F1A"/>
    <w:rsid w:val="00B44FAE"/>
    <w:rsid w:val="00B468F8"/>
    <w:rsid w:val="00B4754C"/>
    <w:rsid w:val="00B477F0"/>
    <w:rsid w:val="00B5067B"/>
    <w:rsid w:val="00B50966"/>
    <w:rsid w:val="00B50C0B"/>
    <w:rsid w:val="00B5103C"/>
    <w:rsid w:val="00B51307"/>
    <w:rsid w:val="00B51B0B"/>
    <w:rsid w:val="00B55F45"/>
    <w:rsid w:val="00B5621D"/>
    <w:rsid w:val="00B567CD"/>
    <w:rsid w:val="00B56B39"/>
    <w:rsid w:val="00B570CC"/>
    <w:rsid w:val="00B614D8"/>
    <w:rsid w:val="00B62842"/>
    <w:rsid w:val="00B62B38"/>
    <w:rsid w:val="00B64028"/>
    <w:rsid w:val="00B64378"/>
    <w:rsid w:val="00B65DD9"/>
    <w:rsid w:val="00B66276"/>
    <w:rsid w:val="00B66C0D"/>
    <w:rsid w:val="00B66ED5"/>
    <w:rsid w:val="00B67388"/>
    <w:rsid w:val="00B67D85"/>
    <w:rsid w:val="00B703D5"/>
    <w:rsid w:val="00B71C33"/>
    <w:rsid w:val="00B72056"/>
    <w:rsid w:val="00B725B3"/>
    <w:rsid w:val="00B72EDC"/>
    <w:rsid w:val="00B73A19"/>
    <w:rsid w:val="00B73E4A"/>
    <w:rsid w:val="00B74344"/>
    <w:rsid w:val="00B74427"/>
    <w:rsid w:val="00B75627"/>
    <w:rsid w:val="00B75D6E"/>
    <w:rsid w:val="00B76DC9"/>
    <w:rsid w:val="00B81C00"/>
    <w:rsid w:val="00B83CA0"/>
    <w:rsid w:val="00B83DD9"/>
    <w:rsid w:val="00B85C3A"/>
    <w:rsid w:val="00B86F4A"/>
    <w:rsid w:val="00B87040"/>
    <w:rsid w:val="00B90524"/>
    <w:rsid w:val="00B91ADC"/>
    <w:rsid w:val="00B922F1"/>
    <w:rsid w:val="00B95042"/>
    <w:rsid w:val="00B95C72"/>
    <w:rsid w:val="00BA073E"/>
    <w:rsid w:val="00BA0935"/>
    <w:rsid w:val="00BA16EE"/>
    <w:rsid w:val="00BA16FB"/>
    <w:rsid w:val="00BA406B"/>
    <w:rsid w:val="00BA4FB4"/>
    <w:rsid w:val="00BA5529"/>
    <w:rsid w:val="00BA60A4"/>
    <w:rsid w:val="00BA6C63"/>
    <w:rsid w:val="00BA7A7B"/>
    <w:rsid w:val="00BB05B4"/>
    <w:rsid w:val="00BB0C6F"/>
    <w:rsid w:val="00BB0DA5"/>
    <w:rsid w:val="00BB198C"/>
    <w:rsid w:val="00BB1F9D"/>
    <w:rsid w:val="00BB3AF3"/>
    <w:rsid w:val="00BB448A"/>
    <w:rsid w:val="00BB44D6"/>
    <w:rsid w:val="00BB609E"/>
    <w:rsid w:val="00BB7750"/>
    <w:rsid w:val="00BB7930"/>
    <w:rsid w:val="00BC073E"/>
    <w:rsid w:val="00BC09B3"/>
    <w:rsid w:val="00BC165A"/>
    <w:rsid w:val="00BC2C0E"/>
    <w:rsid w:val="00BC37AA"/>
    <w:rsid w:val="00BC3D36"/>
    <w:rsid w:val="00BC3DAD"/>
    <w:rsid w:val="00BC3E79"/>
    <w:rsid w:val="00BC63DF"/>
    <w:rsid w:val="00BD0149"/>
    <w:rsid w:val="00BD0DD7"/>
    <w:rsid w:val="00BD107C"/>
    <w:rsid w:val="00BD1C3A"/>
    <w:rsid w:val="00BD211C"/>
    <w:rsid w:val="00BD2FDF"/>
    <w:rsid w:val="00BD511A"/>
    <w:rsid w:val="00BD54C2"/>
    <w:rsid w:val="00BD6391"/>
    <w:rsid w:val="00BD66B2"/>
    <w:rsid w:val="00BD6E2F"/>
    <w:rsid w:val="00BD7BA1"/>
    <w:rsid w:val="00BE0B10"/>
    <w:rsid w:val="00BE12BE"/>
    <w:rsid w:val="00BE36A2"/>
    <w:rsid w:val="00BE4875"/>
    <w:rsid w:val="00BE4FDB"/>
    <w:rsid w:val="00BE6215"/>
    <w:rsid w:val="00BE7D77"/>
    <w:rsid w:val="00BF0624"/>
    <w:rsid w:val="00BF0FBC"/>
    <w:rsid w:val="00BF13C2"/>
    <w:rsid w:val="00BF1B8B"/>
    <w:rsid w:val="00BF38EA"/>
    <w:rsid w:val="00BF5C67"/>
    <w:rsid w:val="00BF63C3"/>
    <w:rsid w:val="00BF7072"/>
    <w:rsid w:val="00C000C7"/>
    <w:rsid w:val="00C010D7"/>
    <w:rsid w:val="00C03C8A"/>
    <w:rsid w:val="00C041AE"/>
    <w:rsid w:val="00C04513"/>
    <w:rsid w:val="00C0470F"/>
    <w:rsid w:val="00C04828"/>
    <w:rsid w:val="00C05226"/>
    <w:rsid w:val="00C054C7"/>
    <w:rsid w:val="00C05A29"/>
    <w:rsid w:val="00C05A9B"/>
    <w:rsid w:val="00C0669C"/>
    <w:rsid w:val="00C07A46"/>
    <w:rsid w:val="00C11F82"/>
    <w:rsid w:val="00C12B28"/>
    <w:rsid w:val="00C12F09"/>
    <w:rsid w:val="00C14761"/>
    <w:rsid w:val="00C148A9"/>
    <w:rsid w:val="00C14F81"/>
    <w:rsid w:val="00C15BF3"/>
    <w:rsid w:val="00C17C36"/>
    <w:rsid w:val="00C207E9"/>
    <w:rsid w:val="00C20E47"/>
    <w:rsid w:val="00C21091"/>
    <w:rsid w:val="00C21936"/>
    <w:rsid w:val="00C2236D"/>
    <w:rsid w:val="00C22B8E"/>
    <w:rsid w:val="00C23984"/>
    <w:rsid w:val="00C24BA3"/>
    <w:rsid w:val="00C26296"/>
    <w:rsid w:val="00C26EBD"/>
    <w:rsid w:val="00C30313"/>
    <w:rsid w:val="00C30A83"/>
    <w:rsid w:val="00C31550"/>
    <w:rsid w:val="00C31AD9"/>
    <w:rsid w:val="00C35069"/>
    <w:rsid w:val="00C361C6"/>
    <w:rsid w:val="00C3688B"/>
    <w:rsid w:val="00C3689C"/>
    <w:rsid w:val="00C36AE7"/>
    <w:rsid w:val="00C37792"/>
    <w:rsid w:val="00C408F5"/>
    <w:rsid w:val="00C40F5C"/>
    <w:rsid w:val="00C4364D"/>
    <w:rsid w:val="00C43749"/>
    <w:rsid w:val="00C43843"/>
    <w:rsid w:val="00C44438"/>
    <w:rsid w:val="00C44D0C"/>
    <w:rsid w:val="00C44FD6"/>
    <w:rsid w:val="00C456D3"/>
    <w:rsid w:val="00C46135"/>
    <w:rsid w:val="00C46244"/>
    <w:rsid w:val="00C469C0"/>
    <w:rsid w:val="00C46F80"/>
    <w:rsid w:val="00C47DEB"/>
    <w:rsid w:val="00C501F6"/>
    <w:rsid w:val="00C50D9C"/>
    <w:rsid w:val="00C51966"/>
    <w:rsid w:val="00C520CB"/>
    <w:rsid w:val="00C52193"/>
    <w:rsid w:val="00C523EE"/>
    <w:rsid w:val="00C5269F"/>
    <w:rsid w:val="00C527B2"/>
    <w:rsid w:val="00C5387E"/>
    <w:rsid w:val="00C5403F"/>
    <w:rsid w:val="00C556EA"/>
    <w:rsid w:val="00C55D15"/>
    <w:rsid w:val="00C563FC"/>
    <w:rsid w:val="00C60DD4"/>
    <w:rsid w:val="00C61770"/>
    <w:rsid w:val="00C61C04"/>
    <w:rsid w:val="00C61C41"/>
    <w:rsid w:val="00C62283"/>
    <w:rsid w:val="00C62713"/>
    <w:rsid w:val="00C6439A"/>
    <w:rsid w:val="00C67288"/>
    <w:rsid w:val="00C71A78"/>
    <w:rsid w:val="00C71C5D"/>
    <w:rsid w:val="00C72925"/>
    <w:rsid w:val="00C73519"/>
    <w:rsid w:val="00C73D7A"/>
    <w:rsid w:val="00C74753"/>
    <w:rsid w:val="00C747A3"/>
    <w:rsid w:val="00C75194"/>
    <w:rsid w:val="00C761D5"/>
    <w:rsid w:val="00C800E0"/>
    <w:rsid w:val="00C800ED"/>
    <w:rsid w:val="00C82C57"/>
    <w:rsid w:val="00C83E43"/>
    <w:rsid w:val="00C84159"/>
    <w:rsid w:val="00C84909"/>
    <w:rsid w:val="00C85028"/>
    <w:rsid w:val="00C85735"/>
    <w:rsid w:val="00C85AE9"/>
    <w:rsid w:val="00C862BD"/>
    <w:rsid w:val="00C864A9"/>
    <w:rsid w:val="00C86E29"/>
    <w:rsid w:val="00C8798E"/>
    <w:rsid w:val="00C87E7C"/>
    <w:rsid w:val="00C908D6"/>
    <w:rsid w:val="00C91A9C"/>
    <w:rsid w:val="00C92A68"/>
    <w:rsid w:val="00C93799"/>
    <w:rsid w:val="00C93921"/>
    <w:rsid w:val="00C94ADD"/>
    <w:rsid w:val="00C9699B"/>
    <w:rsid w:val="00C97875"/>
    <w:rsid w:val="00CA3E6E"/>
    <w:rsid w:val="00CA3FA0"/>
    <w:rsid w:val="00CA478A"/>
    <w:rsid w:val="00CA513F"/>
    <w:rsid w:val="00CA6262"/>
    <w:rsid w:val="00CA67B3"/>
    <w:rsid w:val="00CA6D29"/>
    <w:rsid w:val="00CB0A1F"/>
    <w:rsid w:val="00CB0F3F"/>
    <w:rsid w:val="00CB168D"/>
    <w:rsid w:val="00CB16AA"/>
    <w:rsid w:val="00CB177F"/>
    <w:rsid w:val="00CB1AC4"/>
    <w:rsid w:val="00CB3831"/>
    <w:rsid w:val="00CB5586"/>
    <w:rsid w:val="00CB5C1B"/>
    <w:rsid w:val="00CB6613"/>
    <w:rsid w:val="00CB6E62"/>
    <w:rsid w:val="00CB76CD"/>
    <w:rsid w:val="00CB771E"/>
    <w:rsid w:val="00CC0055"/>
    <w:rsid w:val="00CC08EF"/>
    <w:rsid w:val="00CC2977"/>
    <w:rsid w:val="00CC3DA1"/>
    <w:rsid w:val="00CC4684"/>
    <w:rsid w:val="00CC492C"/>
    <w:rsid w:val="00CC4B0D"/>
    <w:rsid w:val="00CC4FC2"/>
    <w:rsid w:val="00CC50FC"/>
    <w:rsid w:val="00CC5ADF"/>
    <w:rsid w:val="00CC68AE"/>
    <w:rsid w:val="00CC7596"/>
    <w:rsid w:val="00CD3080"/>
    <w:rsid w:val="00CD4D06"/>
    <w:rsid w:val="00CD50A1"/>
    <w:rsid w:val="00CD5F1E"/>
    <w:rsid w:val="00CD7F18"/>
    <w:rsid w:val="00CE0762"/>
    <w:rsid w:val="00CE0D95"/>
    <w:rsid w:val="00CE109C"/>
    <w:rsid w:val="00CE2439"/>
    <w:rsid w:val="00CE2DD1"/>
    <w:rsid w:val="00CE3328"/>
    <w:rsid w:val="00CE33A0"/>
    <w:rsid w:val="00CE5167"/>
    <w:rsid w:val="00CE5221"/>
    <w:rsid w:val="00CE5F27"/>
    <w:rsid w:val="00CE6534"/>
    <w:rsid w:val="00CE6CED"/>
    <w:rsid w:val="00CE6CEF"/>
    <w:rsid w:val="00CE737E"/>
    <w:rsid w:val="00CF0965"/>
    <w:rsid w:val="00CF0CA1"/>
    <w:rsid w:val="00CF0CD4"/>
    <w:rsid w:val="00CF127B"/>
    <w:rsid w:val="00CF148F"/>
    <w:rsid w:val="00CF2204"/>
    <w:rsid w:val="00CF493D"/>
    <w:rsid w:val="00CF56E2"/>
    <w:rsid w:val="00CF5D4E"/>
    <w:rsid w:val="00CF7215"/>
    <w:rsid w:val="00CF7536"/>
    <w:rsid w:val="00CF7843"/>
    <w:rsid w:val="00D00F43"/>
    <w:rsid w:val="00D02AE6"/>
    <w:rsid w:val="00D03FC7"/>
    <w:rsid w:val="00D045EE"/>
    <w:rsid w:val="00D04A69"/>
    <w:rsid w:val="00D04A6C"/>
    <w:rsid w:val="00D05694"/>
    <w:rsid w:val="00D0572F"/>
    <w:rsid w:val="00D060DA"/>
    <w:rsid w:val="00D078C5"/>
    <w:rsid w:val="00D10D37"/>
    <w:rsid w:val="00D125BB"/>
    <w:rsid w:val="00D12887"/>
    <w:rsid w:val="00D13C05"/>
    <w:rsid w:val="00D13D39"/>
    <w:rsid w:val="00D15196"/>
    <w:rsid w:val="00D155F2"/>
    <w:rsid w:val="00D1708C"/>
    <w:rsid w:val="00D1762C"/>
    <w:rsid w:val="00D21382"/>
    <w:rsid w:val="00D214C7"/>
    <w:rsid w:val="00D21978"/>
    <w:rsid w:val="00D221FE"/>
    <w:rsid w:val="00D23AC2"/>
    <w:rsid w:val="00D23D5F"/>
    <w:rsid w:val="00D25532"/>
    <w:rsid w:val="00D261AE"/>
    <w:rsid w:val="00D261B8"/>
    <w:rsid w:val="00D26E49"/>
    <w:rsid w:val="00D2719B"/>
    <w:rsid w:val="00D27708"/>
    <w:rsid w:val="00D27A37"/>
    <w:rsid w:val="00D304D4"/>
    <w:rsid w:val="00D30610"/>
    <w:rsid w:val="00D3225B"/>
    <w:rsid w:val="00D3293B"/>
    <w:rsid w:val="00D32F7F"/>
    <w:rsid w:val="00D330D9"/>
    <w:rsid w:val="00D3357E"/>
    <w:rsid w:val="00D33D4E"/>
    <w:rsid w:val="00D350F7"/>
    <w:rsid w:val="00D36093"/>
    <w:rsid w:val="00D40182"/>
    <w:rsid w:val="00D40A08"/>
    <w:rsid w:val="00D4128A"/>
    <w:rsid w:val="00D41792"/>
    <w:rsid w:val="00D445B8"/>
    <w:rsid w:val="00D46028"/>
    <w:rsid w:val="00D460F1"/>
    <w:rsid w:val="00D46C1F"/>
    <w:rsid w:val="00D474AA"/>
    <w:rsid w:val="00D47F9E"/>
    <w:rsid w:val="00D50742"/>
    <w:rsid w:val="00D51D38"/>
    <w:rsid w:val="00D51D67"/>
    <w:rsid w:val="00D53AA4"/>
    <w:rsid w:val="00D547BD"/>
    <w:rsid w:val="00D548AF"/>
    <w:rsid w:val="00D55BEC"/>
    <w:rsid w:val="00D55BF0"/>
    <w:rsid w:val="00D55F2E"/>
    <w:rsid w:val="00D56288"/>
    <w:rsid w:val="00D573C9"/>
    <w:rsid w:val="00D60DDF"/>
    <w:rsid w:val="00D61D01"/>
    <w:rsid w:val="00D62412"/>
    <w:rsid w:val="00D653D5"/>
    <w:rsid w:val="00D65C01"/>
    <w:rsid w:val="00D660F7"/>
    <w:rsid w:val="00D66E11"/>
    <w:rsid w:val="00D670F5"/>
    <w:rsid w:val="00D67303"/>
    <w:rsid w:val="00D701AF"/>
    <w:rsid w:val="00D703BC"/>
    <w:rsid w:val="00D70999"/>
    <w:rsid w:val="00D70C0E"/>
    <w:rsid w:val="00D7145F"/>
    <w:rsid w:val="00D71A7E"/>
    <w:rsid w:val="00D721DA"/>
    <w:rsid w:val="00D72965"/>
    <w:rsid w:val="00D742AB"/>
    <w:rsid w:val="00D75068"/>
    <w:rsid w:val="00D76B9E"/>
    <w:rsid w:val="00D77666"/>
    <w:rsid w:val="00D82A92"/>
    <w:rsid w:val="00D82AAE"/>
    <w:rsid w:val="00D848C7"/>
    <w:rsid w:val="00D84DB8"/>
    <w:rsid w:val="00D855E3"/>
    <w:rsid w:val="00D85C52"/>
    <w:rsid w:val="00D85FFA"/>
    <w:rsid w:val="00D87059"/>
    <w:rsid w:val="00D8741B"/>
    <w:rsid w:val="00D877D6"/>
    <w:rsid w:val="00D87FC1"/>
    <w:rsid w:val="00D91017"/>
    <w:rsid w:val="00D915DE"/>
    <w:rsid w:val="00D920A9"/>
    <w:rsid w:val="00D93494"/>
    <w:rsid w:val="00D941FF"/>
    <w:rsid w:val="00D946AD"/>
    <w:rsid w:val="00D947AA"/>
    <w:rsid w:val="00D949AF"/>
    <w:rsid w:val="00DA0296"/>
    <w:rsid w:val="00DA042F"/>
    <w:rsid w:val="00DA3A6A"/>
    <w:rsid w:val="00DA50D2"/>
    <w:rsid w:val="00DA5729"/>
    <w:rsid w:val="00DA78BD"/>
    <w:rsid w:val="00DB0A1C"/>
    <w:rsid w:val="00DB0CC5"/>
    <w:rsid w:val="00DB1F02"/>
    <w:rsid w:val="00DB23BF"/>
    <w:rsid w:val="00DB38B1"/>
    <w:rsid w:val="00DB3D20"/>
    <w:rsid w:val="00DB5DC8"/>
    <w:rsid w:val="00DB78B6"/>
    <w:rsid w:val="00DC202F"/>
    <w:rsid w:val="00DC3848"/>
    <w:rsid w:val="00DC455E"/>
    <w:rsid w:val="00DC5C26"/>
    <w:rsid w:val="00DC719A"/>
    <w:rsid w:val="00DC739E"/>
    <w:rsid w:val="00DC74D2"/>
    <w:rsid w:val="00DC75DD"/>
    <w:rsid w:val="00DD092F"/>
    <w:rsid w:val="00DD0D6E"/>
    <w:rsid w:val="00DD1F96"/>
    <w:rsid w:val="00DD212E"/>
    <w:rsid w:val="00DD4258"/>
    <w:rsid w:val="00DD4FD1"/>
    <w:rsid w:val="00DD7ACB"/>
    <w:rsid w:val="00DD7C6F"/>
    <w:rsid w:val="00DE06A3"/>
    <w:rsid w:val="00DE1184"/>
    <w:rsid w:val="00DE590B"/>
    <w:rsid w:val="00DE6969"/>
    <w:rsid w:val="00DE6C86"/>
    <w:rsid w:val="00DE6C8F"/>
    <w:rsid w:val="00DF1C5C"/>
    <w:rsid w:val="00DF205B"/>
    <w:rsid w:val="00DF2880"/>
    <w:rsid w:val="00DF2CFF"/>
    <w:rsid w:val="00DF303A"/>
    <w:rsid w:val="00DF6EDD"/>
    <w:rsid w:val="00DF6FB4"/>
    <w:rsid w:val="00DF7BC8"/>
    <w:rsid w:val="00E00075"/>
    <w:rsid w:val="00E02177"/>
    <w:rsid w:val="00E030AF"/>
    <w:rsid w:val="00E03322"/>
    <w:rsid w:val="00E03C9D"/>
    <w:rsid w:val="00E057AD"/>
    <w:rsid w:val="00E05907"/>
    <w:rsid w:val="00E05B22"/>
    <w:rsid w:val="00E07644"/>
    <w:rsid w:val="00E077A4"/>
    <w:rsid w:val="00E07A1E"/>
    <w:rsid w:val="00E11B7F"/>
    <w:rsid w:val="00E125AE"/>
    <w:rsid w:val="00E1558B"/>
    <w:rsid w:val="00E16091"/>
    <w:rsid w:val="00E16F8A"/>
    <w:rsid w:val="00E20C97"/>
    <w:rsid w:val="00E21D73"/>
    <w:rsid w:val="00E22878"/>
    <w:rsid w:val="00E24147"/>
    <w:rsid w:val="00E24B17"/>
    <w:rsid w:val="00E26657"/>
    <w:rsid w:val="00E27712"/>
    <w:rsid w:val="00E30198"/>
    <w:rsid w:val="00E302B1"/>
    <w:rsid w:val="00E31FA9"/>
    <w:rsid w:val="00E3204F"/>
    <w:rsid w:val="00E32850"/>
    <w:rsid w:val="00E33413"/>
    <w:rsid w:val="00E33537"/>
    <w:rsid w:val="00E337B8"/>
    <w:rsid w:val="00E33B25"/>
    <w:rsid w:val="00E34E4E"/>
    <w:rsid w:val="00E360B1"/>
    <w:rsid w:val="00E367A6"/>
    <w:rsid w:val="00E37431"/>
    <w:rsid w:val="00E37816"/>
    <w:rsid w:val="00E406F9"/>
    <w:rsid w:val="00E40A0B"/>
    <w:rsid w:val="00E40E16"/>
    <w:rsid w:val="00E41152"/>
    <w:rsid w:val="00E4174B"/>
    <w:rsid w:val="00E4298E"/>
    <w:rsid w:val="00E44BFF"/>
    <w:rsid w:val="00E466BD"/>
    <w:rsid w:val="00E46FF5"/>
    <w:rsid w:val="00E5038C"/>
    <w:rsid w:val="00E50702"/>
    <w:rsid w:val="00E52916"/>
    <w:rsid w:val="00E52AFA"/>
    <w:rsid w:val="00E53E6F"/>
    <w:rsid w:val="00E544FF"/>
    <w:rsid w:val="00E54689"/>
    <w:rsid w:val="00E5469F"/>
    <w:rsid w:val="00E549BD"/>
    <w:rsid w:val="00E5522C"/>
    <w:rsid w:val="00E579ED"/>
    <w:rsid w:val="00E62DC4"/>
    <w:rsid w:val="00E64C4C"/>
    <w:rsid w:val="00E64DAC"/>
    <w:rsid w:val="00E64E22"/>
    <w:rsid w:val="00E660E1"/>
    <w:rsid w:val="00E66BFE"/>
    <w:rsid w:val="00E66C71"/>
    <w:rsid w:val="00E67837"/>
    <w:rsid w:val="00E67A1E"/>
    <w:rsid w:val="00E70B30"/>
    <w:rsid w:val="00E70DBA"/>
    <w:rsid w:val="00E73121"/>
    <w:rsid w:val="00E749B1"/>
    <w:rsid w:val="00E74ABC"/>
    <w:rsid w:val="00E74AC2"/>
    <w:rsid w:val="00E800BF"/>
    <w:rsid w:val="00E81023"/>
    <w:rsid w:val="00E81B3E"/>
    <w:rsid w:val="00E83963"/>
    <w:rsid w:val="00E850E9"/>
    <w:rsid w:val="00E85328"/>
    <w:rsid w:val="00E85797"/>
    <w:rsid w:val="00E87272"/>
    <w:rsid w:val="00E90010"/>
    <w:rsid w:val="00E9024A"/>
    <w:rsid w:val="00E90E27"/>
    <w:rsid w:val="00E9131A"/>
    <w:rsid w:val="00E91E63"/>
    <w:rsid w:val="00E91EF8"/>
    <w:rsid w:val="00E9268C"/>
    <w:rsid w:val="00E931F3"/>
    <w:rsid w:val="00E9589C"/>
    <w:rsid w:val="00E958C7"/>
    <w:rsid w:val="00E97C6A"/>
    <w:rsid w:val="00EA1CF6"/>
    <w:rsid w:val="00EA1E2A"/>
    <w:rsid w:val="00EA1FC0"/>
    <w:rsid w:val="00EA2177"/>
    <w:rsid w:val="00EA2A9D"/>
    <w:rsid w:val="00EA2B1D"/>
    <w:rsid w:val="00EA3CCB"/>
    <w:rsid w:val="00EA45F2"/>
    <w:rsid w:val="00EA4DB9"/>
    <w:rsid w:val="00EA4EAB"/>
    <w:rsid w:val="00EA52FE"/>
    <w:rsid w:val="00EA550D"/>
    <w:rsid w:val="00EA56D0"/>
    <w:rsid w:val="00EA5E1C"/>
    <w:rsid w:val="00EA5E41"/>
    <w:rsid w:val="00EA68D2"/>
    <w:rsid w:val="00EA6F6E"/>
    <w:rsid w:val="00EA728A"/>
    <w:rsid w:val="00EB032C"/>
    <w:rsid w:val="00EB0F53"/>
    <w:rsid w:val="00EB17AC"/>
    <w:rsid w:val="00EB21E3"/>
    <w:rsid w:val="00EB3799"/>
    <w:rsid w:val="00EB38E6"/>
    <w:rsid w:val="00EB3E6A"/>
    <w:rsid w:val="00EB531C"/>
    <w:rsid w:val="00EB609C"/>
    <w:rsid w:val="00EC0423"/>
    <w:rsid w:val="00EC1F24"/>
    <w:rsid w:val="00EC23B1"/>
    <w:rsid w:val="00EC421B"/>
    <w:rsid w:val="00EC4B85"/>
    <w:rsid w:val="00EC5C43"/>
    <w:rsid w:val="00EC62B9"/>
    <w:rsid w:val="00EC7034"/>
    <w:rsid w:val="00EC763A"/>
    <w:rsid w:val="00ED03AC"/>
    <w:rsid w:val="00ED136B"/>
    <w:rsid w:val="00ED183E"/>
    <w:rsid w:val="00ED2DFA"/>
    <w:rsid w:val="00ED526E"/>
    <w:rsid w:val="00ED56ED"/>
    <w:rsid w:val="00ED5F4E"/>
    <w:rsid w:val="00ED6F84"/>
    <w:rsid w:val="00EE1454"/>
    <w:rsid w:val="00EE1B97"/>
    <w:rsid w:val="00EE203B"/>
    <w:rsid w:val="00EE2D0A"/>
    <w:rsid w:val="00EE2F71"/>
    <w:rsid w:val="00EE3106"/>
    <w:rsid w:val="00EE3C13"/>
    <w:rsid w:val="00EE47B0"/>
    <w:rsid w:val="00EE5935"/>
    <w:rsid w:val="00EE6E1D"/>
    <w:rsid w:val="00EE7586"/>
    <w:rsid w:val="00EF0BD3"/>
    <w:rsid w:val="00EF27E0"/>
    <w:rsid w:val="00EF2FBC"/>
    <w:rsid w:val="00EF3935"/>
    <w:rsid w:val="00EF3F59"/>
    <w:rsid w:val="00EF4B62"/>
    <w:rsid w:val="00EF593E"/>
    <w:rsid w:val="00EF5FD3"/>
    <w:rsid w:val="00EF67C9"/>
    <w:rsid w:val="00EF6C11"/>
    <w:rsid w:val="00EF7AD5"/>
    <w:rsid w:val="00EF7F07"/>
    <w:rsid w:val="00F0035E"/>
    <w:rsid w:val="00F00A06"/>
    <w:rsid w:val="00F0419C"/>
    <w:rsid w:val="00F045A1"/>
    <w:rsid w:val="00F0471A"/>
    <w:rsid w:val="00F0627A"/>
    <w:rsid w:val="00F06987"/>
    <w:rsid w:val="00F06BD4"/>
    <w:rsid w:val="00F070BE"/>
    <w:rsid w:val="00F106BA"/>
    <w:rsid w:val="00F10C42"/>
    <w:rsid w:val="00F11C0A"/>
    <w:rsid w:val="00F144E8"/>
    <w:rsid w:val="00F15CC6"/>
    <w:rsid w:val="00F15DF8"/>
    <w:rsid w:val="00F17375"/>
    <w:rsid w:val="00F17D83"/>
    <w:rsid w:val="00F20813"/>
    <w:rsid w:val="00F21EB0"/>
    <w:rsid w:val="00F22034"/>
    <w:rsid w:val="00F2470B"/>
    <w:rsid w:val="00F24A34"/>
    <w:rsid w:val="00F24F87"/>
    <w:rsid w:val="00F25D35"/>
    <w:rsid w:val="00F25E90"/>
    <w:rsid w:val="00F26492"/>
    <w:rsid w:val="00F27806"/>
    <w:rsid w:val="00F30C2F"/>
    <w:rsid w:val="00F3176D"/>
    <w:rsid w:val="00F3176F"/>
    <w:rsid w:val="00F342D9"/>
    <w:rsid w:val="00F34463"/>
    <w:rsid w:val="00F37D70"/>
    <w:rsid w:val="00F403B9"/>
    <w:rsid w:val="00F4104E"/>
    <w:rsid w:val="00F413A4"/>
    <w:rsid w:val="00F435EB"/>
    <w:rsid w:val="00F437AF"/>
    <w:rsid w:val="00F443F9"/>
    <w:rsid w:val="00F4472C"/>
    <w:rsid w:val="00F4474A"/>
    <w:rsid w:val="00F44783"/>
    <w:rsid w:val="00F471D5"/>
    <w:rsid w:val="00F5003C"/>
    <w:rsid w:val="00F52489"/>
    <w:rsid w:val="00F549ED"/>
    <w:rsid w:val="00F54A7F"/>
    <w:rsid w:val="00F54BD7"/>
    <w:rsid w:val="00F55826"/>
    <w:rsid w:val="00F55CC2"/>
    <w:rsid w:val="00F56076"/>
    <w:rsid w:val="00F60139"/>
    <w:rsid w:val="00F60521"/>
    <w:rsid w:val="00F60761"/>
    <w:rsid w:val="00F60959"/>
    <w:rsid w:val="00F61526"/>
    <w:rsid w:val="00F62001"/>
    <w:rsid w:val="00F62DD1"/>
    <w:rsid w:val="00F64CCD"/>
    <w:rsid w:val="00F650DB"/>
    <w:rsid w:val="00F6522F"/>
    <w:rsid w:val="00F65DB0"/>
    <w:rsid w:val="00F65E89"/>
    <w:rsid w:val="00F665F8"/>
    <w:rsid w:val="00F66BEF"/>
    <w:rsid w:val="00F673F1"/>
    <w:rsid w:val="00F67BF1"/>
    <w:rsid w:val="00F71EB4"/>
    <w:rsid w:val="00F722C2"/>
    <w:rsid w:val="00F72422"/>
    <w:rsid w:val="00F73370"/>
    <w:rsid w:val="00F773FF"/>
    <w:rsid w:val="00F77F1A"/>
    <w:rsid w:val="00F809E2"/>
    <w:rsid w:val="00F81951"/>
    <w:rsid w:val="00F82CD5"/>
    <w:rsid w:val="00F8305D"/>
    <w:rsid w:val="00F84F62"/>
    <w:rsid w:val="00F8568E"/>
    <w:rsid w:val="00F87846"/>
    <w:rsid w:val="00F90089"/>
    <w:rsid w:val="00F9033B"/>
    <w:rsid w:val="00F90C21"/>
    <w:rsid w:val="00F90D17"/>
    <w:rsid w:val="00F920BB"/>
    <w:rsid w:val="00F924C6"/>
    <w:rsid w:val="00F92B9F"/>
    <w:rsid w:val="00F932DF"/>
    <w:rsid w:val="00F946B3"/>
    <w:rsid w:val="00F95A4D"/>
    <w:rsid w:val="00F96CFF"/>
    <w:rsid w:val="00F97291"/>
    <w:rsid w:val="00FA0F7A"/>
    <w:rsid w:val="00FA18C6"/>
    <w:rsid w:val="00FA20ED"/>
    <w:rsid w:val="00FA3B8C"/>
    <w:rsid w:val="00FA660C"/>
    <w:rsid w:val="00FA7FBA"/>
    <w:rsid w:val="00FB15A7"/>
    <w:rsid w:val="00FB18FC"/>
    <w:rsid w:val="00FB1AA0"/>
    <w:rsid w:val="00FB2E8B"/>
    <w:rsid w:val="00FB3C19"/>
    <w:rsid w:val="00FB406E"/>
    <w:rsid w:val="00FB4223"/>
    <w:rsid w:val="00FB593B"/>
    <w:rsid w:val="00FB5AF6"/>
    <w:rsid w:val="00FB6C91"/>
    <w:rsid w:val="00FC1009"/>
    <w:rsid w:val="00FC26C2"/>
    <w:rsid w:val="00FC2855"/>
    <w:rsid w:val="00FC2C92"/>
    <w:rsid w:val="00FC36E9"/>
    <w:rsid w:val="00FC4AEC"/>
    <w:rsid w:val="00FC4FF2"/>
    <w:rsid w:val="00FD05C1"/>
    <w:rsid w:val="00FD0FB6"/>
    <w:rsid w:val="00FD3580"/>
    <w:rsid w:val="00FD3E0F"/>
    <w:rsid w:val="00FD3E5A"/>
    <w:rsid w:val="00FE1D6B"/>
    <w:rsid w:val="00FE1E59"/>
    <w:rsid w:val="00FE28ED"/>
    <w:rsid w:val="00FE2A7E"/>
    <w:rsid w:val="00FE3C36"/>
    <w:rsid w:val="00FE5787"/>
    <w:rsid w:val="00FE5915"/>
    <w:rsid w:val="00FE70BA"/>
    <w:rsid w:val="00FE7204"/>
    <w:rsid w:val="00FE7D64"/>
    <w:rsid w:val="00FF0228"/>
    <w:rsid w:val="00FF0AA3"/>
    <w:rsid w:val="00FF0E9C"/>
    <w:rsid w:val="00FF12C4"/>
    <w:rsid w:val="00FF1680"/>
    <w:rsid w:val="00FF1E27"/>
    <w:rsid w:val="00FF2371"/>
    <w:rsid w:val="00FF27B1"/>
    <w:rsid w:val="00FF2CA4"/>
    <w:rsid w:val="00FF667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4DC85"/>
  <w15:chartTrackingRefBased/>
  <w15:docId w15:val="{B63A838F-C3A8-4681-878B-FAFCDF067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
        <w:bCs/>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56D3"/>
    <w:pPr>
      <w:spacing w:before="240" w:after="240" w:line="360" w:lineRule="auto"/>
      <w:jc w:val="both"/>
      <w:outlineLvl w:val="0"/>
    </w:pPr>
    <w:rPr>
      <w:lang w:val="en-US"/>
    </w:rPr>
  </w:style>
  <w:style w:type="paragraph" w:styleId="Heading2">
    <w:name w:val="heading 2"/>
    <w:basedOn w:val="Normal"/>
    <w:next w:val="Normal"/>
    <w:link w:val="Heading2Char"/>
    <w:uiPriority w:val="9"/>
    <w:unhideWhenUsed/>
    <w:qFormat/>
    <w:rsid w:val="001B1271"/>
    <w:pPr>
      <w:spacing w:before="240" w:after="240" w:line="360" w:lineRule="auto"/>
      <w:jc w:val="both"/>
      <w:outlineLvl w:val="1"/>
    </w:pPr>
    <w:rPr>
      <w:b w:val="0"/>
      <w:bCs w:val="0"/>
      <w:i/>
      <w:i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4258"/>
    <w:pPr>
      <w:spacing w:before="100" w:beforeAutospacing="1" w:after="100" w:afterAutospacing="1"/>
    </w:pPr>
    <w:rPr>
      <w:rFonts w:eastAsia="Times New Roman"/>
      <w:b w:val="0"/>
      <w:bCs w:val="0"/>
      <w:lang w:eastAsia="zh-CN"/>
    </w:rPr>
  </w:style>
  <w:style w:type="paragraph" w:styleId="FootnoteText">
    <w:name w:val="footnote text"/>
    <w:basedOn w:val="Normal"/>
    <w:link w:val="FootnoteTextChar"/>
    <w:uiPriority w:val="99"/>
    <w:rsid w:val="00373452"/>
    <w:rPr>
      <w:rFonts w:ascii="Calibri" w:eastAsia="Calibri" w:hAnsi="Calibri"/>
      <w:b w:val="0"/>
      <w:bCs w:val="0"/>
      <w:sz w:val="20"/>
      <w:szCs w:val="20"/>
    </w:rPr>
  </w:style>
  <w:style w:type="character" w:customStyle="1" w:styleId="FootnoteTextChar">
    <w:name w:val="Footnote Text Char"/>
    <w:basedOn w:val="DefaultParagraphFont"/>
    <w:link w:val="FootnoteText"/>
    <w:uiPriority w:val="99"/>
    <w:rsid w:val="00373452"/>
    <w:rPr>
      <w:rFonts w:ascii="Calibri" w:eastAsia="Calibri" w:hAnsi="Calibri"/>
      <w:b w:val="0"/>
      <w:bCs w:val="0"/>
      <w:sz w:val="20"/>
      <w:szCs w:val="20"/>
    </w:rPr>
  </w:style>
  <w:style w:type="character" w:styleId="FootnoteReference">
    <w:name w:val="footnote reference"/>
    <w:basedOn w:val="DefaultParagraphFont"/>
    <w:rsid w:val="00373452"/>
    <w:rPr>
      <w:rFonts w:cs="Times New Roman"/>
      <w:vertAlign w:val="superscript"/>
    </w:rPr>
  </w:style>
  <w:style w:type="character" w:styleId="Hyperlink">
    <w:name w:val="Hyperlink"/>
    <w:basedOn w:val="DefaultParagraphFont"/>
    <w:uiPriority w:val="99"/>
    <w:unhideWhenUsed/>
    <w:rsid w:val="000B2DE4"/>
    <w:rPr>
      <w:color w:val="0563C1" w:themeColor="hyperlink"/>
      <w:u w:val="single"/>
    </w:rPr>
  </w:style>
  <w:style w:type="character" w:styleId="UnresolvedMention">
    <w:name w:val="Unresolved Mention"/>
    <w:basedOn w:val="DefaultParagraphFont"/>
    <w:uiPriority w:val="99"/>
    <w:semiHidden/>
    <w:unhideWhenUsed/>
    <w:rsid w:val="000B2DE4"/>
    <w:rPr>
      <w:color w:val="605E5C"/>
      <w:shd w:val="clear" w:color="auto" w:fill="E1DFDD"/>
    </w:rPr>
  </w:style>
  <w:style w:type="paragraph" w:styleId="Header">
    <w:name w:val="header"/>
    <w:basedOn w:val="Normal"/>
    <w:link w:val="HeaderChar"/>
    <w:uiPriority w:val="99"/>
    <w:unhideWhenUsed/>
    <w:rsid w:val="0079539E"/>
    <w:pPr>
      <w:tabs>
        <w:tab w:val="center" w:pos="4513"/>
        <w:tab w:val="right" w:pos="9026"/>
      </w:tabs>
    </w:pPr>
  </w:style>
  <w:style w:type="character" w:customStyle="1" w:styleId="HeaderChar">
    <w:name w:val="Header Char"/>
    <w:basedOn w:val="DefaultParagraphFont"/>
    <w:link w:val="Header"/>
    <w:uiPriority w:val="99"/>
    <w:rsid w:val="0079539E"/>
  </w:style>
  <w:style w:type="paragraph" w:styleId="Footer">
    <w:name w:val="footer"/>
    <w:basedOn w:val="Normal"/>
    <w:link w:val="FooterChar"/>
    <w:uiPriority w:val="99"/>
    <w:unhideWhenUsed/>
    <w:rsid w:val="0079539E"/>
    <w:pPr>
      <w:tabs>
        <w:tab w:val="center" w:pos="4513"/>
        <w:tab w:val="right" w:pos="9026"/>
      </w:tabs>
    </w:pPr>
  </w:style>
  <w:style w:type="character" w:customStyle="1" w:styleId="FooterChar">
    <w:name w:val="Footer Char"/>
    <w:basedOn w:val="DefaultParagraphFont"/>
    <w:link w:val="Footer"/>
    <w:uiPriority w:val="99"/>
    <w:rsid w:val="0079539E"/>
  </w:style>
  <w:style w:type="paragraph" w:styleId="ListParagraph">
    <w:name w:val="List Paragraph"/>
    <w:basedOn w:val="Normal"/>
    <w:uiPriority w:val="34"/>
    <w:qFormat/>
    <w:rsid w:val="00A436E9"/>
    <w:pPr>
      <w:ind w:left="720"/>
      <w:contextualSpacing/>
    </w:pPr>
  </w:style>
  <w:style w:type="character" w:styleId="CommentReference">
    <w:name w:val="annotation reference"/>
    <w:basedOn w:val="DefaultParagraphFont"/>
    <w:uiPriority w:val="99"/>
    <w:semiHidden/>
    <w:unhideWhenUsed/>
    <w:rsid w:val="00567751"/>
    <w:rPr>
      <w:sz w:val="16"/>
      <w:szCs w:val="16"/>
    </w:rPr>
  </w:style>
  <w:style w:type="paragraph" w:styleId="CommentText">
    <w:name w:val="annotation text"/>
    <w:basedOn w:val="Normal"/>
    <w:link w:val="CommentTextChar"/>
    <w:uiPriority w:val="99"/>
    <w:unhideWhenUsed/>
    <w:rsid w:val="00567751"/>
    <w:rPr>
      <w:sz w:val="20"/>
      <w:szCs w:val="20"/>
    </w:rPr>
  </w:style>
  <w:style w:type="character" w:customStyle="1" w:styleId="CommentTextChar">
    <w:name w:val="Comment Text Char"/>
    <w:basedOn w:val="DefaultParagraphFont"/>
    <w:link w:val="CommentText"/>
    <w:uiPriority w:val="99"/>
    <w:rsid w:val="00567751"/>
    <w:rPr>
      <w:sz w:val="20"/>
      <w:szCs w:val="20"/>
    </w:rPr>
  </w:style>
  <w:style w:type="paragraph" w:styleId="CommentSubject">
    <w:name w:val="annotation subject"/>
    <w:basedOn w:val="CommentText"/>
    <w:next w:val="CommentText"/>
    <w:link w:val="CommentSubjectChar"/>
    <w:uiPriority w:val="99"/>
    <w:semiHidden/>
    <w:unhideWhenUsed/>
    <w:rsid w:val="00567751"/>
  </w:style>
  <w:style w:type="character" w:customStyle="1" w:styleId="CommentSubjectChar">
    <w:name w:val="Comment Subject Char"/>
    <w:basedOn w:val="CommentTextChar"/>
    <w:link w:val="CommentSubject"/>
    <w:uiPriority w:val="99"/>
    <w:semiHidden/>
    <w:rsid w:val="00567751"/>
    <w:rPr>
      <w:sz w:val="20"/>
      <w:szCs w:val="20"/>
    </w:rPr>
  </w:style>
  <w:style w:type="paragraph" w:styleId="Revision">
    <w:name w:val="Revision"/>
    <w:hidden/>
    <w:uiPriority w:val="99"/>
    <w:semiHidden/>
    <w:rsid w:val="008B4E04"/>
  </w:style>
  <w:style w:type="character" w:styleId="FollowedHyperlink">
    <w:name w:val="FollowedHyperlink"/>
    <w:basedOn w:val="DefaultParagraphFont"/>
    <w:uiPriority w:val="99"/>
    <w:semiHidden/>
    <w:unhideWhenUsed/>
    <w:rsid w:val="00251F7F"/>
    <w:rPr>
      <w:color w:val="954F72" w:themeColor="followedHyperlink"/>
      <w:u w:val="single"/>
    </w:rPr>
  </w:style>
  <w:style w:type="paragraph" w:styleId="NoSpacing">
    <w:name w:val="No Spacing"/>
    <w:uiPriority w:val="1"/>
    <w:qFormat/>
    <w:rsid w:val="00F24F87"/>
    <w:pPr>
      <w:keepLines/>
    </w:pPr>
    <w:rPr>
      <w:rFonts w:ascii="Calibri" w:eastAsia="Calibri" w:hAnsi="Calibri"/>
      <w:b w:val="0"/>
      <w:bCs w:val="0"/>
      <w:sz w:val="22"/>
      <w:szCs w:val="22"/>
    </w:rPr>
  </w:style>
  <w:style w:type="paragraph" w:styleId="EndnoteText">
    <w:name w:val="endnote text"/>
    <w:basedOn w:val="Normal"/>
    <w:link w:val="EndnoteTextChar"/>
    <w:uiPriority w:val="99"/>
    <w:semiHidden/>
    <w:unhideWhenUsed/>
    <w:rsid w:val="00F924C6"/>
    <w:rPr>
      <w:sz w:val="20"/>
      <w:szCs w:val="20"/>
    </w:rPr>
  </w:style>
  <w:style w:type="character" w:customStyle="1" w:styleId="EndnoteTextChar">
    <w:name w:val="Endnote Text Char"/>
    <w:basedOn w:val="DefaultParagraphFont"/>
    <w:link w:val="EndnoteText"/>
    <w:uiPriority w:val="99"/>
    <w:semiHidden/>
    <w:rsid w:val="00F924C6"/>
    <w:rPr>
      <w:sz w:val="20"/>
      <w:szCs w:val="20"/>
    </w:rPr>
  </w:style>
  <w:style w:type="character" w:styleId="EndnoteReference">
    <w:name w:val="endnote reference"/>
    <w:basedOn w:val="DefaultParagraphFont"/>
    <w:uiPriority w:val="99"/>
    <w:semiHidden/>
    <w:unhideWhenUsed/>
    <w:rsid w:val="00F924C6"/>
    <w:rPr>
      <w:vertAlign w:val="superscript"/>
    </w:rPr>
  </w:style>
  <w:style w:type="character" w:customStyle="1" w:styleId="Heading2Char">
    <w:name w:val="Heading 2 Char"/>
    <w:basedOn w:val="DefaultParagraphFont"/>
    <w:link w:val="Heading2"/>
    <w:uiPriority w:val="9"/>
    <w:rsid w:val="001B1271"/>
    <w:rPr>
      <w:b w:val="0"/>
      <w:bCs w:val="0"/>
      <w:i/>
      <w:iCs/>
      <w:lang w:val="en-US"/>
    </w:rPr>
  </w:style>
  <w:style w:type="character" w:customStyle="1" w:styleId="Heading1Char">
    <w:name w:val="Heading 1 Char"/>
    <w:basedOn w:val="DefaultParagraphFont"/>
    <w:link w:val="Heading1"/>
    <w:uiPriority w:val="9"/>
    <w:rsid w:val="00C456D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888600">
      <w:bodyDiv w:val="1"/>
      <w:marLeft w:val="0"/>
      <w:marRight w:val="0"/>
      <w:marTop w:val="0"/>
      <w:marBottom w:val="0"/>
      <w:divBdr>
        <w:top w:val="none" w:sz="0" w:space="0" w:color="auto"/>
        <w:left w:val="none" w:sz="0" w:space="0" w:color="auto"/>
        <w:bottom w:val="none" w:sz="0" w:space="0" w:color="auto"/>
        <w:right w:val="none" w:sz="0" w:space="0" w:color="auto"/>
      </w:divBdr>
    </w:div>
    <w:div w:id="1138494229">
      <w:bodyDiv w:val="1"/>
      <w:marLeft w:val="0"/>
      <w:marRight w:val="0"/>
      <w:marTop w:val="0"/>
      <w:marBottom w:val="0"/>
      <w:divBdr>
        <w:top w:val="none" w:sz="0" w:space="0" w:color="auto"/>
        <w:left w:val="none" w:sz="0" w:space="0" w:color="auto"/>
        <w:bottom w:val="none" w:sz="0" w:space="0" w:color="auto"/>
        <w:right w:val="none" w:sz="0" w:space="0" w:color="auto"/>
      </w:divBdr>
    </w:div>
    <w:div w:id="144037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www.judiciary.uk/wp-content/uploads/2021/05/R-v-Farieissia-Martin-sentencing-remarks.pdf" TargetMode="External"/><Relationship Id="rId2" Type="http://schemas.openxmlformats.org/officeDocument/2006/relationships/hyperlink" Target="https://www.justiceforwomen.org.uk/news/2020/12/4/fri-martin-a-paradigm-case-of-coercive-control" TargetMode="External"/><Relationship Id="rId1" Type="http://schemas.openxmlformats.org/officeDocument/2006/relationships/hyperlink" Target="https://www.justiceforwomen.org.uk/farieissia-martin" TargetMode="External"/><Relationship Id="rId5" Type="http://schemas.openxmlformats.org/officeDocument/2006/relationships/hyperlink" Target="https://www.cps.gov.uk/south-east/news/accepts-sally-challens-manslaughter-plea" TargetMode="External"/><Relationship Id="rId4" Type="http://schemas.openxmlformats.org/officeDocument/2006/relationships/hyperlink" Target="https://static1.squarespace.com/static/5aa98420f2e6b1ba0c874e42/t/602a9a87e96acc025de5de67/1613404821139/CWJ_WomenWhoKill_Rpt_WEB-3+smal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4A5DB-0ECD-419E-BFE2-6698A3307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5946</Words>
  <Characters>33893</Characters>
  <Application>Microsoft Office Word</Application>
  <DocSecurity>4</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McPherson</dc:creator>
  <cp:keywords/>
  <dc:description/>
  <cp:lastModifiedBy>Carline, Anna</cp:lastModifiedBy>
  <cp:revision>2</cp:revision>
  <cp:lastPrinted>2021-10-13T09:27:00Z</cp:lastPrinted>
  <dcterms:created xsi:type="dcterms:W3CDTF">2022-08-23T09:55:00Z</dcterms:created>
  <dcterms:modified xsi:type="dcterms:W3CDTF">2022-08-23T09:55:00Z</dcterms:modified>
</cp:coreProperties>
</file>