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0C98B" w14:textId="77777777" w:rsidR="000A2E77" w:rsidRPr="008102E6" w:rsidRDefault="000A2E77" w:rsidP="0008027B">
      <w:pPr>
        <w:spacing w:line="360" w:lineRule="auto"/>
        <w:jc w:val="center"/>
        <w:outlineLvl w:val="0"/>
        <w:rPr>
          <w:rFonts w:cs="Times New Roman"/>
          <w:b/>
        </w:rPr>
      </w:pPr>
      <w:r>
        <w:rPr>
          <w:rFonts w:cs="Times New Roman"/>
          <w:b/>
        </w:rPr>
        <w:t>Tort Theory and the Interpretive Sleight of Hand</w:t>
      </w:r>
    </w:p>
    <w:p w14:paraId="189C8DA9" w14:textId="5036D2CC" w:rsidR="000A2E77" w:rsidRDefault="000A2E77" w:rsidP="0034071D">
      <w:pPr>
        <w:spacing w:line="360" w:lineRule="auto"/>
        <w:rPr>
          <w:rFonts w:cs="Times New Roman"/>
        </w:rPr>
      </w:pPr>
    </w:p>
    <w:p w14:paraId="431B0614" w14:textId="668EF569" w:rsidR="0015645D" w:rsidRDefault="0015645D" w:rsidP="0008027B">
      <w:pPr>
        <w:spacing w:line="360" w:lineRule="auto"/>
        <w:outlineLvl w:val="0"/>
        <w:rPr>
          <w:rFonts w:cs="Times New Roman"/>
        </w:rPr>
      </w:pPr>
      <w:r>
        <w:rPr>
          <w:rFonts w:cs="Times New Roman"/>
        </w:rPr>
        <w:t>Craig Purshouse</w:t>
      </w:r>
    </w:p>
    <w:p w14:paraId="7EC4FF9C" w14:textId="71A6A918" w:rsidR="0015645D" w:rsidRDefault="0015645D" w:rsidP="0034071D">
      <w:pPr>
        <w:spacing w:line="360" w:lineRule="auto"/>
        <w:rPr>
          <w:rFonts w:cs="Times New Roman"/>
        </w:rPr>
      </w:pPr>
      <w:r>
        <w:rPr>
          <w:rFonts w:cs="Times New Roman"/>
        </w:rPr>
        <w:t>Senior Lecturer</w:t>
      </w:r>
      <w:r w:rsidR="00D05935">
        <w:rPr>
          <w:rFonts w:cs="Times New Roman"/>
        </w:rPr>
        <w:t xml:space="preserve"> </w:t>
      </w:r>
      <w:r w:rsidR="00881B81">
        <w:rPr>
          <w:rFonts w:cs="Times New Roman"/>
        </w:rPr>
        <w:t>in Law, University of Liverpool.</w:t>
      </w:r>
      <w:bookmarkStart w:id="0" w:name="_GoBack"/>
      <w:bookmarkEnd w:id="0"/>
    </w:p>
    <w:p w14:paraId="76D777C7" w14:textId="77777777" w:rsidR="0015645D" w:rsidRDefault="0015645D" w:rsidP="0034071D">
      <w:pPr>
        <w:spacing w:line="360" w:lineRule="auto"/>
        <w:rPr>
          <w:rFonts w:cs="Times New Roman"/>
        </w:rPr>
      </w:pPr>
    </w:p>
    <w:p w14:paraId="3D417FF4" w14:textId="77777777" w:rsidR="000A2E77" w:rsidRPr="008102E6" w:rsidRDefault="000A2E77" w:rsidP="0008027B">
      <w:pPr>
        <w:spacing w:line="360" w:lineRule="auto"/>
        <w:jc w:val="center"/>
        <w:outlineLvl w:val="0"/>
        <w:rPr>
          <w:rFonts w:cs="Times New Roman"/>
        </w:rPr>
      </w:pPr>
      <w:r w:rsidRPr="008102E6">
        <w:rPr>
          <w:rFonts w:cs="Times New Roman"/>
          <w:b/>
        </w:rPr>
        <w:t>Introduction</w:t>
      </w:r>
    </w:p>
    <w:p w14:paraId="14D67A87" w14:textId="77777777" w:rsidR="000A2E77" w:rsidRPr="008102E6" w:rsidRDefault="000A2E77" w:rsidP="0034071D">
      <w:pPr>
        <w:spacing w:line="360" w:lineRule="auto"/>
        <w:rPr>
          <w:rFonts w:cs="Times New Roman"/>
        </w:rPr>
      </w:pPr>
    </w:p>
    <w:p w14:paraId="03273A14" w14:textId="638FD7CF" w:rsidR="00213BB7" w:rsidRPr="008102E6" w:rsidRDefault="000A2E77" w:rsidP="0034071D">
      <w:pPr>
        <w:spacing w:line="360" w:lineRule="auto"/>
        <w:rPr>
          <w:rFonts w:cs="Times New Roman"/>
        </w:rPr>
      </w:pPr>
      <w:r w:rsidRPr="008102E6">
        <w:rPr>
          <w:rFonts w:cs="Times New Roman"/>
        </w:rPr>
        <w:t xml:space="preserve">What food best represents tort law? The question is not as bizarre as it first appears and the answer no longer appears to be </w:t>
      </w:r>
      <w:r w:rsidRPr="008102E6">
        <w:rPr>
          <w:rFonts w:cs="Times New Roman"/>
          <w:i/>
        </w:rPr>
        <w:t>escargot</w:t>
      </w:r>
      <w:r w:rsidRPr="008102E6">
        <w:rPr>
          <w:rFonts w:cs="Times New Roman"/>
        </w:rPr>
        <w:t xml:space="preserve"> washed down with a ginger beer float. </w:t>
      </w:r>
      <w:r>
        <w:rPr>
          <w:rFonts w:cs="Times New Roman"/>
        </w:rPr>
        <w:t>Indeed</w:t>
      </w:r>
      <w:r w:rsidRPr="008102E6">
        <w:rPr>
          <w:rFonts w:cs="Times New Roman"/>
        </w:rPr>
        <w:t xml:space="preserve">, food-based metaphors </w:t>
      </w:r>
      <w:r>
        <w:rPr>
          <w:rFonts w:cs="Times New Roman"/>
        </w:rPr>
        <w:t>seem especially popular among tort theorists</w:t>
      </w:r>
      <w:r w:rsidRPr="008102E6">
        <w:rPr>
          <w:rFonts w:cs="Times New Roman"/>
        </w:rPr>
        <w:t>. F</w:t>
      </w:r>
      <w:r w:rsidR="00741404">
        <w:rPr>
          <w:rFonts w:cs="Times New Roman"/>
        </w:rPr>
        <w:t>or Robert Stevens, tort law is “</w:t>
      </w:r>
      <w:r w:rsidRPr="008102E6">
        <w:rPr>
          <w:rFonts w:cs="Times New Roman"/>
        </w:rPr>
        <w:t>not like minestrone soup</w:t>
      </w:r>
      <w:r w:rsidR="00741404">
        <w:rPr>
          <w:rFonts w:cs="Times New Roman"/>
        </w:rPr>
        <w:t>”</w:t>
      </w:r>
      <w:r w:rsidR="0033379A" w:rsidRPr="008102E6">
        <w:rPr>
          <w:rFonts w:cs="Times New Roman"/>
        </w:rPr>
        <w:t xml:space="preserve"> </w:t>
      </w:r>
      <w:r w:rsidR="0033379A">
        <w:rPr>
          <w:rFonts w:cs="Times New Roman"/>
        </w:rPr>
        <w:t>insofar as one cannot “</w:t>
      </w:r>
      <w:r w:rsidR="0033379A" w:rsidRPr="008102E6">
        <w:rPr>
          <w:rFonts w:cs="Times New Roman"/>
        </w:rPr>
        <w:t>simply add together a number of disparate ingredients and ho</w:t>
      </w:r>
      <w:r w:rsidR="0033379A">
        <w:rPr>
          <w:rFonts w:cs="Times New Roman"/>
        </w:rPr>
        <w:t>pe to get a satisfactory result”</w:t>
      </w:r>
      <w:r w:rsidR="0033379A" w:rsidRPr="008102E6">
        <w:rPr>
          <w:rFonts w:cs="Times New Roman"/>
        </w:rPr>
        <w:t>.</w:t>
      </w:r>
      <w:r w:rsidR="00213BB7" w:rsidRPr="008102E6">
        <w:rPr>
          <w:rStyle w:val="FootnoteReference"/>
          <w:rFonts w:cs="Times New Roman"/>
        </w:rPr>
        <w:footnoteReference w:id="1"/>
      </w:r>
      <w:r w:rsidR="00213BB7" w:rsidRPr="008102E6">
        <w:rPr>
          <w:rFonts w:cs="Times New Roman"/>
        </w:rPr>
        <w:t xml:space="preserve"> In her </w:t>
      </w:r>
      <w:r w:rsidR="00213BB7" w:rsidRPr="007F0DF4">
        <w:rPr>
          <w:rFonts w:cs="Times New Roman"/>
        </w:rPr>
        <w:t>Clarendon Law Lectures</w:t>
      </w:r>
      <w:r w:rsidR="00213BB7" w:rsidRPr="008102E6">
        <w:rPr>
          <w:rFonts w:cs="Times New Roman"/>
        </w:rPr>
        <w:t xml:space="preserve">, Jane Stapleton, no doubt in a </w:t>
      </w:r>
      <w:r w:rsidR="00213BB7">
        <w:rPr>
          <w:rFonts w:cs="Times New Roman"/>
        </w:rPr>
        <w:t>no</w:t>
      </w:r>
      <w:r w:rsidR="00213BB7" w:rsidRPr="008102E6">
        <w:rPr>
          <w:rFonts w:cs="Times New Roman"/>
        </w:rPr>
        <w:t>d to those remarks,</w:t>
      </w:r>
      <w:r w:rsidR="00213BB7">
        <w:rPr>
          <w:rFonts w:cs="Times New Roman"/>
        </w:rPr>
        <w:t xml:space="preserve"> was critical of theorists who “</w:t>
      </w:r>
      <w:r w:rsidR="00213BB7" w:rsidRPr="008102E6">
        <w:rPr>
          <w:rFonts w:cs="Times New Roman"/>
        </w:rPr>
        <w:t xml:space="preserve">describe tort law as being fundamentally </w:t>
      </w:r>
      <w:r w:rsidR="00213BB7">
        <w:rPr>
          <w:rFonts w:cs="Times New Roman"/>
        </w:rPr>
        <w:t>‘all about one thing’</w:t>
      </w:r>
      <w:r w:rsidR="00213BB7" w:rsidRPr="008102E6">
        <w:rPr>
          <w:rFonts w:cs="Times New Roman"/>
        </w:rPr>
        <w:t>, like carrot purée.</w:t>
      </w:r>
      <w:r w:rsidR="00213BB7">
        <w:rPr>
          <w:rFonts w:cs="Times New Roman"/>
        </w:rPr>
        <w:t>”</w:t>
      </w:r>
      <w:r w:rsidR="00213BB7" w:rsidRPr="008102E6">
        <w:rPr>
          <w:rStyle w:val="FootnoteReference"/>
          <w:rFonts w:cs="Times New Roman"/>
        </w:rPr>
        <w:footnoteReference w:id="2"/>
      </w:r>
      <w:r w:rsidR="00213BB7" w:rsidRPr="008102E6">
        <w:rPr>
          <w:rFonts w:cs="Times New Roman"/>
        </w:rPr>
        <w:t xml:space="preserve">  </w:t>
      </w:r>
    </w:p>
    <w:p w14:paraId="12EBCB1D" w14:textId="77777777" w:rsidR="00213BB7" w:rsidRPr="008102E6" w:rsidRDefault="00213BB7" w:rsidP="0034071D">
      <w:pPr>
        <w:spacing w:line="360" w:lineRule="auto"/>
        <w:rPr>
          <w:rFonts w:cs="Times New Roman"/>
        </w:rPr>
      </w:pPr>
    </w:p>
    <w:p w14:paraId="7ADBD3B4" w14:textId="614D4471" w:rsidR="00213BB7" w:rsidRPr="008102E6" w:rsidRDefault="00213BB7" w:rsidP="0034071D">
      <w:pPr>
        <w:spacing w:line="360" w:lineRule="auto"/>
        <w:rPr>
          <w:rFonts w:cs="Times New Roman"/>
        </w:rPr>
      </w:pPr>
      <w:r w:rsidRPr="008102E6">
        <w:rPr>
          <w:rFonts w:cs="Times New Roman"/>
        </w:rPr>
        <w:t xml:space="preserve">In the </w:t>
      </w:r>
      <w:r>
        <w:rPr>
          <w:rFonts w:cs="Times New Roman"/>
        </w:rPr>
        <w:t>“</w:t>
      </w:r>
      <w:r w:rsidRPr="008102E6">
        <w:rPr>
          <w:rFonts w:cs="Times New Roman"/>
        </w:rPr>
        <w:t>carrot purée</w:t>
      </w:r>
      <w:r>
        <w:rPr>
          <w:rFonts w:cs="Times New Roman"/>
        </w:rPr>
        <w:t>”</w:t>
      </w:r>
      <w:r w:rsidRPr="008102E6">
        <w:rPr>
          <w:rFonts w:cs="Times New Roman"/>
        </w:rPr>
        <w:t xml:space="preserve"> camp are those who </w:t>
      </w:r>
      <w:r>
        <w:rPr>
          <w:rFonts w:cs="Times New Roman"/>
        </w:rPr>
        <w:t>have been referred to as “Grand Theorists”</w:t>
      </w:r>
      <w:r w:rsidRPr="008102E6">
        <w:rPr>
          <w:rFonts w:cs="Times New Roman"/>
        </w:rPr>
        <w:t>,</w:t>
      </w:r>
      <w:r w:rsidRPr="008102E6">
        <w:rPr>
          <w:rStyle w:val="FootnoteReference"/>
          <w:rFonts w:cs="Times New Roman"/>
        </w:rPr>
        <w:footnoteReference w:id="3"/>
      </w:r>
      <w:r>
        <w:rPr>
          <w:rFonts w:cs="Times New Roman"/>
        </w:rPr>
        <w:t xml:space="preserve"> “</w:t>
      </w:r>
      <w:r w:rsidRPr="008102E6">
        <w:rPr>
          <w:rFonts w:cs="Times New Roman"/>
        </w:rPr>
        <w:t>reductionists</w:t>
      </w:r>
      <w:r>
        <w:rPr>
          <w:rFonts w:cs="Times New Roman"/>
        </w:rPr>
        <w:t>”</w:t>
      </w:r>
      <w:r w:rsidRPr="008102E6">
        <w:rPr>
          <w:rFonts w:cs="Times New Roman"/>
        </w:rPr>
        <w:t>,</w:t>
      </w:r>
      <w:r w:rsidRPr="008102E6">
        <w:rPr>
          <w:rStyle w:val="FootnoteReference"/>
          <w:rFonts w:cs="Times New Roman"/>
        </w:rPr>
        <w:footnoteReference w:id="4"/>
      </w:r>
      <w:r w:rsidRPr="008102E6">
        <w:rPr>
          <w:rFonts w:cs="Times New Roman"/>
        </w:rPr>
        <w:t xml:space="preserve"> </w:t>
      </w:r>
      <w:r>
        <w:rPr>
          <w:rFonts w:cs="Times New Roman"/>
        </w:rPr>
        <w:t>or “rights-fundamentalists”.</w:t>
      </w:r>
      <w:r w:rsidRPr="008102E6">
        <w:rPr>
          <w:rStyle w:val="FootnoteReference"/>
          <w:rFonts w:cs="Times New Roman"/>
        </w:rPr>
        <w:footnoteReference w:id="5"/>
      </w:r>
      <w:r>
        <w:rPr>
          <w:rFonts w:cs="Times New Roman"/>
        </w:rPr>
        <w:t xml:space="preserve"> </w:t>
      </w:r>
      <w:r w:rsidRPr="008102E6">
        <w:rPr>
          <w:rFonts w:cs="Times New Roman"/>
        </w:rPr>
        <w:t xml:space="preserve">This would encompass </w:t>
      </w:r>
      <w:r>
        <w:rPr>
          <w:rFonts w:cs="Times New Roman"/>
        </w:rPr>
        <w:t>scholars</w:t>
      </w:r>
      <w:r w:rsidRPr="008102E6">
        <w:rPr>
          <w:rFonts w:cs="Times New Roman"/>
        </w:rPr>
        <w:t xml:space="preserve"> in the corrective justice</w:t>
      </w:r>
      <w:r>
        <w:rPr>
          <w:rFonts w:cs="Times New Roman"/>
        </w:rPr>
        <w:t xml:space="preserve"> and</w:t>
      </w:r>
      <w:r w:rsidRPr="008102E6">
        <w:rPr>
          <w:rFonts w:cs="Times New Roman"/>
        </w:rPr>
        <w:t xml:space="preserve"> rights-based traditions of tort </w:t>
      </w:r>
      <w:r>
        <w:rPr>
          <w:rFonts w:cs="Times New Roman"/>
        </w:rPr>
        <w:t>theory</w:t>
      </w:r>
      <w:r w:rsidRPr="008102E6">
        <w:rPr>
          <w:rFonts w:cs="Times New Roman"/>
        </w:rPr>
        <w:t>. Distinctions between these theor</w:t>
      </w:r>
      <w:r>
        <w:rPr>
          <w:rFonts w:cs="Times New Roman"/>
        </w:rPr>
        <w:t xml:space="preserve">etical approaches </w:t>
      </w:r>
      <w:r w:rsidRPr="008102E6">
        <w:rPr>
          <w:rFonts w:cs="Times New Roman"/>
        </w:rPr>
        <w:t>exist</w:t>
      </w:r>
      <w:r>
        <w:rPr>
          <w:rFonts w:cs="Times New Roman"/>
        </w:rPr>
        <w:t>,</w:t>
      </w:r>
      <w:r>
        <w:rPr>
          <w:rStyle w:val="FootnoteReference"/>
          <w:rFonts w:cs="Times New Roman"/>
        </w:rPr>
        <w:footnoteReference w:id="6"/>
      </w:r>
      <w:r w:rsidRPr="008102E6">
        <w:rPr>
          <w:rFonts w:cs="Times New Roman"/>
        </w:rPr>
        <w:t xml:space="preserve"> but they all have rights at their heart</w:t>
      </w:r>
      <w:r>
        <w:rPr>
          <w:rFonts w:cs="Times New Roman"/>
        </w:rPr>
        <w:t xml:space="preserve"> and are united in their disdain for consequentialism and policy-based reasoning</w:t>
      </w:r>
      <w:r w:rsidRPr="008102E6">
        <w:rPr>
          <w:rFonts w:cs="Times New Roman"/>
        </w:rPr>
        <w:t xml:space="preserve">. For this reason, I </w:t>
      </w:r>
      <w:r>
        <w:rPr>
          <w:rFonts w:cs="Times New Roman"/>
        </w:rPr>
        <w:t xml:space="preserve">will </w:t>
      </w:r>
      <w:r w:rsidRPr="008102E6">
        <w:rPr>
          <w:rFonts w:cs="Times New Roman"/>
        </w:rPr>
        <w:t>group them</w:t>
      </w:r>
      <w:r>
        <w:rPr>
          <w:rFonts w:cs="Times New Roman"/>
        </w:rPr>
        <w:t xml:space="preserve"> together and refer to them as “deontological”</w:t>
      </w:r>
      <w:r w:rsidRPr="008102E6">
        <w:rPr>
          <w:rFonts w:cs="Times New Roman"/>
        </w:rPr>
        <w:t xml:space="preserve"> theories.</w:t>
      </w:r>
      <w:r w:rsidRPr="008102E6">
        <w:rPr>
          <w:rStyle w:val="FootnoteReference"/>
          <w:rFonts w:cs="Times New Roman"/>
        </w:rPr>
        <w:footnoteReference w:id="7"/>
      </w:r>
      <w:r w:rsidRPr="008102E6">
        <w:rPr>
          <w:rFonts w:cs="Times New Roman"/>
        </w:rPr>
        <w:t xml:space="preserve"> </w:t>
      </w:r>
    </w:p>
    <w:p w14:paraId="5E558BC3" w14:textId="77777777" w:rsidR="00213BB7" w:rsidRPr="008102E6" w:rsidRDefault="00213BB7" w:rsidP="0034071D">
      <w:pPr>
        <w:spacing w:line="360" w:lineRule="auto"/>
        <w:rPr>
          <w:rFonts w:cs="Times New Roman"/>
        </w:rPr>
      </w:pPr>
    </w:p>
    <w:p w14:paraId="1F943969" w14:textId="09D374BA" w:rsidR="00213BB7" w:rsidRPr="008102E6" w:rsidRDefault="00213BB7" w:rsidP="0034071D">
      <w:pPr>
        <w:spacing w:line="360" w:lineRule="auto"/>
        <w:rPr>
          <w:rFonts w:cs="Times New Roman"/>
        </w:rPr>
      </w:pPr>
      <w:r>
        <w:rPr>
          <w:rFonts w:cs="Times New Roman"/>
        </w:rPr>
        <w:t>On the “minestrone soup”</w:t>
      </w:r>
      <w:r w:rsidRPr="008102E6">
        <w:rPr>
          <w:rFonts w:cs="Times New Roman"/>
        </w:rPr>
        <w:t xml:space="preserve"> team are</w:t>
      </w:r>
      <w:r>
        <w:rPr>
          <w:rFonts w:cs="Times New Roman"/>
        </w:rPr>
        <w:t xml:space="preserve"> those we might call</w:t>
      </w:r>
      <w:r w:rsidRPr="008102E6">
        <w:rPr>
          <w:rFonts w:cs="Times New Roman"/>
        </w:rPr>
        <w:t xml:space="preserve"> </w:t>
      </w:r>
      <w:r>
        <w:rPr>
          <w:rFonts w:cs="Times New Roman"/>
        </w:rPr>
        <w:t xml:space="preserve">the </w:t>
      </w:r>
      <w:r w:rsidRPr="008102E6">
        <w:rPr>
          <w:rFonts w:cs="Times New Roman"/>
        </w:rPr>
        <w:t>grand theory sceptics</w:t>
      </w:r>
      <w:r>
        <w:rPr>
          <w:rFonts w:cs="Times New Roman"/>
        </w:rPr>
        <w:t>. Their critiques commonly take three forms. First and most significantly, that deontological acc</w:t>
      </w:r>
      <w:r w:rsidR="00ED1232">
        <w:rPr>
          <w:rFonts w:cs="Times New Roman"/>
        </w:rPr>
        <w:t>o</w:t>
      </w:r>
      <w:r>
        <w:rPr>
          <w:rFonts w:cs="Times New Roman"/>
        </w:rPr>
        <w:t>unts face significant problems of fit and struggle to explain large swathes of tort doctrine.</w:t>
      </w:r>
      <w:r>
        <w:rPr>
          <w:rStyle w:val="FootnoteReference"/>
          <w:rFonts w:cs="Times New Roman"/>
        </w:rPr>
        <w:footnoteReference w:id="8"/>
      </w:r>
      <w:r>
        <w:rPr>
          <w:rFonts w:cs="Times New Roman"/>
        </w:rPr>
        <w:t xml:space="preserve"> Second, critics have</w:t>
      </w:r>
      <w:r w:rsidRPr="008102E6">
        <w:rPr>
          <w:rFonts w:cs="Times New Roman"/>
        </w:rPr>
        <w:t xml:space="preserve"> lamented the way that the </w:t>
      </w:r>
      <w:r>
        <w:rPr>
          <w:rFonts w:cs="Times New Roman"/>
        </w:rPr>
        <w:t>deontologists’ theories lack transparency with</w:t>
      </w:r>
      <w:r w:rsidRPr="008102E6">
        <w:rPr>
          <w:rFonts w:cs="Times New Roman"/>
        </w:rPr>
        <w:t xml:space="preserve"> the </w:t>
      </w:r>
      <w:r>
        <w:rPr>
          <w:rFonts w:cs="Times New Roman"/>
        </w:rPr>
        <w:t>reasoning given by judges in tort cases. As Jane Stapleton states, “</w:t>
      </w:r>
      <w:r w:rsidRPr="008102E6">
        <w:rPr>
          <w:rFonts w:cs="Times New Roman"/>
        </w:rPr>
        <w:t>Judges do not describe the law of torts as being all about the central thing that any of these theories asserts it is about.</w:t>
      </w:r>
      <w:r>
        <w:rPr>
          <w:rFonts w:cs="Times New Roman"/>
        </w:rPr>
        <w:t>”</w:t>
      </w:r>
      <w:r w:rsidRPr="008102E6">
        <w:rPr>
          <w:rStyle w:val="FootnoteReference"/>
          <w:rFonts w:cs="Times New Roman"/>
        </w:rPr>
        <w:footnoteReference w:id="9"/>
      </w:r>
      <w:r>
        <w:rPr>
          <w:rFonts w:cs="Times New Roman"/>
        </w:rPr>
        <w:t xml:space="preserve"> Third and last, some</w:t>
      </w:r>
      <w:r w:rsidR="00ED1232">
        <w:rPr>
          <w:rFonts w:cs="Times New Roman"/>
        </w:rPr>
        <w:t xml:space="preserve"> grand</w:t>
      </w:r>
      <w:r>
        <w:rPr>
          <w:rFonts w:cs="Times New Roman"/>
        </w:rPr>
        <w:t xml:space="preserve"> theory sceptics maintain that deontological approaches are normatively undesirable.</w:t>
      </w:r>
      <w:r>
        <w:rPr>
          <w:rStyle w:val="FootnoteReference"/>
          <w:rFonts w:cs="Times New Roman"/>
        </w:rPr>
        <w:footnoteReference w:id="10"/>
      </w:r>
      <w:r w:rsidRPr="008102E6">
        <w:rPr>
          <w:rFonts w:cs="Times New Roman"/>
        </w:rPr>
        <w:t xml:space="preserve"> </w:t>
      </w:r>
    </w:p>
    <w:p w14:paraId="146B2526" w14:textId="77777777" w:rsidR="00213BB7" w:rsidRPr="008102E6" w:rsidRDefault="00213BB7" w:rsidP="0034071D">
      <w:pPr>
        <w:spacing w:line="360" w:lineRule="auto"/>
        <w:rPr>
          <w:rFonts w:cs="Times New Roman"/>
        </w:rPr>
      </w:pPr>
    </w:p>
    <w:p w14:paraId="6D7CD887" w14:textId="37DA1D78" w:rsidR="00213BB7" w:rsidRPr="008102E6" w:rsidRDefault="00213BB7" w:rsidP="0034071D">
      <w:pPr>
        <w:spacing w:line="360" w:lineRule="auto"/>
        <w:rPr>
          <w:rFonts w:cs="Times New Roman"/>
        </w:rPr>
      </w:pPr>
      <w:r>
        <w:rPr>
          <w:rFonts w:cs="Times New Roman"/>
        </w:rPr>
        <w:t>Such</w:t>
      </w:r>
      <w:r w:rsidRPr="008102E6">
        <w:rPr>
          <w:rFonts w:cs="Times New Roman"/>
        </w:rPr>
        <w:t xml:space="preserve"> criticisms </w:t>
      </w:r>
      <w:r>
        <w:rPr>
          <w:rFonts w:cs="Times New Roman"/>
        </w:rPr>
        <w:t xml:space="preserve">seem not to have deterred the deontologists. Why might they be unfazed? It could be because they </w:t>
      </w:r>
      <w:r w:rsidRPr="008102E6">
        <w:rPr>
          <w:rFonts w:cs="Times New Roman"/>
        </w:rPr>
        <w:t>have a clever escape route. To the</w:t>
      </w:r>
      <w:r>
        <w:rPr>
          <w:rFonts w:cs="Times New Roman"/>
        </w:rPr>
        <w:t xml:space="preserve"> first</w:t>
      </w:r>
      <w:r w:rsidRPr="008102E6">
        <w:rPr>
          <w:rFonts w:cs="Times New Roman"/>
        </w:rPr>
        <w:t xml:space="preserve"> charge</w:t>
      </w:r>
      <w:r>
        <w:rPr>
          <w:rFonts w:cs="Times New Roman"/>
        </w:rPr>
        <w:t>,</w:t>
      </w:r>
      <w:r w:rsidRPr="008102E6">
        <w:rPr>
          <w:rFonts w:cs="Times New Roman"/>
        </w:rPr>
        <w:t xml:space="preserve"> that their account</w:t>
      </w:r>
      <w:r>
        <w:rPr>
          <w:rFonts w:cs="Times New Roman"/>
        </w:rPr>
        <w:t>s</w:t>
      </w:r>
      <w:r w:rsidRPr="008102E6">
        <w:rPr>
          <w:rFonts w:cs="Times New Roman"/>
        </w:rPr>
        <w:t xml:space="preserve"> </w:t>
      </w:r>
      <w:r>
        <w:rPr>
          <w:rFonts w:cs="Times New Roman"/>
        </w:rPr>
        <w:t>do not fit the doctrine,</w:t>
      </w:r>
      <w:r w:rsidRPr="008102E6">
        <w:rPr>
          <w:rFonts w:cs="Times New Roman"/>
        </w:rPr>
        <w:t xml:space="preserve"> they can respond that they </w:t>
      </w:r>
      <w:r>
        <w:rPr>
          <w:rFonts w:cs="Times New Roman"/>
        </w:rPr>
        <w:t xml:space="preserve">are </w:t>
      </w:r>
      <w:r w:rsidRPr="008102E6">
        <w:rPr>
          <w:rFonts w:cs="Times New Roman"/>
        </w:rPr>
        <w:t xml:space="preserve">not engaged in a purely </w:t>
      </w:r>
      <w:r>
        <w:rPr>
          <w:rFonts w:cs="Times New Roman"/>
        </w:rPr>
        <w:t>explanatory</w:t>
      </w:r>
      <w:r w:rsidRPr="008102E6">
        <w:rPr>
          <w:rFonts w:cs="Times New Roman"/>
        </w:rPr>
        <w:t xml:space="preserve"> project concerned with </w:t>
      </w:r>
      <w:r>
        <w:rPr>
          <w:rFonts w:cs="Times New Roman"/>
        </w:rPr>
        <w:t>describing</w:t>
      </w:r>
      <w:r w:rsidRPr="008102E6">
        <w:rPr>
          <w:rFonts w:cs="Times New Roman"/>
        </w:rPr>
        <w:t xml:space="preserve"> the positive law. </w:t>
      </w:r>
      <w:r>
        <w:rPr>
          <w:rFonts w:cs="Times New Roman"/>
        </w:rPr>
        <w:t xml:space="preserve">To the second, that their analyses are inconsistent with judges’ reasoning, </w:t>
      </w:r>
      <w:r w:rsidRPr="008102E6">
        <w:rPr>
          <w:rFonts w:cs="Times New Roman"/>
        </w:rPr>
        <w:t xml:space="preserve">they might counter that no theory can </w:t>
      </w:r>
      <w:r>
        <w:rPr>
          <w:rFonts w:cs="Times New Roman"/>
        </w:rPr>
        <w:t>reflect the</w:t>
      </w:r>
      <w:r w:rsidRPr="008102E6">
        <w:rPr>
          <w:rFonts w:cs="Times New Roman"/>
        </w:rPr>
        <w:t xml:space="preserve"> </w:t>
      </w:r>
      <w:r w:rsidRPr="007E3EF8">
        <w:rPr>
          <w:rFonts w:cs="Times New Roman"/>
          <w:i/>
        </w:rPr>
        <w:t>dicta</w:t>
      </w:r>
      <w:r>
        <w:rPr>
          <w:rFonts w:cs="Times New Roman"/>
        </w:rPr>
        <w:t xml:space="preserve"> in all </w:t>
      </w:r>
      <w:r w:rsidRPr="008102E6">
        <w:rPr>
          <w:rFonts w:cs="Times New Roman"/>
        </w:rPr>
        <w:t>cases</w:t>
      </w:r>
      <w:r>
        <w:rPr>
          <w:rFonts w:cs="Times New Roman"/>
        </w:rPr>
        <w:t xml:space="preserve">: </w:t>
      </w:r>
      <w:r w:rsidRPr="008102E6">
        <w:rPr>
          <w:rFonts w:cs="Times New Roman"/>
        </w:rPr>
        <w:t>judges sometimes get things wrong and misunderstand the law, or even their own role.</w:t>
      </w:r>
      <w:r>
        <w:rPr>
          <w:rFonts w:cs="Times New Roman"/>
        </w:rPr>
        <w:t xml:space="preserve"> Finally, i</w:t>
      </w:r>
      <w:r w:rsidRPr="008102E6">
        <w:rPr>
          <w:rFonts w:cs="Times New Roman"/>
        </w:rPr>
        <w:t>f they are accused of pr</w:t>
      </w:r>
      <w:r w:rsidR="00ED1232">
        <w:rPr>
          <w:rFonts w:cs="Times New Roman"/>
        </w:rPr>
        <w:t>esenting</w:t>
      </w:r>
      <w:r w:rsidRPr="008102E6">
        <w:rPr>
          <w:rFonts w:cs="Times New Roman"/>
        </w:rPr>
        <w:t xml:space="preserve"> theories that are morally undesirable they can reply that they </w:t>
      </w:r>
      <w:r>
        <w:rPr>
          <w:rFonts w:cs="Times New Roman"/>
        </w:rPr>
        <w:t>are not pr</w:t>
      </w:r>
      <w:r w:rsidR="00ED1232">
        <w:rPr>
          <w:rFonts w:cs="Times New Roman"/>
        </w:rPr>
        <w:t>oposing</w:t>
      </w:r>
      <w:r>
        <w:rPr>
          <w:rFonts w:cs="Times New Roman"/>
        </w:rPr>
        <w:t xml:space="preserve"> purely normative theories. </w:t>
      </w:r>
    </w:p>
    <w:p w14:paraId="698B95F2" w14:textId="77777777" w:rsidR="00213BB7" w:rsidRPr="008102E6" w:rsidRDefault="00213BB7" w:rsidP="0034071D">
      <w:pPr>
        <w:spacing w:line="360" w:lineRule="auto"/>
        <w:rPr>
          <w:rFonts w:cs="Times New Roman"/>
        </w:rPr>
      </w:pPr>
    </w:p>
    <w:p w14:paraId="1A5434B8" w14:textId="02514A76" w:rsidR="00213BB7" w:rsidRDefault="00213BB7" w:rsidP="0034071D">
      <w:pPr>
        <w:spacing w:line="360" w:lineRule="auto"/>
        <w:rPr>
          <w:rFonts w:cs="Times New Roman"/>
        </w:rPr>
      </w:pPr>
      <w:r>
        <w:rPr>
          <w:rFonts w:cs="Times New Roman"/>
        </w:rPr>
        <w:t>If the</w:t>
      </w:r>
      <w:r w:rsidRPr="008102E6">
        <w:rPr>
          <w:rFonts w:cs="Times New Roman"/>
        </w:rPr>
        <w:t xml:space="preserve"> deontol</w:t>
      </w:r>
      <w:r>
        <w:rPr>
          <w:rFonts w:cs="Times New Roman"/>
        </w:rPr>
        <w:t xml:space="preserve">ogists are hard to pin down, it </w:t>
      </w:r>
      <w:r w:rsidRPr="008102E6">
        <w:rPr>
          <w:rFonts w:cs="Times New Roman"/>
        </w:rPr>
        <w:t>is because they adopt a methodology that</w:t>
      </w:r>
      <w:r>
        <w:rPr>
          <w:rFonts w:cs="Times New Roman"/>
        </w:rPr>
        <w:t>, at first sight,</w:t>
      </w:r>
      <w:r w:rsidRPr="008102E6">
        <w:rPr>
          <w:rFonts w:cs="Times New Roman"/>
        </w:rPr>
        <w:t xml:space="preserve"> allows them to deflect the above </w:t>
      </w:r>
      <w:r>
        <w:rPr>
          <w:rFonts w:cs="Times New Roman"/>
        </w:rPr>
        <w:t>attacks</w:t>
      </w:r>
      <w:r w:rsidRPr="008102E6">
        <w:rPr>
          <w:rFonts w:cs="Times New Roman"/>
        </w:rPr>
        <w:t xml:space="preserve">: interpretivism. Most </w:t>
      </w:r>
      <w:r>
        <w:rPr>
          <w:rFonts w:cs="Times New Roman"/>
        </w:rPr>
        <w:t xml:space="preserve">closely </w:t>
      </w:r>
      <w:r w:rsidRPr="008102E6">
        <w:rPr>
          <w:rFonts w:cs="Times New Roman"/>
        </w:rPr>
        <w:t>associated with the jurisprudence of Ronald Dworkin,</w:t>
      </w:r>
      <w:r w:rsidRPr="008102E6">
        <w:rPr>
          <w:rStyle w:val="FootnoteReference"/>
          <w:rFonts w:cs="Times New Roman"/>
        </w:rPr>
        <w:footnoteReference w:id="11"/>
      </w:r>
      <w:r w:rsidRPr="008102E6">
        <w:rPr>
          <w:rFonts w:cs="Times New Roman"/>
        </w:rPr>
        <w:t xml:space="preserve"> this type of legal theory is neither </w:t>
      </w:r>
      <w:r>
        <w:rPr>
          <w:rFonts w:cs="Times New Roman"/>
        </w:rPr>
        <w:t xml:space="preserve">entirely </w:t>
      </w:r>
      <w:r w:rsidRPr="008102E6">
        <w:rPr>
          <w:rFonts w:cs="Times New Roman"/>
        </w:rPr>
        <w:t xml:space="preserve">explanatory nor </w:t>
      </w:r>
      <w:r>
        <w:rPr>
          <w:rFonts w:cs="Times New Roman"/>
        </w:rPr>
        <w:t xml:space="preserve">wholly </w:t>
      </w:r>
      <w:r w:rsidRPr="008102E6">
        <w:rPr>
          <w:rFonts w:cs="Times New Roman"/>
        </w:rPr>
        <w:t xml:space="preserve">normative. Instead, </w:t>
      </w:r>
      <w:r>
        <w:rPr>
          <w:rFonts w:cs="Times New Roman"/>
        </w:rPr>
        <w:t>it might be considered something of a hybrid of the two,</w:t>
      </w:r>
      <w:r w:rsidRPr="008102E6">
        <w:rPr>
          <w:rStyle w:val="FootnoteReference"/>
          <w:rFonts w:cs="Times New Roman"/>
        </w:rPr>
        <w:footnoteReference w:id="12"/>
      </w:r>
      <w:r>
        <w:rPr>
          <w:rFonts w:cs="Times New Roman"/>
        </w:rPr>
        <w:t xml:space="preserve"> allowing deontologists to avoid criticism on both grounds.</w:t>
      </w:r>
      <w:r w:rsidRPr="008102E6">
        <w:rPr>
          <w:rFonts w:cs="Times New Roman"/>
        </w:rPr>
        <w:t xml:space="preserve"> Suspicions that inte</w:t>
      </w:r>
      <w:r>
        <w:rPr>
          <w:rFonts w:cs="Times New Roman"/>
        </w:rPr>
        <w:t xml:space="preserve">rpretivism, at least as used </w:t>
      </w:r>
      <w:r>
        <w:rPr>
          <w:rFonts w:cs="Times New Roman"/>
        </w:rPr>
        <w:lastRenderedPageBreak/>
        <w:t xml:space="preserve">by </w:t>
      </w:r>
      <w:r w:rsidRPr="008102E6">
        <w:rPr>
          <w:rFonts w:cs="Times New Roman"/>
        </w:rPr>
        <w:t>deontologists</w:t>
      </w:r>
      <w:r>
        <w:rPr>
          <w:rFonts w:cs="Times New Roman"/>
        </w:rPr>
        <w:t>,</w:t>
      </w:r>
      <w:r w:rsidRPr="008102E6">
        <w:rPr>
          <w:rFonts w:cs="Times New Roman"/>
        </w:rPr>
        <w:t xml:space="preserve"> involves a </w:t>
      </w:r>
      <w:r>
        <w:rPr>
          <w:rFonts w:cs="Times New Roman"/>
        </w:rPr>
        <w:t>“</w:t>
      </w:r>
      <w:r w:rsidRPr="008102E6">
        <w:rPr>
          <w:rFonts w:cs="Times New Roman"/>
        </w:rPr>
        <w:t>sleight of hand</w:t>
      </w:r>
      <w:r>
        <w:rPr>
          <w:rFonts w:cs="Times New Roman"/>
        </w:rPr>
        <w:t>”</w:t>
      </w:r>
      <w:r w:rsidRPr="008102E6">
        <w:rPr>
          <w:rStyle w:val="FootnoteReference"/>
          <w:rFonts w:cs="Times New Roman"/>
        </w:rPr>
        <w:footnoteReference w:id="13"/>
      </w:r>
      <w:r w:rsidRPr="008102E6">
        <w:rPr>
          <w:rFonts w:cs="Times New Roman"/>
        </w:rPr>
        <w:t xml:space="preserve"> </w:t>
      </w:r>
      <w:r>
        <w:rPr>
          <w:rFonts w:cs="Times New Roman"/>
        </w:rPr>
        <w:t>i</w:t>
      </w:r>
      <w:r w:rsidRPr="008102E6">
        <w:rPr>
          <w:rFonts w:cs="Times New Roman"/>
        </w:rPr>
        <w:t xml:space="preserve">s present in the </w:t>
      </w:r>
      <w:r w:rsidR="00ED1232">
        <w:rPr>
          <w:rFonts w:cs="Times New Roman"/>
        </w:rPr>
        <w:t xml:space="preserve">grand </w:t>
      </w:r>
      <w:r w:rsidRPr="008102E6">
        <w:rPr>
          <w:rFonts w:cs="Times New Roman"/>
        </w:rPr>
        <w:t>theory sceptic literature.</w:t>
      </w:r>
      <w:r w:rsidRPr="008F5690">
        <w:rPr>
          <w:rStyle w:val="FootnoteReference"/>
          <w:rFonts w:cs="Times New Roman"/>
        </w:rPr>
        <w:t xml:space="preserve"> </w:t>
      </w:r>
      <w:r w:rsidRPr="008102E6">
        <w:rPr>
          <w:rFonts w:cs="Times New Roman"/>
        </w:rPr>
        <w:t>Numerous scholars have alluded</w:t>
      </w:r>
      <w:r>
        <w:rPr>
          <w:rFonts w:cs="Times New Roman"/>
        </w:rPr>
        <w:t xml:space="preserve"> to</w:t>
      </w:r>
      <w:r w:rsidRPr="008102E6">
        <w:rPr>
          <w:rFonts w:cs="Times New Roman"/>
        </w:rPr>
        <w:t xml:space="preserve"> the deontologists’ habit of dismissing inconvenient doctrines as </w:t>
      </w:r>
      <w:r>
        <w:rPr>
          <w:rFonts w:cs="Times New Roman"/>
        </w:rPr>
        <w:t>mistakes, wrong</w:t>
      </w:r>
      <w:r w:rsidRPr="008102E6">
        <w:rPr>
          <w:rFonts w:cs="Times New Roman"/>
        </w:rPr>
        <w:t xml:space="preserve"> or anomalous, or their tendency to glide between descriptive and normative arguments.</w:t>
      </w:r>
      <w:r w:rsidRPr="008102E6">
        <w:rPr>
          <w:rStyle w:val="FootnoteReference"/>
          <w:rFonts w:cs="Times New Roman"/>
        </w:rPr>
        <w:footnoteReference w:id="14"/>
      </w:r>
      <w:r>
        <w:rPr>
          <w:rFonts w:cs="Times New Roman"/>
        </w:rPr>
        <w:t xml:space="preserve"> </w:t>
      </w:r>
      <w:r w:rsidRPr="008102E6">
        <w:rPr>
          <w:rFonts w:cs="Times New Roman"/>
        </w:rPr>
        <w:t>This article</w:t>
      </w:r>
      <w:r>
        <w:rPr>
          <w:rFonts w:cs="Times New Roman"/>
        </w:rPr>
        <w:t xml:space="preserve"> confronts this issue head-on and </w:t>
      </w:r>
      <w:r w:rsidRPr="008102E6">
        <w:rPr>
          <w:rFonts w:cs="Times New Roman"/>
        </w:rPr>
        <w:t>aims to seal off the interpretive escape hatch</w:t>
      </w:r>
      <w:r>
        <w:rPr>
          <w:rFonts w:cs="Times New Roman"/>
        </w:rPr>
        <w:t xml:space="preserve">. </w:t>
      </w:r>
    </w:p>
    <w:p w14:paraId="179386F6" w14:textId="77777777" w:rsidR="00213BB7" w:rsidRDefault="00213BB7" w:rsidP="0034071D">
      <w:pPr>
        <w:spacing w:line="360" w:lineRule="auto"/>
        <w:rPr>
          <w:rFonts w:cs="Times New Roman"/>
        </w:rPr>
      </w:pPr>
    </w:p>
    <w:p w14:paraId="14C1F2E4" w14:textId="4E28AC4E" w:rsidR="00213BB7" w:rsidRDefault="00213BB7" w:rsidP="0034071D">
      <w:pPr>
        <w:spacing w:line="360" w:lineRule="auto"/>
        <w:rPr>
          <w:rFonts w:cs="Times New Roman"/>
        </w:rPr>
      </w:pPr>
      <w:r>
        <w:rPr>
          <w:rFonts w:cs="Times New Roman"/>
        </w:rPr>
        <w:t>After providing an overview of the deontological theories and establishing that their leading lights adopt an interpretive methodology in the next section, I then make three key claim</w:t>
      </w:r>
      <w:r w:rsidR="00ED1232">
        <w:rPr>
          <w:rFonts w:cs="Times New Roman"/>
        </w:rPr>
        <w:t xml:space="preserve">s and the majority of this </w:t>
      </w:r>
      <w:r>
        <w:rPr>
          <w:rFonts w:cs="Times New Roman"/>
        </w:rPr>
        <w:t>article is structured around them. First, I establish that if deontologists commit themselves to a form of interpretivism that trades-off consideration of fit, transparency, morality and coherence then their ability to oppose policy-based reasoning is seriously diminished. This is because both the interpretive enterprise and policy-based reasoning involve the weighing of incommensurables, something the deontologists incorrigibly oppose. Second, I demonstrate that the use of “reflective equilibrium”, a process propounded by John Rawls whereby one’s intuitions and theory are balanced against each other and revised so that they are in harmony,</w:t>
      </w:r>
      <w:r>
        <w:rPr>
          <w:rStyle w:val="FootnoteReference"/>
          <w:rFonts w:cs="Times New Roman"/>
        </w:rPr>
        <w:footnoteReference w:id="15"/>
      </w:r>
      <w:r>
        <w:rPr>
          <w:rFonts w:cs="Times New Roman"/>
        </w:rPr>
        <w:t xml:space="preserve"> to manage this trade-off between incommensurables means that interpretive tort theories are ultimately propped up by the gut feelings their proponents. Third, I turn my focus to the methodology used by a prominent deontologist, Allan Beever, of selecting a number of supposed leading cases for theorisation and argue that his choice of cases, and any such selection, is ultimately arbitrary. An equally plausible list of cases can, using interpretive methodology, lead us to a theory that accepts a place for policy-based or consequentialist reasoning in the resolution of tort cases. Beever would struggle to object to such conclusions </w:t>
      </w:r>
      <w:r>
        <w:rPr>
          <w:rFonts w:cs="Times New Roman"/>
        </w:rPr>
        <w:lastRenderedPageBreak/>
        <w:t xml:space="preserve">while still cleaving to interpretivism. I then conclude the article </w:t>
      </w:r>
      <w:r w:rsidR="00ED1232">
        <w:rPr>
          <w:rFonts w:cs="Times New Roman"/>
        </w:rPr>
        <w:t>by suggesting ways</w:t>
      </w:r>
      <w:r>
        <w:rPr>
          <w:rFonts w:cs="Times New Roman"/>
        </w:rPr>
        <w:t xml:space="preserve"> interpretivism can be used </w:t>
      </w:r>
      <w:r w:rsidR="00ED1232">
        <w:rPr>
          <w:rFonts w:cs="Times New Roman"/>
        </w:rPr>
        <w:t>without any</w:t>
      </w:r>
      <w:r>
        <w:rPr>
          <w:rFonts w:cs="Times New Roman"/>
        </w:rPr>
        <w:t xml:space="preserve"> sleight</w:t>
      </w:r>
      <w:r w:rsidR="00ED1232">
        <w:rPr>
          <w:rFonts w:cs="Times New Roman"/>
        </w:rPr>
        <w:t>s</w:t>
      </w:r>
      <w:r>
        <w:rPr>
          <w:rFonts w:cs="Times New Roman"/>
        </w:rPr>
        <w:t xml:space="preserve"> of hand.</w:t>
      </w:r>
    </w:p>
    <w:p w14:paraId="79ED2B0A" w14:textId="77777777" w:rsidR="00213BB7" w:rsidRDefault="00213BB7" w:rsidP="0034071D">
      <w:pPr>
        <w:spacing w:line="360" w:lineRule="auto"/>
        <w:rPr>
          <w:rFonts w:cs="Times New Roman"/>
        </w:rPr>
      </w:pPr>
    </w:p>
    <w:p w14:paraId="1EB67CA2" w14:textId="674DCB6C" w:rsidR="00213BB7" w:rsidRDefault="00213BB7" w:rsidP="0034071D">
      <w:pPr>
        <w:spacing w:line="360" w:lineRule="auto"/>
        <w:rPr>
          <w:rFonts w:cs="Times New Roman"/>
        </w:rPr>
      </w:pPr>
      <w:r w:rsidRPr="00177EBD">
        <w:rPr>
          <w:rFonts w:cs="Times New Roman"/>
        </w:rPr>
        <w:t xml:space="preserve">My contribution to the theoretical literature </w:t>
      </w:r>
      <w:r>
        <w:rPr>
          <w:rFonts w:cs="Times New Roman"/>
        </w:rPr>
        <w:t>with</w:t>
      </w:r>
      <w:r w:rsidRPr="00177EBD">
        <w:rPr>
          <w:rFonts w:cs="Times New Roman"/>
        </w:rPr>
        <w:t xml:space="preserve"> these three arguments pose</w:t>
      </w:r>
      <w:r w:rsidR="00ED1232">
        <w:rPr>
          <w:rFonts w:cs="Times New Roman"/>
        </w:rPr>
        <w:t>s</w:t>
      </w:r>
      <w:r w:rsidRPr="00177EBD">
        <w:rPr>
          <w:rFonts w:cs="Times New Roman"/>
        </w:rPr>
        <w:t xml:space="preserve"> a significant challenge for deontologists, making </w:t>
      </w:r>
      <w:r>
        <w:rPr>
          <w:rFonts w:cs="Times New Roman"/>
        </w:rPr>
        <w:t xml:space="preserve">it exceedingly difficult </w:t>
      </w:r>
      <w:r w:rsidRPr="00177EBD">
        <w:rPr>
          <w:rFonts w:cs="Times New Roman"/>
        </w:rPr>
        <w:t>for them to evade the critique that their theories fail to align with crucial aspe</w:t>
      </w:r>
      <w:r>
        <w:rPr>
          <w:rFonts w:cs="Times New Roman"/>
        </w:rPr>
        <w:t>cts of doctrine or the reasons</w:t>
      </w:r>
      <w:r w:rsidRPr="00177EBD">
        <w:rPr>
          <w:rFonts w:cs="Times New Roman"/>
        </w:rPr>
        <w:t xml:space="preserve"> </w:t>
      </w:r>
      <w:r>
        <w:rPr>
          <w:rFonts w:cs="Times New Roman"/>
        </w:rPr>
        <w:t>given</w:t>
      </w:r>
      <w:r w:rsidRPr="00177EBD">
        <w:rPr>
          <w:rFonts w:cs="Times New Roman"/>
        </w:rPr>
        <w:t xml:space="preserve"> by judges when deciding tort cases.</w:t>
      </w:r>
      <w:r>
        <w:rPr>
          <w:rFonts w:cs="Times New Roman"/>
        </w:rPr>
        <w:t xml:space="preserve"> Deontologists will then be left with no choice but to radically revise their theories, either by giving up some important commitments or by accepting that they engaged in a purely normative enterprise. Put simply, if my arguments are accepted we will have an important additional reason to be suspicious of </w:t>
      </w:r>
      <w:r w:rsidR="00ED1232">
        <w:rPr>
          <w:rFonts w:cs="Times New Roman"/>
        </w:rPr>
        <w:t xml:space="preserve">many </w:t>
      </w:r>
      <w:r>
        <w:rPr>
          <w:rFonts w:cs="Times New Roman"/>
        </w:rPr>
        <w:t xml:space="preserve">deontological theories in their current form. </w:t>
      </w:r>
    </w:p>
    <w:p w14:paraId="59D802BB" w14:textId="77777777" w:rsidR="00213BB7" w:rsidRDefault="00213BB7" w:rsidP="0034071D">
      <w:pPr>
        <w:spacing w:line="360" w:lineRule="auto"/>
        <w:rPr>
          <w:rFonts w:cs="Times New Roman"/>
        </w:rPr>
      </w:pPr>
    </w:p>
    <w:p w14:paraId="7F8954F0" w14:textId="249B0093" w:rsidR="00213BB7" w:rsidRPr="005C3953" w:rsidRDefault="00213BB7" w:rsidP="0034071D">
      <w:pPr>
        <w:spacing w:line="360" w:lineRule="auto"/>
        <w:rPr>
          <w:rFonts w:cs="Times New Roman"/>
        </w:rPr>
      </w:pPr>
      <w:r w:rsidRPr="005C3953">
        <w:rPr>
          <w:rFonts w:cs="Times New Roman"/>
        </w:rPr>
        <w:t xml:space="preserve">In </w:t>
      </w:r>
      <w:r>
        <w:rPr>
          <w:rFonts w:cs="Times New Roman"/>
        </w:rPr>
        <w:t>making these arguments</w:t>
      </w:r>
      <w:r w:rsidRPr="005C3953">
        <w:rPr>
          <w:rFonts w:cs="Times New Roman"/>
        </w:rPr>
        <w:t xml:space="preserve">, this article adds to, but differs from, the most fully-developed and direct attack on interpretivism in tort theory, which has come from Steve Hedley. In his essay </w:t>
      </w:r>
      <w:r>
        <w:rPr>
          <w:rFonts w:cs="Times New Roman"/>
        </w:rPr>
        <w:t>“</w:t>
      </w:r>
      <w:r w:rsidRPr="005C3953">
        <w:rPr>
          <w:rFonts w:cs="Times New Roman"/>
        </w:rPr>
        <w:t>Shock of the Old: Interpretivi</w:t>
      </w:r>
      <w:r>
        <w:rPr>
          <w:rFonts w:cs="Times New Roman"/>
        </w:rPr>
        <w:t>sm in Obligations”, he maintained</w:t>
      </w:r>
      <w:r w:rsidRPr="005C3953">
        <w:rPr>
          <w:rFonts w:cs="Times New Roman"/>
        </w:rPr>
        <w:t xml:space="preserve"> that interpretivism </w:t>
      </w:r>
      <w:r>
        <w:rPr>
          <w:rFonts w:cs="Times New Roman"/>
        </w:rPr>
        <w:t>“</w:t>
      </w:r>
      <w:r w:rsidRPr="005C3953">
        <w:rPr>
          <w:rFonts w:cs="Times New Roman"/>
        </w:rPr>
        <w:t>approaches its subject matter not with a methodologically open mind but with very definite views of what it wi</w:t>
      </w:r>
      <w:r>
        <w:rPr>
          <w:rFonts w:cs="Times New Roman"/>
        </w:rPr>
        <w:t>ll find and how it will find it”</w:t>
      </w:r>
      <w:r w:rsidRPr="005C3953">
        <w:rPr>
          <w:rFonts w:cs="Times New Roman"/>
          <w:vertAlign w:val="superscript"/>
        </w:rPr>
        <w:footnoteReference w:id="16"/>
      </w:r>
      <w:r>
        <w:rPr>
          <w:rFonts w:cs="Times New Roman"/>
        </w:rPr>
        <w:t xml:space="preserve"> and he compellingly criticised</w:t>
      </w:r>
      <w:r w:rsidRPr="005C3953">
        <w:rPr>
          <w:rFonts w:cs="Times New Roman"/>
        </w:rPr>
        <w:t xml:space="preserve"> the claims of leading interpretivists. Hedley’s article was written after Allan Beever’s notorious article with Charles Rickett defending an interpretive approach to</w:t>
      </w:r>
      <w:r>
        <w:rPr>
          <w:rFonts w:cs="Times New Roman"/>
        </w:rPr>
        <w:t>wards</w:t>
      </w:r>
      <w:r w:rsidRPr="005C3953">
        <w:rPr>
          <w:rFonts w:cs="Times New Roman"/>
        </w:rPr>
        <w:t xml:space="preserve"> private law scholarship but before the publication of </w:t>
      </w:r>
      <w:r w:rsidRPr="005C3953">
        <w:rPr>
          <w:rFonts w:cs="Times New Roman"/>
          <w:i/>
        </w:rPr>
        <w:t>Rediscovering the Law of Negligence</w:t>
      </w:r>
      <w:r w:rsidRPr="005C3953">
        <w:rPr>
          <w:rFonts w:cs="Times New Roman"/>
        </w:rPr>
        <w:t>, where Beever defended and utilised interpretivism at much greater length</w:t>
      </w:r>
      <w:r>
        <w:rPr>
          <w:rFonts w:cs="Times New Roman"/>
        </w:rPr>
        <w:t>.</w:t>
      </w:r>
      <w:r w:rsidRPr="005C3953">
        <w:rPr>
          <w:rStyle w:val="FootnoteReference"/>
          <w:rFonts w:cs="Times New Roman"/>
        </w:rPr>
        <w:footnoteReference w:id="17"/>
      </w:r>
      <w:r>
        <w:rPr>
          <w:rFonts w:cs="Times New Roman"/>
        </w:rPr>
        <w:t xml:space="preserve"> Whereas Hedley questioned</w:t>
      </w:r>
      <w:r w:rsidRPr="005C3953">
        <w:rPr>
          <w:rFonts w:cs="Times New Roman"/>
        </w:rPr>
        <w:t xml:space="preserve"> whether the interpretive approach is actually a distinct methodology or a coherent intellectual movement,</w:t>
      </w:r>
      <w:r w:rsidRPr="005C3953">
        <w:rPr>
          <w:rStyle w:val="FootnoteReference"/>
          <w:rFonts w:cs="Times New Roman"/>
        </w:rPr>
        <w:footnoteReference w:id="18"/>
      </w:r>
      <w:r w:rsidRPr="005C3953">
        <w:rPr>
          <w:rFonts w:cs="Times New Roman"/>
        </w:rPr>
        <w:t xml:space="preserve"> I will accept, </w:t>
      </w:r>
      <w:r w:rsidRPr="005C3953">
        <w:rPr>
          <w:rFonts w:cs="Times New Roman"/>
          <w:i/>
          <w:iCs/>
        </w:rPr>
        <w:t>arguendo</w:t>
      </w:r>
      <w:r w:rsidRPr="005C3953">
        <w:rPr>
          <w:rFonts w:cs="Times New Roman"/>
        </w:rPr>
        <w:t>, that it is and criticise it on other grounds.</w:t>
      </w:r>
    </w:p>
    <w:p w14:paraId="31B06846" w14:textId="2452B656" w:rsidR="00213BB7" w:rsidRDefault="00213BB7" w:rsidP="0034071D">
      <w:pPr>
        <w:spacing w:line="360" w:lineRule="auto"/>
        <w:rPr>
          <w:rFonts w:cs="Times New Roman"/>
        </w:rPr>
      </w:pPr>
    </w:p>
    <w:p w14:paraId="5DD4E5FC" w14:textId="5E226641" w:rsidR="00213BB7" w:rsidRDefault="00213BB7" w:rsidP="0008027B">
      <w:pPr>
        <w:spacing w:line="360" w:lineRule="auto"/>
        <w:jc w:val="center"/>
        <w:outlineLvl w:val="0"/>
        <w:rPr>
          <w:rFonts w:cs="Times New Roman"/>
        </w:rPr>
      </w:pPr>
      <w:r>
        <w:rPr>
          <w:rFonts w:cs="Times New Roman"/>
          <w:b/>
        </w:rPr>
        <w:t>Interpretivism and the Deontologists: The Problem Defined</w:t>
      </w:r>
    </w:p>
    <w:p w14:paraId="4D6CEB2F" w14:textId="77777777" w:rsidR="00213BB7" w:rsidRDefault="00213BB7" w:rsidP="0034071D">
      <w:pPr>
        <w:spacing w:line="360" w:lineRule="auto"/>
        <w:rPr>
          <w:rFonts w:cs="Times New Roman"/>
        </w:rPr>
      </w:pPr>
    </w:p>
    <w:p w14:paraId="7C9FD47A" w14:textId="50E2C556" w:rsidR="00213BB7" w:rsidRDefault="00213BB7" w:rsidP="0034071D">
      <w:pPr>
        <w:spacing w:line="360" w:lineRule="auto"/>
        <w:rPr>
          <w:rFonts w:cs="Times New Roman"/>
        </w:rPr>
      </w:pPr>
      <w:r>
        <w:rPr>
          <w:rFonts w:cs="Times New Roman"/>
        </w:rPr>
        <w:lastRenderedPageBreak/>
        <w:t>In showcasing the ways interpretivism could</w:t>
      </w:r>
      <w:r w:rsidRPr="00640A58">
        <w:rPr>
          <w:rFonts w:cs="Times New Roman"/>
        </w:rPr>
        <w:t xml:space="preserve"> provide a shield against </w:t>
      </w:r>
      <w:r>
        <w:rPr>
          <w:rFonts w:cs="Times New Roman"/>
        </w:rPr>
        <w:t>devastating</w:t>
      </w:r>
      <w:r w:rsidRPr="00640A58">
        <w:rPr>
          <w:rFonts w:cs="Times New Roman"/>
        </w:rPr>
        <w:t xml:space="preserve"> critiques, </w:t>
      </w:r>
      <w:r>
        <w:rPr>
          <w:rFonts w:cs="Times New Roman"/>
        </w:rPr>
        <w:t xml:space="preserve">my focus will be on </w:t>
      </w:r>
      <w:r w:rsidRPr="00640A58">
        <w:rPr>
          <w:rFonts w:cs="Times New Roman"/>
        </w:rPr>
        <w:t xml:space="preserve">Allan Beever's corrective justice analysis and, to a </w:t>
      </w:r>
      <w:r>
        <w:rPr>
          <w:rFonts w:cs="Times New Roman"/>
        </w:rPr>
        <w:t>much lesser extent, Robert Stevens’s</w:t>
      </w:r>
      <w:r w:rsidRPr="00640A58">
        <w:rPr>
          <w:rFonts w:cs="Times New Roman"/>
        </w:rPr>
        <w:t xml:space="preserve"> rights-based theory.</w:t>
      </w:r>
      <w:r>
        <w:rPr>
          <w:rFonts w:cs="Times New Roman"/>
        </w:rPr>
        <w:t xml:space="preserve"> Primarily for reasons of space, but also because their accounts are less abstract and more detailed in discussing English law than the alternatives, these theorists will serve as the primary subjects of examination. My arguments could, however, form an indirect attack on other deontological frameworks employing interpretivism such as John Goldberg and Benjamin Zipurksy’s civil recourse theory,</w:t>
      </w:r>
      <w:r w:rsidRPr="008102E6">
        <w:rPr>
          <w:rStyle w:val="FootnoteReference"/>
          <w:rFonts w:cs="Times New Roman"/>
        </w:rPr>
        <w:footnoteReference w:id="19"/>
      </w:r>
      <w:r>
        <w:rPr>
          <w:rFonts w:cs="Times New Roman"/>
        </w:rPr>
        <w:t xml:space="preserve"> and probably too the Kantian-corrective justice theories of Ernest Weinrib</w:t>
      </w:r>
      <w:r>
        <w:rPr>
          <w:rStyle w:val="FootnoteReference"/>
          <w:rFonts w:cs="Times New Roman"/>
        </w:rPr>
        <w:footnoteReference w:id="20"/>
      </w:r>
      <w:r>
        <w:rPr>
          <w:rFonts w:cs="Times New Roman"/>
        </w:rPr>
        <w:t xml:space="preserve"> and Arthur Ripstein.</w:t>
      </w:r>
      <w:r>
        <w:rPr>
          <w:rStyle w:val="FootnoteReference"/>
          <w:rFonts w:cs="Times New Roman"/>
        </w:rPr>
        <w:footnoteReference w:id="21"/>
      </w:r>
      <w:r>
        <w:rPr>
          <w:rFonts w:cs="Times New Roman"/>
        </w:rPr>
        <w:t xml:space="preserve"> Deontological theories that do not rely on interpretivism, by offering purely </w:t>
      </w:r>
      <w:r w:rsidRPr="008102E6">
        <w:rPr>
          <w:rFonts w:cs="Times New Roman"/>
        </w:rPr>
        <w:t>normative accounts</w:t>
      </w:r>
      <w:r>
        <w:rPr>
          <w:rFonts w:cs="Times New Roman"/>
        </w:rPr>
        <w:t xml:space="preserve"> of the law may escape such criticism</w:t>
      </w:r>
      <w:r w:rsidRPr="008102E6">
        <w:rPr>
          <w:rFonts w:cs="Times New Roman"/>
        </w:rPr>
        <w:t>.</w:t>
      </w:r>
      <w:r w:rsidRPr="008102E6">
        <w:rPr>
          <w:rStyle w:val="FootnoteReference"/>
          <w:rFonts w:cs="Times New Roman"/>
        </w:rPr>
        <w:footnoteReference w:id="22"/>
      </w:r>
      <w:r w:rsidRPr="008102E6">
        <w:rPr>
          <w:rFonts w:cs="Times New Roman"/>
        </w:rPr>
        <w:t xml:space="preserve"> </w:t>
      </w:r>
    </w:p>
    <w:p w14:paraId="0DCE7CA7" w14:textId="77777777" w:rsidR="00213BB7" w:rsidRDefault="00213BB7" w:rsidP="0034071D">
      <w:pPr>
        <w:spacing w:line="360" w:lineRule="auto"/>
        <w:rPr>
          <w:rFonts w:cs="Times New Roman"/>
        </w:rPr>
      </w:pPr>
    </w:p>
    <w:p w14:paraId="722F463A" w14:textId="611F1B56" w:rsidR="00213BB7" w:rsidRDefault="00213BB7" w:rsidP="0034071D">
      <w:pPr>
        <w:spacing w:line="360" w:lineRule="auto"/>
        <w:rPr>
          <w:rFonts w:cs="Times New Roman"/>
        </w:rPr>
      </w:pPr>
      <w:r>
        <w:rPr>
          <w:rFonts w:cs="Times New Roman"/>
        </w:rPr>
        <w:t>Consider, first, corrective justice. At their</w:t>
      </w:r>
      <w:r w:rsidRPr="008102E6">
        <w:rPr>
          <w:rFonts w:cs="Times New Roman"/>
        </w:rPr>
        <w:t xml:space="preserve"> simplest, corrective justice theories see tort law as being concerned with repairing wrong</w:t>
      </w:r>
      <w:r>
        <w:rPr>
          <w:rFonts w:cs="Times New Roman"/>
        </w:rPr>
        <w:t>s,</w:t>
      </w:r>
      <w:r w:rsidRPr="008102E6">
        <w:rPr>
          <w:rStyle w:val="FootnoteReference"/>
          <w:rFonts w:cs="Times New Roman"/>
        </w:rPr>
        <w:footnoteReference w:id="23"/>
      </w:r>
      <w:r>
        <w:rPr>
          <w:rFonts w:cs="Times New Roman"/>
        </w:rPr>
        <w:t xml:space="preserve"> but a more substantial account has been proposed by Weinrib and is espoused by Beever. For Weinrib</w:t>
      </w:r>
      <w:r w:rsidRPr="008102E6">
        <w:rPr>
          <w:rFonts w:cs="Times New Roman"/>
        </w:rPr>
        <w:t>, corrective justice is formalistic</w:t>
      </w:r>
      <w:r>
        <w:rPr>
          <w:rFonts w:cs="Times New Roman"/>
        </w:rPr>
        <w:t xml:space="preserve"> and can be contrasted with forms of justice that are political or otherwise purposive</w:t>
      </w:r>
      <w:r w:rsidRPr="008102E6">
        <w:rPr>
          <w:rFonts w:cs="Times New Roman"/>
        </w:rPr>
        <w:t>.</w:t>
      </w:r>
      <w:r w:rsidRPr="008102E6">
        <w:rPr>
          <w:rStyle w:val="FootnoteReference"/>
          <w:rFonts w:cs="Times New Roman"/>
        </w:rPr>
        <w:footnoteReference w:id="24"/>
      </w:r>
      <w:r w:rsidRPr="008102E6">
        <w:rPr>
          <w:rFonts w:cs="Times New Roman"/>
        </w:rPr>
        <w:t xml:space="preserve"> The structure </w:t>
      </w:r>
      <w:r>
        <w:rPr>
          <w:rFonts w:cs="Times New Roman"/>
        </w:rPr>
        <w:t xml:space="preserve">of corrective justice </w:t>
      </w:r>
      <w:r w:rsidRPr="008102E6">
        <w:rPr>
          <w:rFonts w:cs="Times New Roman"/>
        </w:rPr>
        <w:t xml:space="preserve">is derived from </w:t>
      </w:r>
      <w:r>
        <w:rPr>
          <w:rFonts w:cs="Times New Roman"/>
        </w:rPr>
        <w:t xml:space="preserve">the work of </w:t>
      </w:r>
      <w:r w:rsidRPr="008102E6">
        <w:rPr>
          <w:rFonts w:cs="Times New Roman"/>
        </w:rPr>
        <w:t>Aristotle</w:t>
      </w:r>
      <w:r>
        <w:rPr>
          <w:rFonts w:cs="Times New Roman"/>
        </w:rPr>
        <w:t>.</w:t>
      </w:r>
      <w:r w:rsidRPr="008102E6">
        <w:rPr>
          <w:rFonts w:cs="Times New Roman"/>
        </w:rPr>
        <w:t xml:space="preserve"> </w:t>
      </w:r>
      <w:r>
        <w:rPr>
          <w:rFonts w:cs="Times New Roman"/>
        </w:rPr>
        <w:t xml:space="preserve">Applied to private law and generally, and tort law in particular, </w:t>
      </w:r>
      <w:r w:rsidRPr="008102E6">
        <w:rPr>
          <w:rFonts w:cs="Times New Roman"/>
        </w:rPr>
        <w:t xml:space="preserve">the claimant and defendant are </w:t>
      </w:r>
      <w:r>
        <w:rPr>
          <w:rFonts w:cs="Times New Roman"/>
        </w:rPr>
        <w:t xml:space="preserve">viewed as being </w:t>
      </w:r>
      <w:r w:rsidRPr="008102E6">
        <w:rPr>
          <w:rFonts w:cs="Times New Roman"/>
        </w:rPr>
        <w:t>linked in a bipolar relationship where</w:t>
      </w:r>
      <w:r>
        <w:rPr>
          <w:rFonts w:cs="Times New Roman"/>
        </w:rPr>
        <w:t>in</w:t>
      </w:r>
      <w:r w:rsidRPr="008102E6">
        <w:rPr>
          <w:rFonts w:cs="Times New Roman"/>
        </w:rPr>
        <w:t xml:space="preserve"> the defendant’s wrongdoing and claimant’s loss correlate.</w:t>
      </w:r>
      <w:r w:rsidRPr="008102E6">
        <w:rPr>
          <w:rStyle w:val="FootnoteReference"/>
          <w:rFonts w:cs="Times New Roman"/>
        </w:rPr>
        <w:footnoteReference w:id="25"/>
      </w:r>
      <w:r w:rsidRPr="008102E6">
        <w:rPr>
          <w:rFonts w:cs="Times New Roman"/>
        </w:rPr>
        <w:t xml:space="preserve"> </w:t>
      </w:r>
      <w:r>
        <w:rPr>
          <w:rFonts w:cs="Times New Roman"/>
        </w:rPr>
        <w:t xml:space="preserve">This form of </w:t>
      </w:r>
      <w:r>
        <w:rPr>
          <w:rFonts w:cs="Times New Roman"/>
        </w:rPr>
        <w:lastRenderedPageBreak/>
        <w:t xml:space="preserve">justice </w:t>
      </w:r>
      <w:r w:rsidRPr="008102E6">
        <w:rPr>
          <w:rFonts w:cs="Times New Roman"/>
        </w:rPr>
        <w:t>requires the defendant to correct the wrong</w:t>
      </w:r>
      <w:r>
        <w:rPr>
          <w:rFonts w:cs="Times New Roman"/>
        </w:rPr>
        <w:t xml:space="preserve"> by providing a remedy,</w:t>
      </w:r>
      <w:r w:rsidRPr="008102E6">
        <w:rPr>
          <w:rFonts w:cs="Times New Roman"/>
        </w:rPr>
        <w:t xml:space="preserve"> and questions of distributive justice or policy are irrelevant to this </w:t>
      </w:r>
      <w:r>
        <w:rPr>
          <w:rFonts w:cs="Times New Roman"/>
        </w:rPr>
        <w:t>operation</w:t>
      </w:r>
      <w:r w:rsidRPr="008102E6">
        <w:rPr>
          <w:rFonts w:cs="Times New Roman"/>
        </w:rPr>
        <w:t xml:space="preserve">. </w:t>
      </w:r>
    </w:p>
    <w:p w14:paraId="1AA6099F" w14:textId="77777777" w:rsidR="00213BB7" w:rsidRDefault="00213BB7" w:rsidP="0034071D">
      <w:pPr>
        <w:spacing w:line="360" w:lineRule="auto"/>
        <w:rPr>
          <w:rFonts w:cs="Times New Roman"/>
        </w:rPr>
      </w:pPr>
    </w:p>
    <w:p w14:paraId="6ECBD7A0" w14:textId="36FC89E7" w:rsidR="00213BB7" w:rsidRDefault="00213BB7" w:rsidP="0034071D">
      <w:pPr>
        <w:spacing w:line="360" w:lineRule="auto"/>
        <w:rPr>
          <w:rFonts w:cs="Times New Roman"/>
        </w:rPr>
      </w:pPr>
      <w:r>
        <w:rPr>
          <w:rFonts w:cs="Times New Roman"/>
        </w:rPr>
        <w:t xml:space="preserve">What counts as a </w:t>
      </w:r>
      <w:r w:rsidRPr="008102E6">
        <w:rPr>
          <w:rFonts w:cs="Times New Roman"/>
        </w:rPr>
        <w:t xml:space="preserve">wrong </w:t>
      </w:r>
      <w:r>
        <w:rPr>
          <w:rFonts w:cs="Times New Roman"/>
        </w:rPr>
        <w:t xml:space="preserve">for Weinrib is </w:t>
      </w:r>
      <w:r w:rsidRPr="008102E6">
        <w:rPr>
          <w:rFonts w:cs="Times New Roman"/>
        </w:rPr>
        <w:t xml:space="preserve">derived from </w:t>
      </w:r>
      <w:r>
        <w:rPr>
          <w:rFonts w:cs="Times New Roman"/>
        </w:rPr>
        <w:t xml:space="preserve">Immanuel </w:t>
      </w:r>
      <w:r w:rsidRPr="008102E6">
        <w:rPr>
          <w:rFonts w:cs="Times New Roman"/>
        </w:rPr>
        <w:t xml:space="preserve">Kant’s </w:t>
      </w:r>
      <w:r w:rsidRPr="008102E6">
        <w:rPr>
          <w:rFonts w:cs="Times New Roman"/>
          <w:i/>
        </w:rPr>
        <w:t>Doctrine of Right</w:t>
      </w:r>
      <w:r w:rsidRPr="008102E6">
        <w:rPr>
          <w:rFonts w:cs="Times New Roman"/>
        </w:rPr>
        <w:t xml:space="preserve"> in </w:t>
      </w:r>
      <w:r w:rsidRPr="008102E6">
        <w:rPr>
          <w:rFonts w:cs="Times New Roman"/>
          <w:i/>
        </w:rPr>
        <w:t>The Metaphysics of Morals</w:t>
      </w:r>
      <w:r>
        <w:rPr>
          <w:rFonts w:cs="Times New Roman"/>
        </w:rPr>
        <w:t>: “</w:t>
      </w:r>
      <w:r w:rsidRPr="008102E6">
        <w:rPr>
          <w:rFonts w:cs="Times New Roman"/>
        </w:rPr>
        <w:t>Any action is right if it can coexist with everyone</w:t>
      </w:r>
      <w:r>
        <w:rPr>
          <w:rFonts w:cs="Times New Roman"/>
        </w:rPr>
        <w:t>’</w:t>
      </w:r>
      <w:r w:rsidRPr="008102E6">
        <w:rPr>
          <w:rFonts w:cs="Times New Roman"/>
        </w:rPr>
        <w:t>s freedom in accordance with a universal law, or if on its maxim the freedom of choice of each can coexist with everyone</w:t>
      </w:r>
      <w:r>
        <w:rPr>
          <w:rFonts w:cs="Times New Roman"/>
        </w:rPr>
        <w:t>’</w:t>
      </w:r>
      <w:r w:rsidRPr="008102E6">
        <w:rPr>
          <w:rFonts w:cs="Times New Roman"/>
        </w:rPr>
        <w:t>s freedom in accordance with a universal law.</w:t>
      </w:r>
      <w:r>
        <w:rPr>
          <w:rFonts w:cs="Times New Roman"/>
        </w:rPr>
        <w:t>”</w:t>
      </w:r>
      <w:r>
        <w:rPr>
          <w:rStyle w:val="FootnoteReference"/>
          <w:rFonts w:cs="Times New Roman"/>
        </w:rPr>
        <w:footnoteReference w:id="26"/>
      </w:r>
      <w:r w:rsidRPr="008102E6">
        <w:rPr>
          <w:rFonts w:cs="Times New Roman"/>
        </w:rPr>
        <w:t xml:space="preserve"> </w:t>
      </w:r>
    </w:p>
    <w:p w14:paraId="1D1BFE2D" w14:textId="77777777" w:rsidR="00213BB7" w:rsidRDefault="00213BB7" w:rsidP="0034071D">
      <w:pPr>
        <w:spacing w:line="360" w:lineRule="auto"/>
        <w:rPr>
          <w:rFonts w:cs="Times New Roman"/>
        </w:rPr>
      </w:pPr>
    </w:p>
    <w:p w14:paraId="55F2D14C" w14:textId="77777777" w:rsidR="00213BB7" w:rsidRDefault="00213BB7" w:rsidP="0034071D">
      <w:pPr>
        <w:spacing w:line="360" w:lineRule="auto"/>
        <w:rPr>
          <w:rFonts w:cs="Times New Roman"/>
        </w:rPr>
      </w:pPr>
      <w:r>
        <w:rPr>
          <w:rFonts w:cs="Times New Roman"/>
        </w:rPr>
        <w:t xml:space="preserve">In </w:t>
      </w:r>
      <w:r>
        <w:rPr>
          <w:rFonts w:cs="Times New Roman"/>
          <w:i/>
        </w:rPr>
        <w:t>A Theory of Tort Liability</w:t>
      </w:r>
      <w:r>
        <w:rPr>
          <w:rFonts w:cs="Times New Roman"/>
        </w:rPr>
        <w:t>, Beever presents these Kantian ideas as three central principles:</w:t>
      </w:r>
    </w:p>
    <w:p w14:paraId="4CEB82AA" w14:textId="77777777" w:rsidR="00213BB7" w:rsidRDefault="00213BB7" w:rsidP="0034071D">
      <w:pPr>
        <w:spacing w:line="360" w:lineRule="auto"/>
        <w:rPr>
          <w:rFonts w:cs="Times New Roman"/>
        </w:rPr>
      </w:pPr>
    </w:p>
    <w:p w14:paraId="5F543F5A" w14:textId="7F34597C" w:rsidR="00213BB7" w:rsidRDefault="00213BB7" w:rsidP="0034071D">
      <w:pPr>
        <w:spacing w:line="360" w:lineRule="auto"/>
        <w:ind w:left="567" w:right="567"/>
        <w:rPr>
          <w:rFonts w:cs="Times New Roman"/>
        </w:rPr>
      </w:pPr>
      <w:r>
        <w:rPr>
          <w:rFonts w:cs="Times New Roman"/>
        </w:rPr>
        <w:t>“</w:t>
      </w:r>
      <w:r>
        <w:rPr>
          <w:rFonts w:cs="Times New Roman"/>
          <w:i/>
        </w:rPr>
        <w:t xml:space="preserve">Equal maximum freedom: </w:t>
      </w:r>
      <w:r>
        <w:rPr>
          <w:rFonts w:cs="Times New Roman"/>
        </w:rPr>
        <w:t>individuals are entitled to the maximum amount of freedom possible consistent with the recognition of the same freedom in others.</w:t>
      </w:r>
    </w:p>
    <w:p w14:paraId="3E0F4B5E" w14:textId="77777777" w:rsidR="00213BB7" w:rsidRDefault="00213BB7" w:rsidP="0034071D">
      <w:pPr>
        <w:spacing w:line="360" w:lineRule="auto"/>
        <w:ind w:left="567" w:right="567"/>
        <w:rPr>
          <w:rFonts w:cs="Times New Roman"/>
        </w:rPr>
      </w:pPr>
      <w:r>
        <w:rPr>
          <w:rFonts w:cs="Times New Roman"/>
          <w:i/>
        </w:rPr>
        <w:t>Innate right</w:t>
      </w:r>
      <w:r>
        <w:rPr>
          <w:rFonts w:cs="Times New Roman"/>
        </w:rPr>
        <w:t>: individuals are entitled to independence from others, specifically not to be subject to constraint.</w:t>
      </w:r>
    </w:p>
    <w:p w14:paraId="6BCB2FA9" w14:textId="5FB715D9" w:rsidR="00213BB7" w:rsidRPr="008102E6" w:rsidRDefault="00213BB7" w:rsidP="0034071D">
      <w:pPr>
        <w:spacing w:line="360" w:lineRule="auto"/>
        <w:ind w:left="567" w:right="567"/>
        <w:rPr>
          <w:rFonts w:cs="Times New Roman"/>
        </w:rPr>
      </w:pPr>
      <w:r>
        <w:rPr>
          <w:rFonts w:cs="Times New Roman"/>
          <w:i/>
        </w:rPr>
        <w:t>Innocence</w:t>
      </w:r>
      <w:r>
        <w:rPr>
          <w:rFonts w:cs="Times New Roman"/>
        </w:rPr>
        <w:t>: individuals commit wrongs – i.e. act illegally – only if they violate the rights of others.”</w:t>
      </w:r>
      <w:r>
        <w:rPr>
          <w:rStyle w:val="FootnoteReference"/>
          <w:rFonts w:cs="Times New Roman"/>
        </w:rPr>
        <w:footnoteReference w:id="27"/>
      </w:r>
      <w:r>
        <w:rPr>
          <w:rFonts w:cs="Times New Roman"/>
        </w:rPr>
        <w:t xml:space="preserve"> </w:t>
      </w:r>
    </w:p>
    <w:p w14:paraId="6CF0506A" w14:textId="77777777" w:rsidR="00213BB7" w:rsidRDefault="00213BB7" w:rsidP="0034071D">
      <w:pPr>
        <w:spacing w:line="360" w:lineRule="auto"/>
        <w:rPr>
          <w:rFonts w:cs="Times New Roman"/>
        </w:rPr>
      </w:pPr>
    </w:p>
    <w:p w14:paraId="5A26CB05" w14:textId="47CAC5B3" w:rsidR="00213BB7" w:rsidRDefault="00213BB7" w:rsidP="0034071D">
      <w:pPr>
        <w:spacing w:line="360" w:lineRule="auto"/>
        <w:rPr>
          <w:rFonts w:cs="Times New Roman"/>
        </w:rPr>
      </w:pPr>
      <w:r>
        <w:rPr>
          <w:rFonts w:cs="Times New Roman"/>
        </w:rPr>
        <w:t>“Constraint” can take two forms: controlling or injuring the claimant.</w:t>
      </w:r>
      <w:r>
        <w:rPr>
          <w:rStyle w:val="FootnoteReference"/>
          <w:rFonts w:cs="Times New Roman"/>
        </w:rPr>
        <w:footnoteReference w:id="28"/>
      </w:r>
      <w:r>
        <w:rPr>
          <w:rFonts w:cs="Times New Roman"/>
        </w:rPr>
        <w:t xml:space="preserve"> In a series of works, Beever has applied this theory to a wide range of tort doctrines. He is also a committed interpretivist. Nowhere in private law is the</w:t>
      </w:r>
      <w:r w:rsidRPr="008102E6">
        <w:rPr>
          <w:rFonts w:cs="Times New Roman"/>
        </w:rPr>
        <w:t xml:space="preserve"> interpretive methodology an</w:t>
      </w:r>
      <w:r>
        <w:rPr>
          <w:rFonts w:cs="Times New Roman"/>
        </w:rPr>
        <w:t>d its application to tort law</w:t>
      </w:r>
      <w:r w:rsidRPr="008102E6">
        <w:rPr>
          <w:rFonts w:cs="Times New Roman"/>
        </w:rPr>
        <w:t xml:space="preserve"> more thoroughly expounded than in </w:t>
      </w:r>
      <w:r>
        <w:rPr>
          <w:rFonts w:cs="Times New Roman"/>
        </w:rPr>
        <w:t>his monograph</w:t>
      </w:r>
      <w:r w:rsidRPr="008102E6">
        <w:rPr>
          <w:rFonts w:cs="Times New Roman"/>
        </w:rPr>
        <w:t xml:space="preserve"> </w:t>
      </w:r>
      <w:r w:rsidRPr="008102E6">
        <w:rPr>
          <w:rFonts w:cs="Times New Roman"/>
          <w:i/>
        </w:rPr>
        <w:t>Rediscovering the Law of Negligence</w:t>
      </w:r>
      <w:r w:rsidRPr="008102E6">
        <w:rPr>
          <w:rFonts w:cs="Times New Roman"/>
        </w:rPr>
        <w:t xml:space="preserve">, though he has also reiterated it in more recent books </w:t>
      </w:r>
      <w:r>
        <w:rPr>
          <w:rFonts w:cs="Times New Roman"/>
        </w:rPr>
        <w:t>proposing a corrective justice or Kantian approach, such as</w:t>
      </w:r>
      <w:r w:rsidRPr="008102E6">
        <w:rPr>
          <w:rFonts w:cs="Times New Roman"/>
        </w:rPr>
        <w:t xml:space="preserve"> </w:t>
      </w:r>
      <w:r>
        <w:rPr>
          <w:rFonts w:cs="Times New Roman"/>
          <w:i/>
        </w:rPr>
        <w:t>The Law of Private Nuisance</w:t>
      </w:r>
      <w:r w:rsidRPr="00ED1232">
        <w:rPr>
          <w:rStyle w:val="FootnoteReference"/>
          <w:rFonts w:cs="Times New Roman"/>
        </w:rPr>
        <w:footnoteReference w:id="29"/>
      </w:r>
      <w:r w:rsidRPr="00736F4F">
        <w:rPr>
          <w:rFonts w:cs="Times New Roman"/>
        </w:rPr>
        <w:t xml:space="preserve"> </w:t>
      </w:r>
      <w:r>
        <w:rPr>
          <w:rFonts w:cs="Times New Roman"/>
        </w:rPr>
        <w:t>and</w:t>
      </w:r>
      <w:r>
        <w:rPr>
          <w:rFonts w:cs="Times New Roman"/>
          <w:i/>
        </w:rPr>
        <w:t xml:space="preserve"> </w:t>
      </w:r>
      <w:r w:rsidRPr="008102E6">
        <w:rPr>
          <w:rFonts w:cs="Times New Roman"/>
          <w:i/>
        </w:rPr>
        <w:t>A Theory of Tort Liability</w:t>
      </w:r>
      <w:r w:rsidRPr="008102E6">
        <w:rPr>
          <w:rFonts w:cs="Times New Roman"/>
        </w:rPr>
        <w:t>.</w:t>
      </w:r>
      <w:r>
        <w:rPr>
          <w:rFonts w:cs="Times New Roman"/>
        </w:rPr>
        <w:t xml:space="preserve"> If my arguments were confined to the work of Beever alone it would still be important to rebut these ideas as they seem to be gaining influence.</w:t>
      </w:r>
      <w:r>
        <w:rPr>
          <w:rStyle w:val="FootnoteReference"/>
          <w:rFonts w:cs="Times New Roman"/>
        </w:rPr>
        <w:footnoteReference w:id="30"/>
      </w:r>
      <w:r>
        <w:rPr>
          <w:rFonts w:cs="Times New Roman"/>
        </w:rPr>
        <w:t xml:space="preserve"> The reach of my critique is wider, though, because other deontologists commi</w:t>
      </w:r>
      <w:r w:rsidR="00ED1232">
        <w:rPr>
          <w:rFonts w:cs="Times New Roman"/>
        </w:rPr>
        <w:t>t themselves to the same</w:t>
      </w:r>
      <w:r>
        <w:rPr>
          <w:rFonts w:cs="Times New Roman"/>
        </w:rPr>
        <w:t xml:space="preserve"> methodology</w:t>
      </w:r>
      <w:r w:rsidRPr="008102E6">
        <w:rPr>
          <w:rFonts w:cs="Times New Roman"/>
        </w:rPr>
        <w:t xml:space="preserve">. </w:t>
      </w:r>
    </w:p>
    <w:p w14:paraId="3CDB94DA" w14:textId="77777777" w:rsidR="00213BB7" w:rsidRDefault="00213BB7" w:rsidP="0034071D">
      <w:pPr>
        <w:spacing w:line="360" w:lineRule="auto"/>
        <w:rPr>
          <w:rFonts w:cs="Times New Roman"/>
        </w:rPr>
      </w:pPr>
    </w:p>
    <w:p w14:paraId="0CEF1678" w14:textId="26B95E0B" w:rsidR="00213BB7" w:rsidRDefault="00213BB7" w:rsidP="0034071D">
      <w:pPr>
        <w:spacing w:line="360" w:lineRule="auto"/>
        <w:rPr>
          <w:rFonts w:cs="Times New Roman"/>
        </w:rPr>
      </w:pPr>
      <w:r>
        <w:rPr>
          <w:rFonts w:cs="Times New Roman"/>
        </w:rPr>
        <w:lastRenderedPageBreak/>
        <w:t>Robert Stevens, the leading proponent of a rights-based analysis of tort law in English law, is one such theorist. For Stevens,</w:t>
      </w:r>
      <w:r w:rsidRPr="00525D52">
        <w:rPr>
          <w:rFonts w:cs="Times New Roman"/>
        </w:rPr>
        <w:t xml:space="preserve"> the law of torts is </w:t>
      </w:r>
      <w:r>
        <w:rPr>
          <w:rFonts w:cs="Times New Roman"/>
        </w:rPr>
        <w:t>“</w:t>
      </w:r>
      <w:r w:rsidRPr="00525D52">
        <w:rPr>
          <w:rFonts w:cs="Times New Roman"/>
        </w:rPr>
        <w:t>concerned with the secondary obligations generated by the in</w:t>
      </w:r>
      <w:r>
        <w:rPr>
          <w:rFonts w:cs="Times New Roman"/>
        </w:rPr>
        <w:t>fringement of primary rights”.</w:t>
      </w:r>
      <w:r>
        <w:rPr>
          <w:rStyle w:val="FootnoteReference"/>
          <w:rFonts w:cs="Times New Roman"/>
        </w:rPr>
        <w:footnoteReference w:id="31"/>
      </w:r>
      <w:r>
        <w:rPr>
          <w:rFonts w:cs="Times New Roman"/>
        </w:rPr>
        <w:t xml:space="preserve"> When </w:t>
      </w:r>
      <w:r w:rsidRPr="00525D52">
        <w:rPr>
          <w:rFonts w:cs="Times New Roman"/>
        </w:rPr>
        <w:t>defendant</w:t>
      </w:r>
      <w:r>
        <w:rPr>
          <w:rFonts w:cs="Times New Roman"/>
        </w:rPr>
        <w:t>s interfere</w:t>
      </w:r>
      <w:r w:rsidRPr="00525D52">
        <w:rPr>
          <w:rFonts w:cs="Times New Roman"/>
        </w:rPr>
        <w:t xml:space="preserve"> with a clai</w:t>
      </w:r>
      <w:r>
        <w:rPr>
          <w:rFonts w:cs="Times New Roman"/>
        </w:rPr>
        <w:t>mants’ primary rights they have</w:t>
      </w:r>
      <w:r w:rsidRPr="00525D52">
        <w:rPr>
          <w:rFonts w:cs="Times New Roman"/>
        </w:rPr>
        <w:t xml:space="preserve"> an obligation to provide a remedy</w:t>
      </w:r>
      <w:r>
        <w:rPr>
          <w:rFonts w:cs="Times New Roman"/>
        </w:rPr>
        <w:t>. He is also explicit in adopting an interpretive approach</w:t>
      </w:r>
      <w:r w:rsidRPr="008102E6">
        <w:rPr>
          <w:rFonts w:cs="Times New Roman"/>
        </w:rPr>
        <w:t>, stating:</w:t>
      </w:r>
    </w:p>
    <w:p w14:paraId="02009FCF" w14:textId="77777777" w:rsidR="00213BB7" w:rsidRPr="008102E6" w:rsidRDefault="00213BB7" w:rsidP="0034071D">
      <w:pPr>
        <w:spacing w:line="360" w:lineRule="auto"/>
        <w:rPr>
          <w:rFonts w:cs="Times New Roman"/>
        </w:rPr>
      </w:pPr>
    </w:p>
    <w:p w14:paraId="4B3DB696" w14:textId="67C42135" w:rsidR="00213BB7" w:rsidRPr="008102E6" w:rsidRDefault="00213BB7" w:rsidP="0034071D">
      <w:pPr>
        <w:spacing w:line="360" w:lineRule="auto"/>
        <w:ind w:left="567" w:right="567"/>
        <w:rPr>
          <w:rFonts w:cs="Times New Roman"/>
        </w:rPr>
      </w:pPr>
      <w:r>
        <w:rPr>
          <w:rFonts w:cs="Times New Roman"/>
        </w:rPr>
        <w:t>“</w:t>
      </w:r>
      <w:r w:rsidRPr="008102E6">
        <w:rPr>
          <w:rFonts w:cs="Times New Roman"/>
        </w:rPr>
        <w:t>…a purely descriptive account of the law, which ignored the question of why the law makes moral sense, would be impossible, save in relation to the core application of certain basic rules. Such an account would also be exceptionally tedious. By contrast, a wholly normative approach does not have any necessary relationship with the law as it currently is. Interpretation is just what lawyers do, and have always done.</w:t>
      </w:r>
      <w:r>
        <w:rPr>
          <w:rFonts w:cs="Times New Roman"/>
        </w:rPr>
        <w:t>”</w:t>
      </w:r>
      <w:r w:rsidRPr="008102E6">
        <w:rPr>
          <w:rFonts w:cs="Times New Roman"/>
          <w:vertAlign w:val="superscript"/>
        </w:rPr>
        <w:footnoteReference w:id="32"/>
      </w:r>
    </w:p>
    <w:p w14:paraId="04F0B46B" w14:textId="77777777" w:rsidR="00213BB7" w:rsidRDefault="00213BB7" w:rsidP="0034071D">
      <w:pPr>
        <w:spacing w:line="360" w:lineRule="auto"/>
        <w:rPr>
          <w:rFonts w:cs="Times New Roman"/>
        </w:rPr>
      </w:pPr>
    </w:p>
    <w:p w14:paraId="0D4E0F8D" w14:textId="6AFBB7A0" w:rsidR="00213BB7" w:rsidRDefault="00213BB7" w:rsidP="0034071D">
      <w:pPr>
        <w:spacing w:line="360" w:lineRule="auto"/>
        <w:rPr>
          <w:rFonts w:cs="Times New Roman"/>
        </w:rPr>
      </w:pPr>
      <w:r>
        <w:rPr>
          <w:rFonts w:cs="Times New Roman"/>
        </w:rPr>
        <w:t>What, then, is interpretivism? Most closely associated with Ronald Dworkin, it can be seen as a middle way between legal positivism and natural law theory. Contrary to legal positivists, who see law as a matter of social convention, Dworkin likened legal interpretations to artistic ones. Both are supposedly a type of “constructive interpretation”, which involves “imposing purpose on an object or practice in order to make of it the best possible example of the form or genre to which it is taken to belong.”</w:t>
      </w:r>
      <w:r>
        <w:rPr>
          <w:rStyle w:val="FootnoteReference"/>
          <w:rFonts w:cs="Times New Roman"/>
        </w:rPr>
        <w:footnoteReference w:id="33"/>
      </w:r>
      <w:r>
        <w:rPr>
          <w:rFonts w:cs="Times New Roman"/>
        </w:rPr>
        <w:t xml:space="preserve"> </w:t>
      </w:r>
      <w:r w:rsidRPr="008102E6">
        <w:rPr>
          <w:rFonts w:cs="Times New Roman"/>
        </w:rPr>
        <w:t xml:space="preserve">Dworkin imagined an ideal judge, Hercules, who interpreted the law in the </w:t>
      </w:r>
      <w:r>
        <w:rPr>
          <w:rFonts w:cs="Times New Roman"/>
        </w:rPr>
        <w:t>“</w:t>
      </w:r>
      <w:r w:rsidRPr="008102E6">
        <w:rPr>
          <w:rFonts w:cs="Times New Roman"/>
        </w:rPr>
        <w:t>best light</w:t>
      </w:r>
      <w:r>
        <w:rPr>
          <w:rFonts w:cs="Times New Roman"/>
        </w:rPr>
        <w:t>”</w:t>
      </w:r>
      <w:r w:rsidRPr="008102E6">
        <w:rPr>
          <w:rStyle w:val="FootnoteReference"/>
          <w:rFonts w:cs="Times New Roman"/>
        </w:rPr>
        <w:footnoteReference w:id="34"/>
      </w:r>
      <w:r>
        <w:rPr>
          <w:rFonts w:cs="Times New Roman"/>
        </w:rPr>
        <w:t xml:space="preserve"> by considering</w:t>
      </w:r>
      <w:r w:rsidRPr="00A97D5F">
        <w:rPr>
          <w:rFonts w:cs="Times New Roman"/>
        </w:rPr>
        <w:t xml:space="preserve"> its underl</w:t>
      </w:r>
      <w:r>
        <w:rPr>
          <w:rFonts w:cs="Times New Roman"/>
        </w:rPr>
        <w:t xml:space="preserve">ying values and </w:t>
      </w:r>
      <w:r w:rsidRPr="00A97D5F">
        <w:rPr>
          <w:rFonts w:cs="Times New Roman"/>
        </w:rPr>
        <w:t xml:space="preserve">filling in any gaps in a way that is </w:t>
      </w:r>
      <w:r>
        <w:rPr>
          <w:rFonts w:cs="Times New Roman"/>
        </w:rPr>
        <w:t>consistent with those</w:t>
      </w:r>
      <w:r w:rsidRPr="00A97D5F">
        <w:rPr>
          <w:rFonts w:cs="Times New Roman"/>
        </w:rPr>
        <w:t xml:space="preserve"> principles.</w:t>
      </w:r>
      <w:r>
        <w:rPr>
          <w:rFonts w:cs="Times New Roman"/>
        </w:rPr>
        <w:t xml:space="preserve"> </w:t>
      </w:r>
      <w:r w:rsidRPr="006108B8">
        <w:rPr>
          <w:rFonts w:cs="Times New Roman"/>
        </w:rPr>
        <w:t>According to Hedley:</w:t>
      </w:r>
    </w:p>
    <w:p w14:paraId="6CFF78D3" w14:textId="77777777" w:rsidR="00213BB7" w:rsidRPr="006108B8" w:rsidRDefault="00213BB7" w:rsidP="0034071D">
      <w:pPr>
        <w:spacing w:line="360" w:lineRule="auto"/>
        <w:rPr>
          <w:rFonts w:cs="Times New Roman"/>
        </w:rPr>
      </w:pPr>
    </w:p>
    <w:p w14:paraId="06B75CE8" w14:textId="11AC7CF1" w:rsidR="00213BB7" w:rsidRPr="008102E6" w:rsidRDefault="00213BB7" w:rsidP="0034071D">
      <w:pPr>
        <w:spacing w:line="360" w:lineRule="auto"/>
        <w:ind w:left="567" w:right="567"/>
        <w:rPr>
          <w:rFonts w:cs="Times New Roman"/>
        </w:rPr>
      </w:pPr>
      <w:r>
        <w:rPr>
          <w:rFonts w:cs="Times New Roman"/>
        </w:rPr>
        <w:t>“</w:t>
      </w:r>
      <w:r w:rsidRPr="006108B8">
        <w:rPr>
          <w:rFonts w:cs="Times New Roman"/>
        </w:rPr>
        <w:t>The overall aim is therefore to go from a large and possibly confusing mass of legal information to a relatively tight and coherent theory which is thought to lie behind it or justify it.</w:t>
      </w:r>
      <w:r>
        <w:rPr>
          <w:rFonts w:cs="Times New Roman"/>
        </w:rPr>
        <w:t>”</w:t>
      </w:r>
      <w:r w:rsidRPr="006108B8">
        <w:rPr>
          <w:rFonts w:cs="Times New Roman"/>
          <w:vertAlign w:val="superscript"/>
        </w:rPr>
        <w:footnoteReference w:id="35"/>
      </w:r>
    </w:p>
    <w:p w14:paraId="65129AA7" w14:textId="4949EFFA" w:rsidR="00213BB7" w:rsidRDefault="00213BB7" w:rsidP="0034071D">
      <w:pPr>
        <w:spacing w:line="360" w:lineRule="auto"/>
        <w:rPr>
          <w:rFonts w:cs="Times New Roman"/>
        </w:rPr>
      </w:pPr>
    </w:p>
    <w:p w14:paraId="46D3E5DE" w14:textId="42CC29C1" w:rsidR="00213BB7" w:rsidRPr="00A72EE0" w:rsidRDefault="00213BB7" w:rsidP="0034071D">
      <w:pPr>
        <w:spacing w:line="360" w:lineRule="auto"/>
        <w:rPr>
          <w:rFonts w:cs="Times New Roman"/>
        </w:rPr>
      </w:pPr>
      <w:r>
        <w:rPr>
          <w:rFonts w:cs="Times New Roman"/>
        </w:rPr>
        <w:lastRenderedPageBreak/>
        <w:t>Dworkin believed a fruitful comparison could be made between the law and a chain novel, with new cases developing principles that become part of the narrative of the law.</w:t>
      </w:r>
      <w:r>
        <w:rPr>
          <w:rStyle w:val="FootnoteReference"/>
          <w:rFonts w:cs="Times New Roman"/>
        </w:rPr>
        <w:footnoteReference w:id="36"/>
      </w:r>
      <w:r>
        <w:rPr>
          <w:rFonts w:cs="Times New Roman"/>
        </w:rPr>
        <w:t xml:space="preserve"> Stevens prefers the analogy of “</w:t>
      </w:r>
      <w:r w:rsidRPr="00D233FA">
        <w:rPr>
          <w:rFonts w:cs="Times New Roman"/>
        </w:rPr>
        <w:t>a painter working on a vast canvas which has been, is being, and will be worked on by others</w:t>
      </w:r>
      <w:r w:rsidR="00ED1232">
        <w:rPr>
          <w:rFonts w:cs="Times New Roman"/>
        </w:rPr>
        <w:t>.</w:t>
      </w:r>
      <w:r>
        <w:rPr>
          <w:rFonts w:cs="Times New Roman"/>
        </w:rPr>
        <w:t>”</w:t>
      </w:r>
      <w:r>
        <w:rPr>
          <w:rStyle w:val="FootnoteReference"/>
          <w:rFonts w:cs="Times New Roman"/>
        </w:rPr>
        <w:footnoteReference w:id="37"/>
      </w:r>
      <w:r w:rsidRPr="00D233FA">
        <w:rPr>
          <w:rFonts w:cs="Times New Roman"/>
        </w:rPr>
        <w:t xml:space="preserve"> </w:t>
      </w:r>
      <w:r>
        <w:rPr>
          <w:rFonts w:cs="Times New Roman"/>
        </w:rPr>
        <w:t xml:space="preserve">The judge is trying to </w:t>
      </w:r>
      <w:r w:rsidR="00AF2FA3">
        <w:rPr>
          <w:rFonts w:cs="Times New Roman"/>
        </w:rPr>
        <w:t xml:space="preserve">create </w:t>
      </w:r>
      <w:r>
        <w:rPr>
          <w:rFonts w:cs="Times New Roman"/>
        </w:rPr>
        <w:t>the best painting he can but he cannot, unlike a legislature,</w:t>
      </w:r>
      <w:r w:rsidRPr="00D233FA">
        <w:rPr>
          <w:rFonts w:cs="Times New Roman"/>
        </w:rPr>
        <w:t xml:space="preserve"> whitewash over any area of the painting and start again</w:t>
      </w:r>
      <w:r>
        <w:rPr>
          <w:rFonts w:cs="Times New Roman"/>
        </w:rPr>
        <w:t xml:space="preserve">. </w:t>
      </w:r>
      <w:r>
        <w:rPr>
          <w:rFonts w:cs="Times New Roman"/>
          <w:i/>
        </w:rPr>
        <w:t xml:space="preserve">Pace </w:t>
      </w:r>
      <w:r>
        <w:rPr>
          <w:rFonts w:cs="Times New Roman"/>
        </w:rPr>
        <w:t>Dworkin, this appears to be a more apt metaphor than the chain novel because judges, at least in apex courts, may, among other things, paint over mistakes.</w:t>
      </w:r>
      <w:r>
        <w:rPr>
          <w:rStyle w:val="FootnoteReference"/>
          <w:rFonts w:cs="Times New Roman"/>
        </w:rPr>
        <w:footnoteReference w:id="38"/>
      </w:r>
      <w:r>
        <w:rPr>
          <w:rFonts w:cs="Times New Roman"/>
        </w:rPr>
        <w:t xml:space="preserve"> </w:t>
      </w:r>
    </w:p>
    <w:p w14:paraId="7D4E7A9A" w14:textId="77777777" w:rsidR="00213BB7" w:rsidRPr="008102E6" w:rsidRDefault="00213BB7" w:rsidP="0034071D">
      <w:pPr>
        <w:spacing w:line="360" w:lineRule="auto"/>
        <w:rPr>
          <w:rFonts w:cs="Times New Roman"/>
        </w:rPr>
      </w:pPr>
    </w:p>
    <w:p w14:paraId="24E5CCCE" w14:textId="5F0B5D97" w:rsidR="00213BB7" w:rsidRDefault="00213BB7" w:rsidP="0034071D">
      <w:pPr>
        <w:spacing w:line="360" w:lineRule="auto"/>
        <w:rPr>
          <w:rFonts w:cs="Times New Roman"/>
        </w:rPr>
      </w:pPr>
      <w:r w:rsidRPr="008102E6">
        <w:rPr>
          <w:rFonts w:cs="Times New Roman"/>
        </w:rPr>
        <w:t xml:space="preserve">Stephen Smith, in his book </w:t>
      </w:r>
      <w:r w:rsidRPr="008102E6">
        <w:rPr>
          <w:rFonts w:cs="Times New Roman"/>
          <w:i/>
        </w:rPr>
        <w:t>Contract Theory</w:t>
      </w:r>
      <w:r w:rsidRPr="008102E6">
        <w:rPr>
          <w:rFonts w:cs="Times New Roman"/>
        </w:rPr>
        <w:t xml:space="preserve"> devel</w:t>
      </w:r>
      <w:r>
        <w:rPr>
          <w:rFonts w:cs="Times New Roman"/>
        </w:rPr>
        <w:t>oped four different axes for ass</w:t>
      </w:r>
      <w:r w:rsidRPr="008102E6">
        <w:rPr>
          <w:rFonts w:cs="Times New Roman"/>
        </w:rPr>
        <w:t>essing the success of an interpretive account. These are:</w:t>
      </w:r>
    </w:p>
    <w:p w14:paraId="1FCB3270" w14:textId="77777777" w:rsidR="00213BB7" w:rsidRPr="008102E6" w:rsidRDefault="00213BB7" w:rsidP="0034071D">
      <w:pPr>
        <w:spacing w:line="360" w:lineRule="auto"/>
        <w:rPr>
          <w:rFonts w:cs="Times New Roman"/>
          <w:i/>
        </w:rPr>
      </w:pPr>
    </w:p>
    <w:p w14:paraId="1EEECDC9" w14:textId="77397712" w:rsidR="00213BB7" w:rsidRPr="008102E6" w:rsidRDefault="00213BB7" w:rsidP="0034071D">
      <w:pPr>
        <w:pStyle w:val="ListParagraph"/>
        <w:numPr>
          <w:ilvl w:val="0"/>
          <w:numId w:val="1"/>
        </w:numPr>
        <w:spacing w:line="360" w:lineRule="auto"/>
        <w:rPr>
          <w:rFonts w:cs="Times New Roman"/>
        </w:rPr>
      </w:pPr>
      <w:r w:rsidRPr="008102E6">
        <w:rPr>
          <w:rFonts w:cs="Times New Roman"/>
        </w:rPr>
        <w:t>Fit</w:t>
      </w:r>
      <w:r>
        <w:rPr>
          <w:rFonts w:cs="Times New Roman"/>
        </w:rPr>
        <w:t>:</w:t>
      </w:r>
      <w:r w:rsidRPr="008102E6">
        <w:rPr>
          <w:rFonts w:cs="Times New Roman"/>
        </w:rPr>
        <w:t xml:space="preserve"> how well the theory explains the cases</w:t>
      </w:r>
      <w:r>
        <w:rPr>
          <w:rFonts w:cs="Times New Roman"/>
        </w:rPr>
        <w:t xml:space="preserve"> or doctrine</w:t>
      </w:r>
      <w:r w:rsidRPr="008102E6">
        <w:rPr>
          <w:rFonts w:cs="Times New Roman"/>
        </w:rPr>
        <w:t>;</w:t>
      </w:r>
    </w:p>
    <w:p w14:paraId="4A594E6B" w14:textId="7299E532" w:rsidR="00213BB7" w:rsidRPr="008102E6" w:rsidRDefault="00213BB7" w:rsidP="0034071D">
      <w:pPr>
        <w:pStyle w:val="ListParagraph"/>
        <w:numPr>
          <w:ilvl w:val="0"/>
          <w:numId w:val="1"/>
        </w:numPr>
        <w:spacing w:line="360" w:lineRule="auto"/>
        <w:rPr>
          <w:rFonts w:cs="Times New Roman"/>
        </w:rPr>
      </w:pPr>
      <w:r w:rsidRPr="008102E6">
        <w:rPr>
          <w:rFonts w:cs="Times New Roman"/>
        </w:rPr>
        <w:t>Transparency</w:t>
      </w:r>
      <w:r>
        <w:rPr>
          <w:rFonts w:cs="Times New Roman"/>
        </w:rPr>
        <w:t>:</w:t>
      </w:r>
      <w:r w:rsidRPr="008102E6">
        <w:rPr>
          <w:rFonts w:cs="Times New Roman"/>
        </w:rPr>
        <w:t xml:space="preserve"> how well it reflects the reasoning </w:t>
      </w:r>
      <w:r>
        <w:rPr>
          <w:rFonts w:cs="Times New Roman"/>
        </w:rPr>
        <w:t xml:space="preserve">deployed </w:t>
      </w:r>
      <w:r w:rsidRPr="008102E6">
        <w:rPr>
          <w:rFonts w:cs="Times New Roman"/>
        </w:rPr>
        <w:t>by the courts;</w:t>
      </w:r>
    </w:p>
    <w:p w14:paraId="5F2233C3" w14:textId="14FAB284" w:rsidR="00213BB7" w:rsidRPr="008102E6" w:rsidRDefault="00213BB7" w:rsidP="0034071D">
      <w:pPr>
        <w:pStyle w:val="ListParagraph"/>
        <w:numPr>
          <w:ilvl w:val="0"/>
          <w:numId w:val="1"/>
        </w:numPr>
        <w:spacing w:line="360" w:lineRule="auto"/>
        <w:rPr>
          <w:rFonts w:cs="Times New Roman"/>
        </w:rPr>
      </w:pPr>
      <w:r w:rsidRPr="008102E6">
        <w:rPr>
          <w:rFonts w:cs="Times New Roman"/>
        </w:rPr>
        <w:t>Morality</w:t>
      </w:r>
      <w:r>
        <w:rPr>
          <w:rFonts w:cs="Times New Roman"/>
        </w:rPr>
        <w:t>:</w:t>
      </w:r>
      <w:r w:rsidRPr="008102E6">
        <w:rPr>
          <w:rFonts w:cs="Times New Roman"/>
        </w:rPr>
        <w:t xml:space="preserve"> the extent that the law might be justified</w:t>
      </w:r>
      <w:r>
        <w:rPr>
          <w:rFonts w:cs="Times New Roman"/>
        </w:rPr>
        <w:t xml:space="preserve"> in moral terms</w:t>
      </w:r>
      <w:r w:rsidRPr="008102E6">
        <w:rPr>
          <w:rFonts w:cs="Times New Roman"/>
        </w:rPr>
        <w:t>;</w:t>
      </w:r>
    </w:p>
    <w:p w14:paraId="3E28B853" w14:textId="709F3576" w:rsidR="00213BB7" w:rsidRPr="008102E6" w:rsidRDefault="00213BB7" w:rsidP="0034071D">
      <w:pPr>
        <w:pStyle w:val="ListParagraph"/>
        <w:numPr>
          <w:ilvl w:val="0"/>
          <w:numId w:val="1"/>
        </w:numPr>
        <w:spacing w:line="360" w:lineRule="auto"/>
        <w:rPr>
          <w:rFonts w:cs="Times New Roman"/>
        </w:rPr>
      </w:pPr>
      <w:r w:rsidRPr="008102E6">
        <w:rPr>
          <w:rFonts w:cs="Times New Roman"/>
        </w:rPr>
        <w:t>Coherence</w:t>
      </w:r>
      <w:r>
        <w:rPr>
          <w:rFonts w:cs="Times New Roman"/>
        </w:rPr>
        <w:t>:</w:t>
      </w:r>
      <w:r w:rsidRPr="008102E6">
        <w:rPr>
          <w:rFonts w:cs="Times New Roman"/>
        </w:rPr>
        <w:t xml:space="preserve"> how coherent the theory is.</w:t>
      </w:r>
      <w:r w:rsidRPr="008102E6">
        <w:rPr>
          <w:rStyle w:val="FootnoteReference"/>
          <w:rFonts w:cs="Times New Roman"/>
        </w:rPr>
        <w:footnoteReference w:id="39"/>
      </w:r>
      <w:r w:rsidRPr="008102E6">
        <w:rPr>
          <w:rFonts w:cs="Times New Roman"/>
        </w:rPr>
        <w:t xml:space="preserve"> </w:t>
      </w:r>
    </w:p>
    <w:p w14:paraId="3B3424FD" w14:textId="77777777" w:rsidR="00213BB7" w:rsidRPr="008102E6" w:rsidRDefault="00213BB7" w:rsidP="0034071D">
      <w:pPr>
        <w:spacing w:line="360" w:lineRule="auto"/>
        <w:rPr>
          <w:rFonts w:cs="Times New Roman"/>
        </w:rPr>
      </w:pPr>
    </w:p>
    <w:p w14:paraId="5A7BD9C5" w14:textId="3F48B644" w:rsidR="00213BB7" w:rsidRPr="008102E6" w:rsidRDefault="00213BB7" w:rsidP="0034071D">
      <w:pPr>
        <w:spacing w:line="360" w:lineRule="auto"/>
        <w:rPr>
          <w:rFonts w:cs="Times New Roman"/>
        </w:rPr>
      </w:pPr>
      <w:r w:rsidRPr="008102E6">
        <w:rPr>
          <w:rFonts w:cs="Times New Roman"/>
        </w:rPr>
        <w:t>There</w:t>
      </w:r>
      <w:r>
        <w:rPr>
          <w:rFonts w:cs="Times New Roman"/>
        </w:rPr>
        <w:t xml:space="preserve"> are two forms of coherence. A “weak”</w:t>
      </w:r>
      <w:r w:rsidRPr="008102E6">
        <w:rPr>
          <w:rFonts w:cs="Times New Roman"/>
        </w:rPr>
        <w:t xml:space="preserve"> notion, where a theory is non-contradictory and a </w:t>
      </w:r>
      <w:r>
        <w:rPr>
          <w:rFonts w:cs="Times New Roman"/>
        </w:rPr>
        <w:t>“strong”</w:t>
      </w:r>
      <w:r w:rsidRPr="008102E6">
        <w:rPr>
          <w:rFonts w:cs="Times New Roman"/>
        </w:rPr>
        <w:t xml:space="preserve"> version where </w:t>
      </w:r>
      <w:r>
        <w:rPr>
          <w:rFonts w:cs="Times New Roman"/>
        </w:rPr>
        <w:t>it can</w:t>
      </w:r>
      <w:r w:rsidRPr="008102E6">
        <w:rPr>
          <w:rFonts w:cs="Times New Roman"/>
        </w:rPr>
        <w:t xml:space="preserve"> be boiled down to a unified system or single principle.</w:t>
      </w:r>
      <w:r w:rsidRPr="008102E6">
        <w:rPr>
          <w:rStyle w:val="FootnoteReference"/>
          <w:rFonts w:cs="Times New Roman"/>
        </w:rPr>
        <w:footnoteReference w:id="40"/>
      </w:r>
      <w:r w:rsidRPr="008102E6">
        <w:rPr>
          <w:rFonts w:cs="Times New Roman"/>
        </w:rPr>
        <w:t xml:space="preserve"> </w:t>
      </w:r>
    </w:p>
    <w:p w14:paraId="1B318D7F" w14:textId="77777777" w:rsidR="00213BB7" w:rsidRDefault="00213BB7" w:rsidP="0034071D">
      <w:pPr>
        <w:spacing w:line="360" w:lineRule="auto"/>
        <w:rPr>
          <w:rFonts w:cs="Times New Roman"/>
        </w:rPr>
      </w:pPr>
    </w:p>
    <w:p w14:paraId="1B3FC704" w14:textId="44E343C6" w:rsidR="00213BB7" w:rsidRDefault="00AF2FA3" w:rsidP="0034071D">
      <w:pPr>
        <w:spacing w:line="360" w:lineRule="auto"/>
        <w:rPr>
          <w:rFonts w:cs="Times New Roman"/>
        </w:rPr>
      </w:pPr>
      <w:r>
        <w:rPr>
          <w:rFonts w:cs="Times New Roman"/>
        </w:rPr>
        <w:t>I</w:t>
      </w:r>
      <w:r w:rsidR="00213BB7">
        <w:rPr>
          <w:rFonts w:cs="Times New Roman"/>
        </w:rPr>
        <w:t xml:space="preserve">nterpretivists are therefore attempting to develop a coherent, morally justified theory that explains the doctrine and reflects the reasoning used by judges. </w:t>
      </w:r>
      <w:r w:rsidR="00213BB7" w:rsidRPr="00D2453A">
        <w:rPr>
          <w:rFonts w:cs="Times New Roman"/>
        </w:rPr>
        <w:t>I will accept that the deontologist</w:t>
      </w:r>
      <w:r>
        <w:rPr>
          <w:rFonts w:cs="Times New Roman"/>
        </w:rPr>
        <w:t>s’</w:t>
      </w:r>
      <w:r w:rsidR="00213BB7" w:rsidRPr="00D2453A">
        <w:rPr>
          <w:rFonts w:cs="Times New Roman"/>
        </w:rPr>
        <w:t xml:space="preserve"> theories are highly</w:t>
      </w:r>
      <w:r w:rsidR="00213BB7">
        <w:rPr>
          <w:rFonts w:cs="Times New Roman"/>
        </w:rPr>
        <w:t xml:space="preserve"> coherent as they can be boiled down to simple principles (“</w:t>
      </w:r>
      <w:r w:rsidR="00213BB7" w:rsidRPr="008102E6">
        <w:rPr>
          <w:rFonts w:cs="Times New Roman"/>
        </w:rPr>
        <w:t>Did the defendant create an unreasonable risk of the claimant’s injury?</w:t>
      </w:r>
      <w:r w:rsidR="00213BB7">
        <w:rPr>
          <w:rFonts w:cs="Times New Roman"/>
        </w:rPr>
        <w:t>”;</w:t>
      </w:r>
      <w:r w:rsidR="00213BB7" w:rsidRPr="008102E6">
        <w:rPr>
          <w:rStyle w:val="FootnoteReference"/>
          <w:rFonts w:cs="Times New Roman"/>
        </w:rPr>
        <w:footnoteReference w:id="41"/>
      </w:r>
      <w:r w:rsidR="00213BB7">
        <w:rPr>
          <w:rFonts w:cs="Times New Roman"/>
        </w:rPr>
        <w:t xml:space="preserve"> tort</w:t>
      </w:r>
      <w:r w:rsidR="00213BB7" w:rsidRPr="00525D52">
        <w:rPr>
          <w:rFonts w:cs="Times New Roman"/>
        </w:rPr>
        <w:t xml:space="preserve"> </w:t>
      </w:r>
      <w:r w:rsidR="00213BB7">
        <w:rPr>
          <w:rFonts w:cs="Times New Roman"/>
        </w:rPr>
        <w:t>law is “</w:t>
      </w:r>
      <w:r w:rsidR="00213BB7" w:rsidRPr="00525D52">
        <w:rPr>
          <w:rFonts w:cs="Times New Roman"/>
        </w:rPr>
        <w:t>concerned with the secondary obligations generated by the in</w:t>
      </w:r>
      <w:r w:rsidR="00213BB7">
        <w:rPr>
          <w:rFonts w:cs="Times New Roman"/>
        </w:rPr>
        <w:t>fringement of primary rights”</w:t>
      </w:r>
      <w:r w:rsidR="00213BB7">
        <w:rPr>
          <w:rStyle w:val="FootnoteReference"/>
          <w:rFonts w:cs="Times New Roman"/>
        </w:rPr>
        <w:footnoteReference w:id="42"/>
      </w:r>
      <w:r w:rsidR="00213BB7">
        <w:rPr>
          <w:rFonts w:cs="Times New Roman"/>
        </w:rPr>
        <w:t>).</w:t>
      </w:r>
      <w:r w:rsidR="00213BB7" w:rsidRPr="008102E6">
        <w:rPr>
          <w:rFonts w:cs="Times New Roman"/>
        </w:rPr>
        <w:t xml:space="preserve"> </w:t>
      </w:r>
      <w:r w:rsidR="00213BB7">
        <w:rPr>
          <w:rFonts w:cs="Times New Roman"/>
        </w:rPr>
        <w:t>In fact, the consensus appears to be that they value coherence above all else.</w:t>
      </w:r>
      <w:r w:rsidR="00213BB7">
        <w:rPr>
          <w:rStyle w:val="FootnoteReference"/>
          <w:rFonts w:cs="Times New Roman"/>
        </w:rPr>
        <w:footnoteReference w:id="43"/>
      </w:r>
      <w:r w:rsidR="00213BB7">
        <w:rPr>
          <w:rFonts w:cs="Times New Roman"/>
        </w:rPr>
        <w:t xml:space="preserve"> I also do not </w:t>
      </w:r>
      <w:r w:rsidR="00213BB7">
        <w:rPr>
          <w:rFonts w:cs="Times New Roman"/>
        </w:rPr>
        <w:lastRenderedPageBreak/>
        <w:t>seek to attack these</w:t>
      </w:r>
      <w:r w:rsidR="00213BB7" w:rsidRPr="00D2453A">
        <w:rPr>
          <w:rFonts w:cs="Times New Roman"/>
        </w:rPr>
        <w:t xml:space="preserve"> theories </w:t>
      </w:r>
      <w:r w:rsidR="00213BB7">
        <w:rPr>
          <w:rFonts w:cs="Times New Roman"/>
        </w:rPr>
        <w:t>for being</w:t>
      </w:r>
      <w:r w:rsidR="00213BB7" w:rsidRPr="00D2453A">
        <w:rPr>
          <w:rFonts w:cs="Times New Roman"/>
        </w:rPr>
        <w:t xml:space="preserve"> normatively undesirable</w:t>
      </w:r>
      <w:r>
        <w:rPr>
          <w:rFonts w:cs="Times New Roman"/>
        </w:rPr>
        <w:t xml:space="preserve">, though </w:t>
      </w:r>
      <w:r w:rsidR="00213BB7">
        <w:rPr>
          <w:rFonts w:cs="Times New Roman"/>
        </w:rPr>
        <w:t>consequentialists would find them so</w:t>
      </w:r>
      <w:r w:rsidR="00213BB7" w:rsidRPr="00D2453A">
        <w:rPr>
          <w:rFonts w:cs="Times New Roman"/>
        </w:rPr>
        <w:t xml:space="preserve">. </w:t>
      </w:r>
      <w:r w:rsidR="00213BB7">
        <w:rPr>
          <w:rFonts w:cs="Times New Roman"/>
        </w:rPr>
        <w:t xml:space="preserve">Rather, </w:t>
      </w:r>
      <w:r w:rsidR="00213BB7" w:rsidRPr="00367A3E">
        <w:rPr>
          <w:rFonts w:cs="Times New Roman"/>
        </w:rPr>
        <w:t>my intention is to dem</w:t>
      </w:r>
      <w:r>
        <w:rPr>
          <w:rFonts w:cs="Times New Roman"/>
        </w:rPr>
        <w:t>onstrate that these accounts</w:t>
      </w:r>
      <w:r w:rsidR="00213BB7">
        <w:rPr>
          <w:rFonts w:cs="Times New Roman"/>
        </w:rPr>
        <w:t xml:space="preserve"> have been</w:t>
      </w:r>
      <w:r w:rsidR="00213BB7" w:rsidRPr="00367A3E">
        <w:rPr>
          <w:rFonts w:cs="Times New Roman"/>
        </w:rPr>
        <w:t xml:space="preserve"> subject to compelling </w:t>
      </w:r>
      <w:r w:rsidR="00213BB7">
        <w:rPr>
          <w:rFonts w:cs="Times New Roman"/>
        </w:rPr>
        <w:t>rebuttals</w:t>
      </w:r>
      <w:r w:rsidR="00213BB7" w:rsidRPr="00367A3E">
        <w:rPr>
          <w:rFonts w:cs="Times New Roman"/>
        </w:rPr>
        <w:t xml:space="preserve"> as they do not align with</w:t>
      </w:r>
      <w:r w:rsidR="00213BB7">
        <w:rPr>
          <w:rFonts w:cs="Times New Roman"/>
        </w:rPr>
        <w:t xml:space="preserve"> significant areas</w:t>
      </w:r>
      <w:r w:rsidR="00213BB7" w:rsidRPr="00367A3E">
        <w:rPr>
          <w:rFonts w:cs="Times New Roman"/>
        </w:rPr>
        <w:t xml:space="preserve"> </w:t>
      </w:r>
      <w:r w:rsidR="00213BB7">
        <w:rPr>
          <w:rFonts w:cs="Times New Roman"/>
        </w:rPr>
        <w:t xml:space="preserve">doctrine or the reasoning of </w:t>
      </w:r>
      <w:r w:rsidR="00213BB7" w:rsidRPr="00367A3E">
        <w:rPr>
          <w:rFonts w:cs="Times New Roman"/>
        </w:rPr>
        <w:t xml:space="preserve">judges in tort cases. Additionally, </w:t>
      </w:r>
      <w:r w:rsidR="00213BB7">
        <w:rPr>
          <w:rFonts w:cs="Times New Roman"/>
        </w:rPr>
        <w:t>I will demonstrate that exploiting</w:t>
      </w:r>
      <w:r w:rsidR="00213BB7" w:rsidRPr="00367A3E">
        <w:rPr>
          <w:rFonts w:cs="Times New Roman"/>
        </w:rPr>
        <w:t xml:space="preserve"> the interpretive axis could enable deontologists to circumvent these criticisms.</w:t>
      </w:r>
      <w:r w:rsidR="00213BB7">
        <w:rPr>
          <w:rFonts w:cs="Times New Roman"/>
        </w:rPr>
        <w:t xml:space="preserve"> </w:t>
      </w:r>
    </w:p>
    <w:p w14:paraId="5DCF65AC" w14:textId="77777777" w:rsidR="00213BB7" w:rsidRDefault="00213BB7" w:rsidP="0034071D">
      <w:pPr>
        <w:spacing w:line="360" w:lineRule="auto"/>
        <w:rPr>
          <w:rFonts w:cs="Times New Roman"/>
        </w:rPr>
      </w:pPr>
    </w:p>
    <w:p w14:paraId="5FD3C15D" w14:textId="5DABE4A2" w:rsidR="00213BB7" w:rsidRDefault="00213BB7" w:rsidP="0034071D">
      <w:pPr>
        <w:spacing w:line="360" w:lineRule="auto"/>
        <w:rPr>
          <w:rFonts w:cs="Times New Roman"/>
        </w:rPr>
      </w:pPr>
      <w:r>
        <w:rPr>
          <w:rFonts w:cs="Times New Roman"/>
        </w:rPr>
        <w:t>Transparency will be covered in more detail with the discussion of policy in the next section of this article. For now, it suffices to say that the reasoning of judges does not match the deontological theories as tort cases are not always decided in terms of rights or corrective justice. Judges</w:t>
      </w:r>
      <w:r w:rsidRPr="008102E6">
        <w:rPr>
          <w:rFonts w:cs="Times New Roman"/>
        </w:rPr>
        <w:t xml:space="preserve"> rarely</w:t>
      </w:r>
      <w:r>
        <w:rPr>
          <w:rFonts w:cs="Times New Roman"/>
        </w:rPr>
        <w:t>, if ever,</w:t>
      </w:r>
      <w:r w:rsidRPr="008102E6">
        <w:rPr>
          <w:rFonts w:cs="Times New Roman"/>
        </w:rPr>
        <w:t xml:space="preserve"> cite the work of Kant.</w:t>
      </w:r>
      <w:r w:rsidRPr="008102E6">
        <w:rPr>
          <w:rStyle w:val="FootnoteReference"/>
          <w:rFonts w:cs="Times New Roman"/>
        </w:rPr>
        <w:footnoteReference w:id="44"/>
      </w:r>
      <w:r>
        <w:rPr>
          <w:rFonts w:cs="Times New Roman"/>
        </w:rPr>
        <w:t xml:space="preserve"> Reasons of distributive justice have been determinative to the outcome of landmark cases.</w:t>
      </w:r>
      <w:r>
        <w:rPr>
          <w:rStyle w:val="FootnoteReference"/>
          <w:rFonts w:cs="Times New Roman"/>
        </w:rPr>
        <w:footnoteReference w:id="45"/>
      </w:r>
      <w:r>
        <w:rPr>
          <w:rFonts w:cs="Times New Roman"/>
        </w:rPr>
        <w:t xml:space="preserve"> Some deontologists even come close to capitulation on this matter, with Beever acknowledging that his scheme requires</w:t>
      </w:r>
      <w:r w:rsidRPr="008102E6">
        <w:rPr>
          <w:rFonts w:cs="Times New Roman"/>
        </w:rPr>
        <w:t xml:space="preserve"> </w:t>
      </w:r>
      <w:r>
        <w:rPr>
          <w:rFonts w:cs="Times New Roman"/>
        </w:rPr>
        <w:t>“</w:t>
      </w:r>
      <w:r w:rsidRPr="008102E6">
        <w:rPr>
          <w:rFonts w:cs="Times New Roman"/>
        </w:rPr>
        <w:t xml:space="preserve">special treatment when applied </w:t>
      </w:r>
      <w:r>
        <w:rPr>
          <w:rFonts w:cs="Times New Roman"/>
        </w:rPr>
        <w:t>to the modern law of negligence”</w:t>
      </w:r>
      <w:r w:rsidRPr="008102E6">
        <w:rPr>
          <w:rFonts w:cs="Times New Roman"/>
          <w:vertAlign w:val="superscript"/>
        </w:rPr>
        <w:footnoteReference w:id="46"/>
      </w:r>
      <w:r>
        <w:rPr>
          <w:rFonts w:cs="Times New Roman"/>
        </w:rPr>
        <w:t xml:space="preserve"> because no theory could hope to be transparent with the reasoning used in modern cases.</w:t>
      </w:r>
      <w:r w:rsidRPr="008102E6">
        <w:rPr>
          <w:rFonts w:cs="Times New Roman"/>
        </w:rPr>
        <w:t xml:space="preserve"> </w:t>
      </w:r>
    </w:p>
    <w:p w14:paraId="76CB549E" w14:textId="77777777" w:rsidR="00213BB7" w:rsidRDefault="00213BB7" w:rsidP="0034071D">
      <w:pPr>
        <w:spacing w:line="360" w:lineRule="auto"/>
        <w:rPr>
          <w:rFonts w:cs="Times New Roman"/>
        </w:rPr>
      </w:pPr>
    </w:p>
    <w:p w14:paraId="3DCADA67" w14:textId="646E51D1" w:rsidR="00213BB7" w:rsidRDefault="00213BB7" w:rsidP="0034071D">
      <w:pPr>
        <w:spacing w:line="360" w:lineRule="auto"/>
        <w:rPr>
          <w:rFonts w:cs="Times New Roman"/>
        </w:rPr>
      </w:pPr>
      <w:r>
        <w:rPr>
          <w:rFonts w:cs="Times New Roman"/>
        </w:rPr>
        <w:t>On the matter of fit, the most relentless critic of the deontologists on this matter has been John Murphy. In a series of works, some in collaboration with James Goudkamp, he has argued that corrective justice and rights-based tort theories struggle to explain significant areas of tort law.</w:t>
      </w:r>
      <w:r>
        <w:rPr>
          <w:rStyle w:val="FootnoteReference"/>
          <w:rFonts w:cs="Times New Roman"/>
        </w:rPr>
        <w:footnoteReference w:id="47"/>
      </w:r>
      <w:r>
        <w:rPr>
          <w:rFonts w:cs="Times New Roman"/>
        </w:rPr>
        <w:t xml:space="preserve"> A full inventory of this impressive body of work is not possible here but some brief sketches will suffice to illustrate this point. </w:t>
      </w:r>
    </w:p>
    <w:p w14:paraId="3BFDF5AB" w14:textId="77777777" w:rsidR="00213BB7" w:rsidRDefault="00213BB7" w:rsidP="0034071D">
      <w:pPr>
        <w:spacing w:line="360" w:lineRule="auto"/>
        <w:rPr>
          <w:rFonts w:cs="Times New Roman"/>
        </w:rPr>
      </w:pPr>
    </w:p>
    <w:p w14:paraId="1BE22E50" w14:textId="1ED777B4" w:rsidR="00213BB7" w:rsidRPr="00BC7BEB" w:rsidRDefault="00AF2FA3" w:rsidP="0034071D">
      <w:pPr>
        <w:spacing w:line="360" w:lineRule="auto"/>
        <w:rPr>
          <w:rFonts w:cs="Times New Roman"/>
        </w:rPr>
      </w:pPr>
      <w:r>
        <w:rPr>
          <w:rFonts w:cs="Times New Roman"/>
        </w:rPr>
        <w:t xml:space="preserve">Consider </w:t>
      </w:r>
      <w:r w:rsidR="00213BB7">
        <w:rPr>
          <w:rFonts w:cs="Times New Roman"/>
        </w:rPr>
        <w:t xml:space="preserve">the rule in </w:t>
      </w:r>
      <w:r w:rsidR="00213BB7">
        <w:rPr>
          <w:rFonts w:cs="Times New Roman"/>
          <w:i/>
        </w:rPr>
        <w:t xml:space="preserve">Rylands v Fletcher, </w:t>
      </w:r>
      <w:r w:rsidR="00213BB7">
        <w:rPr>
          <w:rFonts w:cs="Times New Roman"/>
        </w:rPr>
        <w:t>which holds a defendant strictly liable for escapes of dangerous things arising from a non-natural use of land.</w:t>
      </w:r>
      <w:r w:rsidR="00213BB7">
        <w:rPr>
          <w:rStyle w:val="FootnoteReference"/>
          <w:rFonts w:cs="Times New Roman"/>
        </w:rPr>
        <w:footnoteReference w:id="48"/>
      </w:r>
      <w:r w:rsidR="00213BB7">
        <w:rPr>
          <w:rFonts w:cs="Times New Roman"/>
        </w:rPr>
        <w:t xml:space="preserve"> Stevens’s rights-based account struggles to explain this rule as his theory is based upon the idea that the defendant has breached a duty to the claimant and therefore violated the claimant’s rights.</w:t>
      </w:r>
      <w:r w:rsidR="00213BB7">
        <w:rPr>
          <w:rStyle w:val="FootnoteReference"/>
          <w:rFonts w:cs="Times New Roman"/>
        </w:rPr>
        <w:footnoteReference w:id="49"/>
      </w:r>
      <w:r w:rsidR="00213BB7">
        <w:rPr>
          <w:rFonts w:cs="Times New Roman"/>
        </w:rPr>
        <w:t xml:space="preserve"> Yet, with </w:t>
      </w:r>
      <w:r w:rsidR="00213BB7">
        <w:rPr>
          <w:rFonts w:cs="Times New Roman"/>
          <w:i/>
        </w:rPr>
        <w:t>Rylands</w:t>
      </w:r>
      <w:r w:rsidR="00213BB7">
        <w:rPr>
          <w:rFonts w:cs="Times New Roman"/>
        </w:rPr>
        <w:t>, there is nothing that the defendant is obliged to do prior to the escape: “</w:t>
      </w:r>
      <w:r w:rsidR="00213BB7" w:rsidRPr="00BC7BEB">
        <w:rPr>
          <w:rFonts w:cs="Times New Roman"/>
        </w:rPr>
        <w:t xml:space="preserve">There is, in other words, no anterior duty on the part of D that correlates to </w:t>
      </w:r>
      <w:r w:rsidR="00213BB7">
        <w:rPr>
          <w:rFonts w:cs="Times New Roman"/>
        </w:rPr>
        <w:t>a claim-right on the part of C”.</w:t>
      </w:r>
      <w:r w:rsidR="00213BB7">
        <w:rPr>
          <w:rStyle w:val="FootnoteReference"/>
          <w:rFonts w:cs="Times New Roman"/>
        </w:rPr>
        <w:footnoteReference w:id="50"/>
      </w:r>
      <w:r w:rsidR="00213BB7">
        <w:rPr>
          <w:rFonts w:cs="Times New Roman"/>
        </w:rPr>
        <w:t xml:space="preserve"> Corrective justice also cannot account for the rule as it is one of strict liability. Strict liability </w:t>
      </w:r>
      <w:r w:rsidR="00213BB7" w:rsidRPr="00445C44">
        <w:rPr>
          <w:rFonts w:cs="Times New Roman"/>
        </w:rPr>
        <w:t xml:space="preserve">is incompatible </w:t>
      </w:r>
      <w:r w:rsidR="00213BB7">
        <w:rPr>
          <w:rFonts w:cs="Times New Roman"/>
        </w:rPr>
        <w:t xml:space="preserve">with corrective justice </w:t>
      </w:r>
      <w:r w:rsidR="00213BB7" w:rsidRPr="00445C44">
        <w:rPr>
          <w:rFonts w:cs="Times New Roman"/>
        </w:rPr>
        <w:t xml:space="preserve">because </w:t>
      </w:r>
      <w:r w:rsidR="00213BB7">
        <w:rPr>
          <w:rFonts w:cs="Times New Roman"/>
        </w:rPr>
        <w:t>it</w:t>
      </w:r>
      <w:r w:rsidR="00213BB7" w:rsidRPr="00445C44">
        <w:rPr>
          <w:rFonts w:cs="Times New Roman"/>
        </w:rPr>
        <w:t xml:space="preserve"> </w:t>
      </w:r>
      <w:r w:rsidR="00213BB7">
        <w:rPr>
          <w:rFonts w:cs="Times New Roman"/>
        </w:rPr>
        <w:t>“</w:t>
      </w:r>
      <w:r w:rsidR="00213BB7" w:rsidRPr="00445C44">
        <w:rPr>
          <w:rFonts w:cs="Times New Roman"/>
        </w:rPr>
        <w:t>affords preferential treatment to plaintiffs whereas corrective justice treats the parties as equals</w:t>
      </w:r>
      <w:r w:rsidR="00213BB7">
        <w:rPr>
          <w:rFonts w:cs="Times New Roman"/>
        </w:rPr>
        <w:t>.”</w:t>
      </w:r>
      <w:r w:rsidR="00213BB7">
        <w:rPr>
          <w:rStyle w:val="FootnoteReference"/>
          <w:rFonts w:cs="Times New Roman"/>
        </w:rPr>
        <w:footnoteReference w:id="51"/>
      </w:r>
      <w:r w:rsidR="00213BB7">
        <w:rPr>
          <w:rFonts w:cs="Times New Roman"/>
        </w:rPr>
        <w:t xml:space="preserve"> </w:t>
      </w:r>
      <w:r w:rsidR="00213BB7">
        <w:t xml:space="preserve">Goudkamp and Murphy were targeting Weinrib but Beever does not attempt to encompass </w:t>
      </w:r>
      <w:r w:rsidR="00213BB7">
        <w:rPr>
          <w:i/>
        </w:rPr>
        <w:t>Rylands</w:t>
      </w:r>
      <w:r w:rsidR="00213BB7">
        <w:t xml:space="preserve"> into his corrective justice account, stating that it would not be needed if private nuisance were properly understood.</w:t>
      </w:r>
      <w:r w:rsidR="00213BB7">
        <w:rPr>
          <w:rStyle w:val="FootnoteReference"/>
        </w:rPr>
        <w:footnoteReference w:id="52"/>
      </w:r>
      <w:r w:rsidR="00213BB7">
        <w:t xml:space="preserve"> </w:t>
      </w:r>
      <w:r w:rsidR="00213BB7">
        <w:rPr>
          <w:rFonts w:cs="Times New Roman"/>
        </w:rPr>
        <w:t xml:space="preserve">Both deontological theories therefore cannot account for this rule. </w:t>
      </w:r>
    </w:p>
    <w:p w14:paraId="65010BB4" w14:textId="77777777" w:rsidR="00213BB7" w:rsidRDefault="00213BB7" w:rsidP="0034071D">
      <w:pPr>
        <w:spacing w:line="360" w:lineRule="auto"/>
        <w:rPr>
          <w:rFonts w:cs="Times New Roman"/>
        </w:rPr>
      </w:pPr>
    </w:p>
    <w:p w14:paraId="3B07717D" w14:textId="22C58502" w:rsidR="00213BB7" w:rsidRPr="007A1526" w:rsidRDefault="00213BB7" w:rsidP="0034071D">
      <w:pPr>
        <w:spacing w:line="360" w:lineRule="auto"/>
        <w:rPr>
          <w:rFonts w:cs="Times New Roman"/>
        </w:rPr>
      </w:pPr>
      <w:r>
        <w:rPr>
          <w:rFonts w:cs="Times New Roman"/>
        </w:rPr>
        <w:t>Another problem of fit is raised by tort doctrines that do not follow a bipolar structure. The Congenital Disabilities (Civil Liability) Act 1976 allows C to claim against D for disabilities as a result of an occurrence before birth where D has committed a tort against the child’s parent, T.P. In such circumstances, the</w:t>
      </w:r>
      <w:r w:rsidR="00AF2FA3">
        <w:rPr>
          <w:rFonts w:cs="Times New Roman"/>
        </w:rPr>
        <w:t>re is a tripartite structure:</w:t>
      </w:r>
      <w:r>
        <w:rPr>
          <w:rFonts w:cs="Times New Roman"/>
        </w:rPr>
        <w:t xml:space="preserve"> D violates the anterior rights of T.</w:t>
      </w:r>
      <w:r w:rsidR="00AF2FA3">
        <w:rPr>
          <w:rFonts w:cs="Times New Roman"/>
        </w:rPr>
        <w:t>P, rather than those of C, y</w:t>
      </w:r>
      <w:r>
        <w:rPr>
          <w:rFonts w:cs="Times New Roman"/>
        </w:rPr>
        <w:t>et C is still able to claim. Consider, too, inducing breach of contract, where D induces T.P</w:t>
      </w:r>
      <w:r w:rsidR="00AF2FA3">
        <w:rPr>
          <w:rFonts w:cs="Times New Roman"/>
        </w:rPr>
        <w:t>.</w:t>
      </w:r>
      <w:r>
        <w:rPr>
          <w:rFonts w:cs="Times New Roman"/>
        </w:rPr>
        <w:t xml:space="preserve"> to breach his contract with C. D is still held liable despite not breaching an independent duty to C.</w:t>
      </w:r>
      <w:r>
        <w:rPr>
          <w:rStyle w:val="FootnoteReference"/>
          <w:rFonts w:cs="Times New Roman"/>
        </w:rPr>
        <w:footnoteReference w:id="53"/>
      </w:r>
      <w:r>
        <w:rPr>
          <w:rFonts w:cs="Times New Roman"/>
        </w:rPr>
        <w:t xml:space="preserve"> In both instances, there is a tripartite structure, rather than a bipolar one, and no breach of </w:t>
      </w:r>
      <w:r>
        <w:rPr>
          <w:rFonts w:cs="Times New Roman"/>
          <w:i/>
        </w:rPr>
        <w:t xml:space="preserve">ex ante </w:t>
      </w:r>
      <w:r>
        <w:rPr>
          <w:rFonts w:cs="Times New Roman"/>
        </w:rPr>
        <w:t>rights and thus neither corrective justice nor rights-based theories can adequately explain these actions.</w:t>
      </w:r>
      <w:r>
        <w:rPr>
          <w:rStyle w:val="FootnoteReference"/>
          <w:rFonts w:cs="Times New Roman"/>
        </w:rPr>
        <w:footnoteReference w:id="54"/>
      </w:r>
    </w:p>
    <w:p w14:paraId="2799AEB0" w14:textId="77777777" w:rsidR="00213BB7" w:rsidRDefault="00213BB7" w:rsidP="0034071D">
      <w:pPr>
        <w:spacing w:line="360" w:lineRule="auto"/>
        <w:rPr>
          <w:rFonts w:cs="Times New Roman"/>
        </w:rPr>
      </w:pPr>
    </w:p>
    <w:p w14:paraId="2B8A9F31" w14:textId="266628CF" w:rsidR="00213BB7" w:rsidRDefault="00213BB7" w:rsidP="0034071D">
      <w:pPr>
        <w:spacing w:line="360" w:lineRule="auto"/>
        <w:rPr>
          <w:rFonts w:cs="Times New Roman"/>
        </w:rPr>
      </w:pPr>
      <w:r w:rsidRPr="008102E6">
        <w:rPr>
          <w:rFonts w:cs="Times New Roman"/>
        </w:rPr>
        <w:lastRenderedPageBreak/>
        <w:t>At this juncture</w:t>
      </w:r>
      <w:r>
        <w:rPr>
          <w:rFonts w:cs="Times New Roman"/>
        </w:rPr>
        <w:t>,</w:t>
      </w:r>
      <w:r w:rsidRPr="008102E6">
        <w:rPr>
          <w:rFonts w:cs="Times New Roman"/>
        </w:rPr>
        <w:t xml:space="preserve"> it should be mentioned that Beever uses </w:t>
      </w:r>
      <w:r>
        <w:rPr>
          <w:rFonts w:cs="Times New Roman"/>
        </w:rPr>
        <w:t>“</w:t>
      </w:r>
      <w:r w:rsidRPr="008102E6">
        <w:rPr>
          <w:rFonts w:cs="Times New Roman"/>
        </w:rPr>
        <w:t>fit</w:t>
      </w:r>
      <w:r>
        <w:rPr>
          <w:rFonts w:cs="Times New Roman"/>
        </w:rPr>
        <w:t>”</w:t>
      </w:r>
      <w:r w:rsidRPr="008102E6">
        <w:rPr>
          <w:rFonts w:cs="Times New Roman"/>
        </w:rPr>
        <w:t xml:space="preserve"> in a peculiar way. Outside of the negligence context, Dan Priel has highlighted </w:t>
      </w:r>
      <w:r>
        <w:rPr>
          <w:rFonts w:cs="Times New Roman"/>
        </w:rPr>
        <w:t xml:space="preserve">how </w:t>
      </w:r>
      <w:r w:rsidRPr="008102E6">
        <w:rPr>
          <w:rFonts w:cs="Times New Roman"/>
        </w:rPr>
        <w:t>Beever</w:t>
      </w:r>
      <w:r>
        <w:rPr>
          <w:rFonts w:cs="Times New Roman"/>
        </w:rPr>
        <w:t xml:space="preserve"> defines law as “</w:t>
      </w:r>
      <w:r w:rsidRPr="008102E6">
        <w:rPr>
          <w:rFonts w:cs="Times New Roman"/>
        </w:rPr>
        <w:t>natural law</w:t>
      </w:r>
      <w:r>
        <w:rPr>
          <w:rFonts w:cs="Times New Roman"/>
        </w:rPr>
        <w:t>” or “higher law”</w:t>
      </w:r>
      <w:r w:rsidRPr="008102E6">
        <w:rPr>
          <w:rFonts w:cs="Times New Roman"/>
        </w:rPr>
        <w:t xml:space="preserve"> rather than the positive law</w:t>
      </w:r>
      <w:r>
        <w:rPr>
          <w:rFonts w:cs="Times New Roman"/>
        </w:rPr>
        <w:t xml:space="preserve"> to avoid defects in this theory’s ability to match the latter</w:t>
      </w:r>
      <w:r w:rsidRPr="008102E6">
        <w:rPr>
          <w:rFonts w:cs="Times New Roman"/>
        </w:rPr>
        <w:t>.</w:t>
      </w:r>
      <w:r w:rsidRPr="008102E6">
        <w:rPr>
          <w:rStyle w:val="FootnoteReference"/>
          <w:rFonts w:cs="Times New Roman"/>
        </w:rPr>
        <w:footnoteReference w:id="55"/>
      </w:r>
      <w:r>
        <w:rPr>
          <w:rFonts w:cs="Times New Roman"/>
        </w:rPr>
        <w:t xml:space="preserve"> </w:t>
      </w:r>
      <w:r w:rsidRPr="008102E6">
        <w:rPr>
          <w:rFonts w:cs="Times New Roman"/>
        </w:rPr>
        <w:t>Th</w:t>
      </w:r>
      <w:r>
        <w:rPr>
          <w:rFonts w:cs="Times New Roman"/>
        </w:rPr>
        <w:t>ese manoeuvres are</w:t>
      </w:r>
      <w:r w:rsidRPr="008102E6">
        <w:rPr>
          <w:rFonts w:cs="Times New Roman"/>
        </w:rPr>
        <w:t xml:space="preserve"> also present in Beever’s later work, </w:t>
      </w:r>
      <w:r w:rsidRPr="008102E6">
        <w:rPr>
          <w:rFonts w:cs="Times New Roman"/>
          <w:i/>
        </w:rPr>
        <w:t>A Theory of Tort Liability</w:t>
      </w:r>
      <w:r w:rsidR="00AF2FA3">
        <w:rPr>
          <w:rFonts w:cs="Times New Roman"/>
        </w:rPr>
        <w:t>, where he comments that</w:t>
      </w:r>
      <w:r w:rsidRPr="008102E6">
        <w:rPr>
          <w:rFonts w:cs="Times New Roman"/>
        </w:rPr>
        <w:t xml:space="preserve"> interpretivists use the term </w:t>
      </w:r>
      <w:r>
        <w:rPr>
          <w:rFonts w:cs="Times New Roman"/>
        </w:rPr>
        <w:t>“</w:t>
      </w:r>
      <w:r w:rsidRPr="008102E6">
        <w:rPr>
          <w:rFonts w:cs="Times New Roman"/>
        </w:rPr>
        <w:t>law</w:t>
      </w:r>
      <w:r>
        <w:rPr>
          <w:rFonts w:cs="Times New Roman"/>
        </w:rPr>
        <w:t xml:space="preserve">” </w:t>
      </w:r>
      <w:r w:rsidRPr="008102E6">
        <w:rPr>
          <w:rFonts w:cs="Times New Roman"/>
        </w:rPr>
        <w:t xml:space="preserve">to apply </w:t>
      </w:r>
      <w:r>
        <w:rPr>
          <w:rFonts w:cs="Times New Roman"/>
        </w:rPr>
        <w:t>“</w:t>
      </w:r>
      <w:r w:rsidRPr="008102E6">
        <w:rPr>
          <w:rFonts w:cs="Times New Roman"/>
        </w:rPr>
        <w:t>not only to the positive law, but also to the principles discovered by interpretive legal theory</w:t>
      </w:r>
      <w:r>
        <w:rPr>
          <w:rFonts w:cs="Times New Roman"/>
        </w:rPr>
        <w:t xml:space="preserve"> – whether by one’s own theory or by the theories presented in the positive law itself”.</w:t>
      </w:r>
      <w:r w:rsidRPr="008102E6">
        <w:rPr>
          <w:rStyle w:val="FootnoteReference"/>
          <w:rFonts w:cs="Times New Roman"/>
        </w:rPr>
        <w:footnoteReference w:id="56"/>
      </w:r>
      <w:r w:rsidRPr="008102E6">
        <w:rPr>
          <w:rFonts w:cs="Times New Roman"/>
        </w:rPr>
        <w:t xml:space="preserve"> Readers inclined to define </w:t>
      </w:r>
      <w:r>
        <w:rPr>
          <w:rFonts w:cs="Times New Roman"/>
        </w:rPr>
        <w:t xml:space="preserve">the </w:t>
      </w:r>
      <w:r w:rsidRPr="008102E6">
        <w:rPr>
          <w:rFonts w:cs="Times New Roman"/>
        </w:rPr>
        <w:t>word</w:t>
      </w:r>
      <w:r>
        <w:rPr>
          <w:rFonts w:cs="Times New Roman"/>
        </w:rPr>
        <w:t xml:space="preserve"> “law”</w:t>
      </w:r>
      <w:r w:rsidRPr="008102E6">
        <w:rPr>
          <w:rFonts w:cs="Times New Roman"/>
        </w:rPr>
        <w:t xml:space="preserve"> in the conventional manner as opposed to Beever’s unorthodox usage should</w:t>
      </w:r>
      <w:r>
        <w:rPr>
          <w:rFonts w:cs="Times New Roman"/>
        </w:rPr>
        <w:t xml:space="preserve"> </w:t>
      </w:r>
      <w:r w:rsidRPr="008102E6">
        <w:rPr>
          <w:rFonts w:cs="Times New Roman"/>
        </w:rPr>
        <w:t xml:space="preserve">beware </w:t>
      </w:r>
      <w:r>
        <w:rPr>
          <w:rFonts w:cs="Times New Roman"/>
        </w:rPr>
        <w:t xml:space="preserve">this first </w:t>
      </w:r>
      <w:r w:rsidRPr="008102E6">
        <w:rPr>
          <w:rFonts w:cs="Times New Roman"/>
        </w:rPr>
        <w:t>sleight of hand.</w:t>
      </w:r>
    </w:p>
    <w:p w14:paraId="413A6ACE" w14:textId="77777777" w:rsidR="00213BB7" w:rsidRDefault="00213BB7" w:rsidP="0034071D">
      <w:pPr>
        <w:spacing w:line="360" w:lineRule="auto"/>
        <w:rPr>
          <w:rFonts w:cs="Times New Roman"/>
        </w:rPr>
      </w:pPr>
    </w:p>
    <w:p w14:paraId="3B8C455A" w14:textId="1C1ACA1B" w:rsidR="00213BB7" w:rsidRPr="009D30FD" w:rsidRDefault="00213BB7" w:rsidP="0034071D">
      <w:pPr>
        <w:spacing w:line="360" w:lineRule="auto"/>
        <w:rPr>
          <w:rFonts w:cs="Times New Roman"/>
        </w:rPr>
      </w:pPr>
      <w:r>
        <w:rPr>
          <w:rFonts w:cs="Times New Roman"/>
        </w:rPr>
        <w:t xml:space="preserve">What emerges from this </w:t>
      </w:r>
      <w:r w:rsidRPr="00BC51FD">
        <w:rPr>
          <w:rFonts w:cs="Times New Roman"/>
          <w:i/>
        </w:rPr>
        <w:t>précis</w:t>
      </w:r>
      <w:r>
        <w:rPr>
          <w:rFonts w:cs="Times New Roman"/>
        </w:rPr>
        <w:t xml:space="preserve"> is that compelling criticisms have been levelled at the deontologists that their theories neither match the doctrine nor match the reasoning deployed by judges. Interpretivism, the ethos that they subscribe to, may have enabled them to deflect these charges so far, but in the next sections of the article I will try to strip away this defence.  </w:t>
      </w:r>
    </w:p>
    <w:p w14:paraId="21BCD3A0" w14:textId="77777777" w:rsidR="00213BB7" w:rsidRPr="008102E6" w:rsidRDefault="00213BB7" w:rsidP="0034071D">
      <w:pPr>
        <w:spacing w:line="360" w:lineRule="auto"/>
        <w:rPr>
          <w:rFonts w:cs="Times New Roman"/>
        </w:rPr>
      </w:pPr>
    </w:p>
    <w:p w14:paraId="4B87EBD5" w14:textId="7EC3922C" w:rsidR="00213BB7" w:rsidRPr="008102E6" w:rsidRDefault="00213BB7" w:rsidP="0008027B">
      <w:pPr>
        <w:spacing w:line="360" w:lineRule="auto"/>
        <w:jc w:val="center"/>
        <w:outlineLvl w:val="0"/>
        <w:rPr>
          <w:rFonts w:cs="Times New Roman"/>
        </w:rPr>
      </w:pPr>
      <w:r w:rsidRPr="008102E6">
        <w:rPr>
          <w:rFonts w:cs="Times New Roman"/>
          <w:b/>
        </w:rPr>
        <w:t>The Four Axes of Interpretivism</w:t>
      </w:r>
      <w:r>
        <w:rPr>
          <w:rFonts w:cs="Times New Roman"/>
          <w:b/>
        </w:rPr>
        <w:t xml:space="preserve"> and the Problem of Policy</w:t>
      </w:r>
    </w:p>
    <w:p w14:paraId="7B549738" w14:textId="77777777" w:rsidR="00213BB7" w:rsidRDefault="00213BB7" w:rsidP="0034071D">
      <w:pPr>
        <w:spacing w:line="360" w:lineRule="auto"/>
        <w:rPr>
          <w:rFonts w:cs="Times New Roman"/>
        </w:rPr>
      </w:pPr>
    </w:p>
    <w:p w14:paraId="35F8C957" w14:textId="0E83E45E" w:rsidR="00213BB7" w:rsidRDefault="00213BB7" w:rsidP="0034071D">
      <w:pPr>
        <w:spacing w:line="360" w:lineRule="auto"/>
        <w:rPr>
          <w:rFonts w:cs="Times New Roman"/>
        </w:rPr>
      </w:pPr>
      <w:r>
        <w:rPr>
          <w:rFonts w:cs="Times New Roman"/>
        </w:rPr>
        <w:t>The first difficulty for the deontologists is that their commitment to interpretivism ultimately makes it difficult, if not impossible, for them to maintain their opposition to policy considerations. What</w:t>
      </w:r>
      <w:r w:rsidR="00AF2FA3">
        <w:rPr>
          <w:rFonts w:cs="Times New Roman"/>
        </w:rPr>
        <w:t xml:space="preserve"> </w:t>
      </w:r>
      <w:r>
        <w:rPr>
          <w:rFonts w:cs="Times New Roman"/>
        </w:rPr>
        <w:t xml:space="preserve">is meant by “policy”? </w:t>
      </w:r>
      <w:r w:rsidR="00633EC9">
        <w:rPr>
          <w:rFonts w:cs="Times New Roman"/>
        </w:rPr>
        <w:t>Policy is s</w:t>
      </w:r>
      <w:r w:rsidR="00633EC9" w:rsidRPr="0083078A">
        <w:rPr>
          <w:rFonts w:cs="Times New Roman"/>
        </w:rPr>
        <w:t xml:space="preserve">ometimes used interchangeably with </w:t>
      </w:r>
      <w:r w:rsidR="00633EC9">
        <w:rPr>
          <w:rFonts w:cs="Times New Roman"/>
        </w:rPr>
        <w:t>“</w:t>
      </w:r>
      <w:r w:rsidR="00633EC9" w:rsidRPr="0083078A">
        <w:rPr>
          <w:rFonts w:cs="Times New Roman"/>
        </w:rPr>
        <w:t>distributive justice</w:t>
      </w:r>
      <w:r w:rsidR="00633EC9">
        <w:rPr>
          <w:rFonts w:cs="Times New Roman"/>
        </w:rPr>
        <w:t>”</w:t>
      </w:r>
      <w:r w:rsidR="00633EC9" w:rsidRPr="0083078A">
        <w:rPr>
          <w:rFonts w:cs="Times New Roman"/>
        </w:rPr>
        <w:t xml:space="preserve">, </w:t>
      </w:r>
      <w:r w:rsidR="00633EC9">
        <w:rPr>
          <w:rFonts w:cs="Times New Roman"/>
        </w:rPr>
        <w:t>“</w:t>
      </w:r>
      <w:r w:rsidR="00633EC9" w:rsidRPr="0083078A">
        <w:rPr>
          <w:rFonts w:cs="Times New Roman"/>
        </w:rPr>
        <w:t>community welfare</w:t>
      </w:r>
      <w:r w:rsidR="00633EC9">
        <w:rPr>
          <w:rFonts w:cs="Times New Roman"/>
        </w:rPr>
        <w:t>” or “</w:t>
      </w:r>
      <w:r w:rsidR="00633EC9" w:rsidRPr="0083078A">
        <w:rPr>
          <w:rFonts w:cs="Times New Roman"/>
        </w:rPr>
        <w:t>consequentialist</w:t>
      </w:r>
      <w:r w:rsidR="00633EC9">
        <w:rPr>
          <w:rFonts w:cs="Times New Roman"/>
        </w:rPr>
        <w:t>”</w:t>
      </w:r>
      <w:r w:rsidR="00633EC9" w:rsidRPr="0083078A">
        <w:rPr>
          <w:rFonts w:cs="Times New Roman"/>
        </w:rPr>
        <w:t xml:space="preserve"> reasoning</w:t>
      </w:r>
      <w:r w:rsidR="00633EC9">
        <w:rPr>
          <w:rFonts w:cs="Times New Roman"/>
        </w:rPr>
        <w:t xml:space="preserve"> and </w:t>
      </w:r>
      <w:r>
        <w:rPr>
          <w:rFonts w:cs="Times New Roman"/>
        </w:rPr>
        <w:t>Dworkin distinguished it from “principle”. A principle is a requirement of fairness, justice or morality rather than because it will advance some economic, social or political feature of the community.</w:t>
      </w:r>
      <w:r>
        <w:rPr>
          <w:rStyle w:val="FootnoteReference"/>
          <w:rFonts w:cs="Times New Roman"/>
        </w:rPr>
        <w:footnoteReference w:id="57"/>
      </w:r>
      <w:r>
        <w:rPr>
          <w:rFonts w:cs="Times New Roman"/>
        </w:rPr>
        <w:t xml:space="preserve"> </w:t>
      </w:r>
      <w:r w:rsidRPr="0083078A">
        <w:rPr>
          <w:rFonts w:cs="Times New Roman"/>
        </w:rPr>
        <w:t xml:space="preserve">Not all scholars share the same understanding but the most widely-held view in the literature perceives </w:t>
      </w:r>
      <w:r w:rsidR="00AF2FA3">
        <w:rPr>
          <w:rFonts w:cs="Times New Roman"/>
        </w:rPr>
        <w:t>“</w:t>
      </w:r>
      <w:r w:rsidRPr="0083078A">
        <w:rPr>
          <w:rFonts w:cs="Times New Roman"/>
        </w:rPr>
        <w:t>policy</w:t>
      </w:r>
      <w:r w:rsidR="00AF2FA3">
        <w:rPr>
          <w:rFonts w:cs="Times New Roman"/>
        </w:rPr>
        <w:t>”</w:t>
      </w:r>
      <w:r w:rsidRPr="0083078A">
        <w:rPr>
          <w:rFonts w:cs="Times New Roman"/>
        </w:rPr>
        <w:t xml:space="preserve"> reasoning as that focusing on the wider benefit to the community rather than just arguments of interpersonal justice that focuses on the rights of the two parties to a tort dispute.</w:t>
      </w:r>
      <w:r w:rsidRPr="0083078A">
        <w:rPr>
          <w:rStyle w:val="FootnoteReference"/>
          <w:rFonts w:cs="Times New Roman"/>
        </w:rPr>
        <w:footnoteReference w:id="58"/>
      </w:r>
      <w:r w:rsidRPr="0083078A">
        <w:rPr>
          <w:rFonts w:cs="Times New Roman"/>
        </w:rPr>
        <w:t xml:space="preserve"> </w:t>
      </w:r>
    </w:p>
    <w:p w14:paraId="4E0F194D" w14:textId="77777777" w:rsidR="00213BB7" w:rsidRDefault="00213BB7" w:rsidP="0034071D">
      <w:pPr>
        <w:spacing w:line="360" w:lineRule="auto"/>
        <w:rPr>
          <w:rFonts w:cs="Times New Roman"/>
        </w:rPr>
      </w:pPr>
    </w:p>
    <w:p w14:paraId="39DF73B7" w14:textId="787D2AC3" w:rsidR="00213BB7" w:rsidRDefault="00213BB7" w:rsidP="00463078">
      <w:pPr>
        <w:spacing w:line="360" w:lineRule="auto"/>
        <w:rPr>
          <w:rFonts w:cs="Times New Roman"/>
        </w:rPr>
      </w:pPr>
      <w:r>
        <w:rPr>
          <w:rFonts w:cs="Times New Roman"/>
        </w:rPr>
        <w:t>Stevens u</w:t>
      </w:r>
      <w:r w:rsidR="00D63ABF">
        <w:rPr>
          <w:rFonts w:cs="Times New Roman"/>
        </w:rPr>
        <w:t>nderstands policy in this way: “</w:t>
      </w:r>
      <w:r>
        <w:rPr>
          <w:rFonts w:cs="Times New Roman"/>
        </w:rPr>
        <w:t>t</w:t>
      </w:r>
      <w:r w:rsidRPr="00463078">
        <w:rPr>
          <w:rFonts w:cs="Times New Roman"/>
        </w:rPr>
        <w:t>hose reasons unrelated to what is</w:t>
      </w:r>
      <w:r>
        <w:rPr>
          <w:rFonts w:cs="Times New Roman"/>
        </w:rPr>
        <w:t xml:space="preserve"> </w:t>
      </w:r>
      <w:r w:rsidRPr="00463078">
        <w:rPr>
          <w:rFonts w:cs="Times New Roman"/>
        </w:rPr>
        <w:t>just as between claimant and defendant</w:t>
      </w:r>
      <w:r w:rsidR="00D63ABF">
        <w:rPr>
          <w:rFonts w:cs="Times New Roman"/>
        </w:rPr>
        <w:t>”</w:t>
      </w:r>
      <w:r>
        <w:rPr>
          <w:rFonts w:cs="Times New Roman"/>
        </w:rPr>
        <w:t>.</w:t>
      </w:r>
      <w:r>
        <w:rPr>
          <w:rStyle w:val="FootnoteReference"/>
          <w:rFonts w:cs="Times New Roman"/>
        </w:rPr>
        <w:footnoteReference w:id="59"/>
      </w:r>
      <w:r>
        <w:rPr>
          <w:rFonts w:cs="Times New Roman"/>
        </w:rPr>
        <w:t xml:space="preserve"> </w:t>
      </w:r>
      <w:r w:rsidRPr="0083078A">
        <w:rPr>
          <w:rFonts w:cs="Times New Roman"/>
        </w:rPr>
        <w:t xml:space="preserve">Beever </w:t>
      </w:r>
      <w:r>
        <w:rPr>
          <w:rFonts w:cs="Times New Roman"/>
        </w:rPr>
        <w:t xml:space="preserve">initially defines “principle” and “policy” in this conventional manner but then goes further, stating: “principle is </w:t>
      </w:r>
      <w:r w:rsidRPr="00041E07">
        <w:rPr>
          <w:rFonts w:cs="Times New Roman"/>
          <w:i/>
        </w:rPr>
        <w:t>what I say the law is</w:t>
      </w:r>
      <w:r>
        <w:rPr>
          <w:rFonts w:cs="Times New Roman"/>
        </w:rPr>
        <w:t>, as revealed by reflective equilibrium on the case law, while policy is everything else.”</w:t>
      </w:r>
      <w:r>
        <w:rPr>
          <w:rStyle w:val="FootnoteReference"/>
          <w:rFonts w:cs="Times New Roman"/>
        </w:rPr>
        <w:footnoteReference w:id="60"/>
      </w:r>
      <w:r>
        <w:rPr>
          <w:rFonts w:cs="Times New Roman"/>
        </w:rPr>
        <w:t xml:space="preserve"> As </w:t>
      </w:r>
      <w:r w:rsidR="00633EC9">
        <w:rPr>
          <w:rFonts w:cs="Times New Roman"/>
        </w:rPr>
        <w:t>subscribing to this</w:t>
      </w:r>
      <w:r w:rsidR="00633EC9" w:rsidRPr="00633EC9">
        <w:rPr>
          <w:rFonts w:cs="Times New Roman"/>
        </w:rPr>
        <w:t xml:space="preserve"> </w:t>
      </w:r>
      <w:r w:rsidR="00633EC9">
        <w:rPr>
          <w:rFonts w:cs="Times New Roman"/>
        </w:rPr>
        <w:t xml:space="preserve">definition would involve treating </w:t>
      </w:r>
      <w:r w:rsidR="00633EC9">
        <w:rPr>
          <w:rFonts w:cs="Times New Roman"/>
        </w:rPr>
        <w:t>his</w:t>
      </w:r>
      <w:r w:rsidR="00633EC9">
        <w:rPr>
          <w:rFonts w:cs="Times New Roman"/>
        </w:rPr>
        <w:t xml:space="preserve"> view of the law as equivalent to divine revelation</w:t>
      </w:r>
      <w:r w:rsidR="00633EC9">
        <w:rPr>
          <w:rFonts w:cs="Times New Roman"/>
        </w:rPr>
        <w:t xml:space="preserve">, and also because </w:t>
      </w:r>
      <w:r>
        <w:rPr>
          <w:rFonts w:cs="Times New Roman"/>
        </w:rPr>
        <w:t xml:space="preserve">Beever </w:t>
      </w:r>
      <w:r w:rsidR="00633EC9">
        <w:rPr>
          <w:rFonts w:cs="Times New Roman"/>
        </w:rPr>
        <w:t xml:space="preserve">himself </w:t>
      </w:r>
      <w:r>
        <w:rPr>
          <w:rFonts w:cs="Times New Roman"/>
        </w:rPr>
        <w:t xml:space="preserve">slips between different understandings, I will adopt to the more well-established one for the purposes of this article. </w:t>
      </w:r>
    </w:p>
    <w:p w14:paraId="521612C7" w14:textId="4FB07755" w:rsidR="00213BB7" w:rsidRDefault="00213BB7" w:rsidP="0034071D">
      <w:pPr>
        <w:spacing w:line="360" w:lineRule="auto"/>
        <w:rPr>
          <w:rFonts w:cs="Times New Roman"/>
        </w:rPr>
      </w:pPr>
    </w:p>
    <w:p w14:paraId="7B4AA419" w14:textId="5371E17D" w:rsidR="00213BB7" w:rsidRDefault="00213BB7" w:rsidP="0034071D">
      <w:pPr>
        <w:spacing w:line="360" w:lineRule="auto"/>
        <w:rPr>
          <w:rFonts w:cs="Times New Roman"/>
        </w:rPr>
      </w:pPr>
      <w:r>
        <w:rPr>
          <w:rFonts w:cs="Times New Roman"/>
        </w:rPr>
        <w:t>Deontologists generally, and Beever and Stevens in particular, share Dworkin’s disdain for policy concerns. Stevens notoriously declared that the correct response for judges tempted to resort to policy is to “think again, or to resign.”</w:t>
      </w:r>
      <w:r>
        <w:rPr>
          <w:rStyle w:val="FootnoteReference"/>
          <w:rFonts w:cs="Times New Roman"/>
        </w:rPr>
        <w:footnoteReference w:id="61"/>
      </w:r>
      <w:r>
        <w:rPr>
          <w:rFonts w:cs="Times New Roman"/>
        </w:rPr>
        <w:t xml:space="preserve"> It is not difficult to see why</w:t>
      </w:r>
      <w:r w:rsidR="00633EC9">
        <w:rPr>
          <w:rFonts w:cs="Times New Roman"/>
        </w:rPr>
        <w:t xml:space="preserve"> they adopt this position</w:t>
      </w:r>
      <w:r>
        <w:rPr>
          <w:rFonts w:cs="Times New Roman"/>
        </w:rPr>
        <w:t xml:space="preserve">. Both theorists make rights the central concern of tort law and determinative to the outcome of cases. If other factors beyond the rights of the parties to the dispute could shape the law it would undermine their theories. </w:t>
      </w:r>
    </w:p>
    <w:p w14:paraId="79864126" w14:textId="77777777" w:rsidR="00213BB7" w:rsidRDefault="00213BB7" w:rsidP="0034071D">
      <w:pPr>
        <w:spacing w:line="360" w:lineRule="auto"/>
        <w:rPr>
          <w:rFonts w:cs="Times New Roman"/>
        </w:rPr>
      </w:pPr>
    </w:p>
    <w:p w14:paraId="7CA9FD28" w14:textId="06D288E2" w:rsidR="00213BB7" w:rsidRDefault="00213BB7" w:rsidP="0034071D">
      <w:pPr>
        <w:spacing w:line="360" w:lineRule="auto"/>
        <w:rPr>
          <w:rFonts w:cs="Times New Roman"/>
        </w:rPr>
      </w:pPr>
      <w:r>
        <w:rPr>
          <w:rFonts w:cs="Times New Roman"/>
        </w:rPr>
        <w:t>Deep-seated antipathy to policy concerns exacerbates the problems of fit and transparency faced by deontologists. Tort statutes, such as the Compensation Act 2003 and the Social Action, Responsibility and Heroism Act 2015 require judges to formulate and apply policy by taking into account whether an activity is desirable or socially beneficial when determining the standard of care.</w:t>
      </w:r>
      <w:r>
        <w:rPr>
          <w:rStyle w:val="FootnoteReference"/>
          <w:rFonts w:cs="Times New Roman"/>
        </w:rPr>
        <w:footnoteReference w:id="62"/>
      </w:r>
      <w:r>
        <w:rPr>
          <w:rFonts w:cs="Times New Roman"/>
        </w:rPr>
        <w:t xml:space="preserve"> Policy also features prominently in important areas of tort law – not just in individual decisions, but in the very tests and approaches used by judges. Take the modern law on duty of care. </w:t>
      </w:r>
      <w:r>
        <w:rPr>
          <w:rFonts w:cs="Times New Roman"/>
          <w:i/>
        </w:rPr>
        <w:t>Robinson v Chief Constable of West Yorkshire</w:t>
      </w:r>
      <w:r>
        <w:rPr>
          <w:rFonts w:cs="Times New Roman"/>
        </w:rPr>
        <w:t xml:space="preserve"> may </w:t>
      </w:r>
      <w:r w:rsidRPr="00AB4B3E">
        <w:rPr>
          <w:rFonts w:cs="Times New Roman"/>
        </w:rPr>
        <w:t>have</w:t>
      </w:r>
      <w:r>
        <w:rPr>
          <w:rFonts w:cs="Times New Roman"/>
        </w:rPr>
        <w:t xml:space="preserve"> held that the focus should be on precedent when determining whether a defendant owes a duty of care, but policy still retains an important place in novel cases.</w:t>
      </w:r>
      <w:r>
        <w:rPr>
          <w:rStyle w:val="FootnoteReference"/>
          <w:rFonts w:cs="Times New Roman"/>
        </w:rPr>
        <w:footnoteReference w:id="63"/>
      </w:r>
      <w:r>
        <w:rPr>
          <w:rFonts w:cs="Times New Roman"/>
        </w:rPr>
        <w:t xml:space="preserve"> Policy concerns were </w:t>
      </w:r>
      <w:r>
        <w:rPr>
          <w:rFonts w:cs="Times New Roman"/>
          <w:i/>
        </w:rPr>
        <w:t>restricted</w:t>
      </w:r>
      <w:r>
        <w:rPr>
          <w:rFonts w:cs="Times New Roman"/>
        </w:rPr>
        <w:t xml:space="preserve">, not banished. </w:t>
      </w:r>
      <w:r>
        <w:rPr>
          <w:rFonts w:cs="Times New Roman"/>
        </w:rPr>
        <w:lastRenderedPageBreak/>
        <w:t xml:space="preserve">Some judges have gone further. </w:t>
      </w:r>
      <w:r w:rsidRPr="008102E6">
        <w:rPr>
          <w:rFonts w:cs="Times New Roman"/>
        </w:rPr>
        <w:t>Lord Neuberger</w:t>
      </w:r>
      <w:r>
        <w:rPr>
          <w:rFonts w:cs="Times New Roman"/>
        </w:rPr>
        <w:t>, in an extra-judicial speech, prioritised</w:t>
      </w:r>
      <w:r w:rsidRPr="008102E6">
        <w:rPr>
          <w:rFonts w:cs="Times New Roman"/>
        </w:rPr>
        <w:t xml:space="preserve"> policy </w:t>
      </w:r>
      <w:r>
        <w:rPr>
          <w:rFonts w:cs="Times New Roman"/>
        </w:rPr>
        <w:t>over principle, declaring, “</w:t>
      </w:r>
      <w:r w:rsidRPr="008102E6">
        <w:rPr>
          <w:rFonts w:cs="Times New Roman"/>
        </w:rPr>
        <w:t>almost all aspects of the law of torts is grounded on policy, and that any attempt to identify or distil principles will normally be fraught with problems.</w:t>
      </w:r>
      <w:r>
        <w:rPr>
          <w:rFonts w:cs="Times New Roman"/>
        </w:rPr>
        <w:t>”</w:t>
      </w:r>
      <w:r w:rsidRPr="008102E6">
        <w:rPr>
          <w:rFonts w:cs="Times New Roman"/>
          <w:vertAlign w:val="superscript"/>
        </w:rPr>
        <w:footnoteReference w:id="64"/>
      </w:r>
      <w:r w:rsidRPr="008102E6">
        <w:rPr>
          <w:rFonts w:cs="Times New Roman"/>
        </w:rPr>
        <w:t xml:space="preserve"> </w:t>
      </w:r>
    </w:p>
    <w:p w14:paraId="368342CB" w14:textId="77777777" w:rsidR="00213BB7" w:rsidRDefault="00213BB7" w:rsidP="0034071D">
      <w:pPr>
        <w:spacing w:line="360" w:lineRule="auto"/>
        <w:rPr>
          <w:rFonts w:cs="Times New Roman"/>
        </w:rPr>
      </w:pPr>
    </w:p>
    <w:p w14:paraId="6B65B141" w14:textId="1D5965BC" w:rsidR="00213BB7" w:rsidRPr="008102E6" w:rsidRDefault="00213BB7" w:rsidP="0034071D">
      <w:pPr>
        <w:spacing w:line="360" w:lineRule="auto"/>
        <w:rPr>
          <w:rFonts w:cs="Times New Roman"/>
        </w:rPr>
      </w:pPr>
      <w:r>
        <w:rPr>
          <w:rFonts w:cs="Times New Roman"/>
        </w:rPr>
        <w:t>One need not subscribe to Lord Neuberger’s view to conclude that opposition to policy strains the plausibility of deontological schemes both in terms of fit and transparency. The deontologists might try to refute such claims by declaring that fit and transparency are no</w:t>
      </w:r>
      <w:r w:rsidR="00633EC9">
        <w:rPr>
          <w:rFonts w:cs="Times New Roman"/>
        </w:rPr>
        <w:t>t the only game in town. T</w:t>
      </w:r>
      <w:r>
        <w:rPr>
          <w:rFonts w:cs="Times New Roman"/>
        </w:rPr>
        <w:t xml:space="preserve">hey could rely on the coherence or normative desirability of their theories to compensate for flaws among other factors. Even if we accept the claim </w:t>
      </w:r>
      <w:r w:rsidRPr="008102E6">
        <w:rPr>
          <w:rFonts w:cs="Times New Roman"/>
        </w:rPr>
        <w:t xml:space="preserve">that fit </w:t>
      </w:r>
      <w:r>
        <w:rPr>
          <w:rFonts w:cs="Times New Roman"/>
        </w:rPr>
        <w:t xml:space="preserve">and transparency </w:t>
      </w:r>
      <w:r w:rsidRPr="008102E6">
        <w:rPr>
          <w:rFonts w:cs="Times New Roman"/>
        </w:rPr>
        <w:t xml:space="preserve">can </w:t>
      </w:r>
      <w:r>
        <w:rPr>
          <w:rFonts w:cs="Times New Roman"/>
        </w:rPr>
        <w:t xml:space="preserve">to some extent </w:t>
      </w:r>
      <w:r w:rsidRPr="008102E6">
        <w:rPr>
          <w:rFonts w:cs="Times New Roman"/>
        </w:rPr>
        <w:t xml:space="preserve">be </w:t>
      </w:r>
      <w:r>
        <w:rPr>
          <w:rFonts w:cs="Times New Roman"/>
        </w:rPr>
        <w:t xml:space="preserve">traded </w:t>
      </w:r>
      <w:r w:rsidRPr="008102E6">
        <w:rPr>
          <w:rFonts w:cs="Times New Roman"/>
        </w:rPr>
        <w:t>for other values without rendering the theory worthless,</w:t>
      </w:r>
      <w:r>
        <w:rPr>
          <w:rStyle w:val="FootnoteReference"/>
          <w:rFonts w:cs="Times New Roman"/>
        </w:rPr>
        <w:footnoteReference w:id="65"/>
      </w:r>
      <w:r w:rsidRPr="008102E6">
        <w:rPr>
          <w:rFonts w:cs="Times New Roman"/>
        </w:rPr>
        <w:t xml:space="preserve"> we are still faced with </w:t>
      </w:r>
      <w:r>
        <w:rPr>
          <w:rFonts w:cs="Times New Roman"/>
        </w:rPr>
        <w:t xml:space="preserve">the question of </w:t>
      </w:r>
      <w:r w:rsidRPr="008102E6">
        <w:rPr>
          <w:rFonts w:cs="Times New Roman"/>
        </w:rPr>
        <w:t xml:space="preserve">how we are supposed to balance these different factors. When should </w:t>
      </w:r>
      <w:r>
        <w:rPr>
          <w:rFonts w:cs="Times New Roman"/>
        </w:rPr>
        <w:t>w</w:t>
      </w:r>
      <w:r w:rsidRPr="008102E6">
        <w:rPr>
          <w:rFonts w:cs="Times New Roman"/>
        </w:rPr>
        <w:t xml:space="preserve">e sacrifice transparency for coherence? Or fit for morality? Beever </w:t>
      </w:r>
      <w:r>
        <w:rPr>
          <w:rFonts w:cs="Times New Roman"/>
        </w:rPr>
        <w:t xml:space="preserve">is enthusiastic in his embrace of Smith’s four factors and also </w:t>
      </w:r>
      <w:r w:rsidRPr="008102E6">
        <w:rPr>
          <w:rFonts w:cs="Times New Roman"/>
        </w:rPr>
        <w:t>maintains that there is no relationship of priority between these different elements.</w:t>
      </w:r>
      <w:r w:rsidRPr="008102E6">
        <w:rPr>
          <w:rFonts w:cs="Times New Roman"/>
          <w:vertAlign w:val="superscript"/>
        </w:rPr>
        <w:footnoteReference w:id="66"/>
      </w:r>
      <w:r w:rsidRPr="008102E6">
        <w:rPr>
          <w:rFonts w:cs="Times New Roman"/>
        </w:rPr>
        <w:t xml:space="preserve"> But this then causes problems for </w:t>
      </w:r>
      <w:r>
        <w:rPr>
          <w:rFonts w:cs="Times New Roman"/>
        </w:rPr>
        <w:t>deontologists</w:t>
      </w:r>
      <w:r w:rsidRPr="008102E6">
        <w:rPr>
          <w:rFonts w:cs="Times New Roman"/>
        </w:rPr>
        <w:t xml:space="preserve">. </w:t>
      </w:r>
    </w:p>
    <w:p w14:paraId="374DE98C" w14:textId="77777777" w:rsidR="00213BB7" w:rsidRPr="008102E6" w:rsidRDefault="00213BB7" w:rsidP="0034071D">
      <w:pPr>
        <w:spacing w:line="360" w:lineRule="auto"/>
        <w:rPr>
          <w:rFonts w:cs="Times New Roman"/>
        </w:rPr>
      </w:pPr>
    </w:p>
    <w:p w14:paraId="43057F18" w14:textId="3DAA2384" w:rsidR="00213BB7" w:rsidRPr="008102E6" w:rsidRDefault="00213BB7" w:rsidP="0034071D">
      <w:pPr>
        <w:spacing w:line="360" w:lineRule="auto"/>
        <w:rPr>
          <w:rFonts w:cs="Times New Roman"/>
        </w:rPr>
      </w:pPr>
      <w:r w:rsidRPr="008102E6">
        <w:rPr>
          <w:rFonts w:cs="Times New Roman"/>
        </w:rPr>
        <w:t xml:space="preserve">Heading this list </w:t>
      </w:r>
      <w:r>
        <w:rPr>
          <w:rFonts w:cs="Times New Roman"/>
        </w:rPr>
        <w:t xml:space="preserve">of problems </w:t>
      </w:r>
      <w:r w:rsidRPr="008102E6">
        <w:rPr>
          <w:rFonts w:cs="Times New Roman"/>
        </w:rPr>
        <w:t>is the fact that there is no yardstick for measuring these factors and</w:t>
      </w:r>
      <w:r>
        <w:rPr>
          <w:rFonts w:cs="Times New Roman"/>
        </w:rPr>
        <w:t xml:space="preserve"> </w:t>
      </w:r>
      <w:r w:rsidRPr="008102E6">
        <w:rPr>
          <w:rFonts w:cs="Times New Roman"/>
        </w:rPr>
        <w:t xml:space="preserve">they appear to be incommensurable in the same way as, say, weight and temperature. If we have two </w:t>
      </w:r>
      <w:r>
        <w:rPr>
          <w:rFonts w:cs="Times New Roman"/>
        </w:rPr>
        <w:t xml:space="preserve">purely </w:t>
      </w:r>
      <w:r w:rsidRPr="008102E6">
        <w:rPr>
          <w:rFonts w:cs="Times New Roman"/>
        </w:rPr>
        <w:t>explanatory theories we might be able to compare them and determine which one best matches the case law. Likewise, if we had two normative theories we might be able to say which one was the most morally defensible. Interpretivists are not just trying to explain the law or say how the law should develop, though. If they were</w:t>
      </w:r>
      <w:r>
        <w:rPr>
          <w:rFonts w:cs="Times New Roman"/>
        </w:rPr>
        <w:t>,</w:t>
      </w:r>
      <w:r w:rsidRPr="008102E6">
        <w:rPr>
          <w:rFonts w:cs="Times New Roman"/>
        </w:rPr>
        <w:t xml:space="preserve"> then they would not have had an escape route from the criticisms presented </w:t>
      </w:r>
      <w:r>
        <w:rPr>
          <w:rFonts w:cs="Times New Roman"/>
        </w:rPr>
        <w:t>earlier in</w:t>
      </w:r>
      <w:r w:rsidRPr="008102E6">
        <w:rPr>
          <w:rFonts w:cs="Times New Roman"/>
        </w:rPr>
        <w:t xml:space="preserve"> this article. Instead, they are trying to do four things at once.</w:t>
      </w:r>
    </w:p>
    <w:p w14:paraId="44E99063" w14:textId="77777777" w:rsidR="00213BB7" w:rsidRPr="008102E6" w:rsidRDefault="00213BB7" w:rsidP="0034071D">
      <w:pPr>
        <w:spacing w:line="360" w:lineRule="auto"/>
        <w:rPr>
          <w:rFonts w:cs="Times New Roman"/>
        </w:rPr>
      </w:pPr>
    </w:p>
    <w:p w14:paraId="4F55098B" w14:textId="5242CD76" w:rsidR="00213BB7" w:rsidRDefault="00213BB7" w:rsidP="0034071D">
      <w:pPr>
        <w:spacing w:line="360" w:lineRule="auto"/>
        <w:rPr>
          <w:rFonts w:cs="Times New Roman"/>
        </w:rPr>
      </w:pPr>
      <w:r w:rsidRPr="008102E6">
        <w:rPr>
          <w:rFonts w:cs="Times New Roman"/>
        </w:rPr>
        <w:t xml:space="preserve">This difficulty is particularly </w:t>
      </w:r>
      <w:r>
        <w:rPr>
          <w:rFonts w:cs="Times New Roman"/>
        </w:rPr>
        <w:t>acute</w:t>
      </w:r>
      <w:r w:rsidRPr="008102E6">
        <w:rPr>
          <w:rFonts w:cs="Times New Roman"/>
        </w:rPr>
        <w:t xml:space="preserve"> for </w:t>
      </w:r>
      <w:r>
        <w:rPr>
          <w:rFonts w:cs="Times New Roman"/>
        </w:rPr>
        <w:t>deontologists</w:t>
      </w:r>
      <w:r w:rsidRPr="008102E6">
        <w:rPr>
          <w:rFonts w:cs="Times New Roman"/>
        </w:rPr>
        <w:t xml:space="preserve">, given that they have frequently attacked the weighing of incommensurables in consequentialist approaches to tort law. For example, on </w:t>
      </w:r>
      <w:r w:rsidRPr="008102E6">
        <w:rPr>
          <w:rFonts w:cs="Times New Roman"/>
        </w:rPr>
        <w:lastRenderedPageBreak/>
        <w:t>the idea that one could consider both corrective and distributive justice in the negligence inquiry, Beever states:</w:t>
      </w:r>
    </w:p>
    <w:p w14:paraId="515ABFF0" w14:textId="77777777" w:rsidR="00213BB7" w:rsidRPr="008102E6" w:rsidRDefault="00213BB7" w:rsidP="0034071D">
      <w:pPr>
        <w:spacing w:line="360" w:lineRule="auto"/>
        <w:rPr>
          <w:rFonts w:cs="Times New Roman"/>
        </w:rPr>
      </w:pPr>
    </w:p>
    <w:p w14:paraId="0C5C02B3" w14:textId="6601BE19" w:rsidR="00213BB7" w:rsidRPr="008102E6" w:rsidRDefault="00213BB7" w:rsidP="0034071D">
      <w:pPr>
        <w:spacing w:line="360" w:lineRule="auto"/>
        <w:ind w:left="567" w:right="567"/>
        <w:rPr>
          <w:rFonts w:cs="Times New Roman"/>
        </w:rPr>
      </w:pPr>
      <w:r>
        <w:rPr>
          <w:rFonts w:cs="Times New Roman"/>
        </w:rPr>
        <w:t>“</w:t>
      </w:r>
      <w:r w:rsidRPr="008102E6">
        <w:rPr>
          <w:rFonts w:cs="Times New Roman"/>
        </w:rPr>
        <w:t>The general problem here is that corrective and distributive justice are two forms of justice. The former focuses on the relationship between two individuals; the latter on the place of people in society generally. They are, then, incommensurable. It is, therefore, impossible in a case of conflict between corrective and distributive justice to, as it were, weigh the corrective justice against the distributive injustice.</w:t>
      </w:r>
      <w:r>
        <w:rPr>
          <w:rFonts w:cs="Times New Roman"/>
        </w:rPr>
        <w:t>”</w:t>
      </w:r>
      <w:r w:rsidRPr="008102E6">
        <w:rPr>
          <w:rStyle w:val="FootnoteReference"/>
          <w:rFonts w:cs="Times New Roman"/>
        </w:rPr>
        <w:footnoteReference w:id="67"/>
      </w:r>
    </w:p>
    <w:p w14:paraId="40E04167" w14:textId="77777777" w:rsidR="00213BB7" w:rsidRPr="008102E6" w:rsidRDefault="00213BB7" w:rsidP="0034071D">
      <w:pPr>
        <w:spacing w:line="360" w:lineRule="auto"/>
        <w:rPr>
          <w:rFonts w:cs="Times New Roman"/>
        </w:rPr>
      </w:pPr>
    </w:p>
    <w:p w14:paraId="7639E4FB" w14:textId="7CB23B74" w:rsidR="00213BB7" w:rsidRDefault="00213BB7" w:rsidP="0034071D">
      <w:pPr>
        <w:spacing w:line="360" w:lineRule="auto"/>
        <w:rPr>
          <w:rFonts w:cs="Times New Roman"/>
        </w:rPr>
      </w:pPr>
      <w:r w:rsidRPr="008102E6">
        <w:rPr>
          <w:rFonts w:cs="Times New Roman"/>
        </w:rPr>
        <w:t xml:space="preserve">Beever </w:t>
      </w:r>
      <w:r>
        <w:rPr>
          <w:rFonts w:cs="Times New Roman"/>
        </w:rPr>
        <w:t>dismissed</w:t>
      </w:r>
      <w:r w:rsidRPr="008102E6">
        <w:rPr>
          <w:rFonts w:cs="Times New Roman"/>
        </w:rPr>
        <w:t xml:space="preserve"> the second stage of the </w:t>
      </w:r>
      <w:r>
        <w:rPr>
          <w:rFonts w:cs="Times New Roman"/>
        </w:rPr>
        <w:t xml:space="preserve">old </w:t>
      </w:r>
      <w:r w:rsidRPr="008102E6">
        <w:rPr>
          <w:rFonts w:cs="Times New Roman"/>
          <w:i/>
        </w:rPr>
        <w:t>Anns</w:t>
      </w:r>
      <w:r>
        <w:rPr>
          <w:rFonts w:cs="Times New Roman"/>
          <w:i/>
        </w:rPr>
        <w:t xml:space="preserve"> v Merton LBC</w:t>
      </w:r>
      <w:r w:rsidRPr="008102E6">
        <w:rPr>
          <w:rFonts w:cs="Times New Roman"/>
        </w:rPr>
        <w:t xml:space="preserve"> test, which involved balancing policy factors against imposing a duty of care, on similar grounds.</w:t>
      </w:r>
      <w:r w:rsidRPr="008102E6">
        <w:rPr>
          <w:rStyle w:val="FootnoteReference"/>
          <w:rFonts w:cs="Times New Roman"/>
        </w:rPr>
        <w:footnoteReference w:id="68"/>
      </w:r>
      <w:r w:rsidRPr="008102E6">
        <w:rPr>
          <w:rFonts w:cs="Times New Roman"/>
        </w:rPr>
        <w:t xml:space="preserve"> In his view, </w:t>
      </w:r>
      <w:r>
        <w:rPr>
          <w:rFonts w:cs="Times New Roman"/>
        </w:rPr>
        <w:t>“</w:t>
      </w:r>
      <w:r w:rsidRPr="008102E6">
        <w:rPr>
          <w:rFonts w:cs="Times New Roman"/>
        </w:rPr>
        <w:t>conflicting policies themselves often involve incommensurable concerns: economic efficiency an</w:t>
      </w:r>
      <w:r>
        <w:rPr>
          <w:rFonts w:cs="Times New Roman"/>
        </w:rPr>
        <w:t>d social justice perhaps”</w:t>
      </w:r>
      <w:r w:rsidRPr="008102E6">
        <w:rPr>
          <w:rFonts w:cs="Times New Roman"/>
        </w:rPr>
        <w:t>.</w:t>
      </w:r>
      <w:r w:rsidRPr="008102E6">
        <w:rPr>
          <w:rStyle w:val="FootnoteReference"/>
          <w:rFonts w:cs="Times New Roman"/>
        </w:rPr>
        <w:footnoteReference w:id="69"/>
      </w:r>
    </w:p>
    <w:p w14:paraId="0202444E" w14:textId="77777777" w:rsidR="00213BB7" w:rsidRDefault="00213BB7" w:rsidP="0034071D">
      <w:pPr>
        <w:spacing w:line="360" w:lineRule="auto"/>
        <w:rPr>
          <w:rFonts w:cs="Times New Roman"/>
        </w:rPr>
      </w:pPr>
    </w:p>
    <w:p w14:paraId="20CB6764" w14:textId="5B8C93C4" w:rsidR="00213BB7" w:rsidRDefault="00213BB7" w:rsidP="0034071D">
      <w:pPr>
        <w:spacing w:line="360" w:lineRule="auto"/>
        <w:rPr>
          <w:rFonts w:cs="Times New Roman"/>
        </w:rPr>
      </w:pPr>
      <w:r>
        <w:rPr>
          <w:rFonts w:cs="Times New Roman"/>
        </w:rPr>
        <w:t>Stevens, too, objects to weighing policy concerns on the grounds that it involves weighing incommensurables. It is the equivalent of asking a judge “to determine whether Mozart or chocolate is better”.</w:t>
      </w:r>
      <w:r>
        <w:rPr>
          <w:rStyle w:val="FootnoteReference"/>
          <w:rFonts w:cs="Times New Roman"/>
        </w:rPr>
        <w:footnoteReference w:id="70"/>
      </w:r>
    </w:p>
    <w:p w14:paraId="548B7BA7" w14:textId="77777777" w:rsidR="00213BB7" w:rsidRDefault="00213BB7" w:rsidP="0034071D">
      <w:pPr>
        <w:spacing w:line="360" w:lineRule="auto"/>
        <w:rPr>
          <w:rFonts w:cs="Times New Roman"/>
        </w:rPr>
      </w:pPr>
    </w:p>
    <w:p w14:paraId="06139AD3" w14:textId="09A091FA" w:rsidR="00213BB7" w:rsidRDefault="00213BB7" w:rsidP="0034071D">
      <w:pPr>
        <w:spacing w:line="360" w:lineRule="auto"/>
        <w:rPr>
          <w:rFonts w:cs="Times New Roman"/>
        </w:rPr>
      </w:pPr>
      <w:r w:rsidRPr="008102E6">
        <w:rPr>
          <w:rFonts w:cs="Times New Roman"/>
        </w:rPr>
        <w:t>But surely the interpretivists are</w:t>
      </w:r>
      <w:r>
        <w:rPr>
          <w:rFonts w:cs="Times New Roman"/>
        </w:rPr>
        <w:t xml:space="preserve"> also weighing incommensurables?</w:t>
      </w:r>
      <w:r w:rsidRPr="008102E6">
        <w:rPr>
          <w:rFonts w:cs="Times New Roman"/>
        </w:rPr>
        <w:t xml:space="preserve"> Without a yardstick, which the </w:t>
      </w:r>
      <w:r>
        <w:rPr>
          <w:rFonts w:cs="Times New Roman"/>
        </w:rPr>
        <w:t xml:space="preserve">deontologists </w:t>
      </w:r>
      <w:r w:rsidRPr="008102E6">
        <w:rPr>
          <w:rFonts w:cs="Times New Roman"/>
        </w:rPr>
        <w:t xml:space="preserve">are reluctant to provide, we have no way of knowing </w:t>
      </w:r>
      <w:r>
        <w:rPr>
          <w:rFonts w:cs="Times New Roman"/>
        </w:rPr>
        <w:t xml:space="preserve">how </w:t>
      </w:r>
      <w:r w:rsidRPr="008102E6">
        <w:rPr>
          <w:rFonts w:cs="Times New Roman"/>
        </w:rPr>
        <w:t>to trade off a high score a</w:t>
      </w:r>
      <w:r>
        <w:rPr>
          <w:rFonts w:cs="Times New Roman"/>
        </w:rPr>
        <w:t xml:space="preserve">long </w:t>
      </w:r>
      <w:r w:rsidRPr="008102E6">
        <w:rPr>
          <w:rFonts w:cs="Times New Roman"/>
        </w:rPr>
        <w:t xml:space="preserve">one axis with </w:t>
      </w:r>
      <w:r>
        <w:rPr>
          <w:rFonts w:cs="Times New Roman"/>
        </w:rPr>
        <w:t xml:space="preserve">a </w:t>
      </w:r>
      <w:r w:rsidRPr="008102E6">
        <w:rPr>
          <w:rFonts w:cs="Times New Roman"/>
        </w:rPr>
        <w:t xml:space="preserve">low score </w:t>
      </w:r>
      <w:r>
        <w:rPr>
          <w:rFonts w:cs="Times New Roman"/>
        </w:rPr>
        <w:t xml:space="preserve">along </w:t>
      </w:r>
      <w:r w:rsidRPr="008102E6">
        <w:rPr>
          <w:rFonts w:cs="Times New Roman"/>
        </w:rPr>
        <w:t xml:space="preserve">another. </w:t>
      </w:r>
      <w:r>
        <w:rPr>
          <w:rFonts w:cs="Times New Roman"/>
        </w:rPr>
        <w:t>It is therefore difficult for interpretivists to oppose policy reasoning on the basis that it involves the weighing of incommensurables, given that this is a practice they are quite happy to engage in at a more abstract level. Deflecting low scores on fit and transparency by cleaving to other interpretive factors like morality or coherence is therefore not open to them.</w:t>
      </w:r>
    </w:p>
    <w:p w14:paraId="3F28CE8D" w14:textId="77777777" w:rsidR="00213BB7" w:rsidRDefault="00213BB7" w:rsidP="0034071D">
      <w:pPr>
        <w:spacing w:line="360" w:lineRule="auto"/>
        <w:rPr>
          <w:rFonts w:cs="Times New Roman"/>
        </w:rPr>
      </w:pPr>
    </w:p>
    <w:p w14:paraId="2ADA08A1" w14:textId="4761C2C9" w:rsidR="00213BB7" w:rsidRDefault="00213BB7" w:rsidP="0034071D">
      <w:pPr>
        <w:spacing w:line="360" w:lineRule="auto"/>
        <w:rPr>
          <w:rFonts w:cs="Times New Roman"/>
        </w:rPr>
      </w:pPr>
      <w:r>
        <w:rPr>
          <w:rFonts w:cs="Times New Roman"/>
        </w:rPr>
        <w:t>The deontologists might counter that they oppose policy reasoning on additional grounds. Among the other reasons they give are that wi</w:t>
      </w:r>
      <w:r w:rsidRPr="001A0123">
        <w:rPr>
          <w:rFonts w:cs="Times New Roman"/>
        </w:rPr>
        <w:t xml:space="preserve">thin a liberal democracy </w:t>
      </w:r>
      <w:r>
        <w:rPr>
          <w:rFonts w:cs="Times New Roman"/>
        </w:rPr>
        <w:t xml:space="preserve">weighing competing </w:t>
      </w:r>
      <w:r>
        <w:rPr>
          <w:rFonts w:cs="Times New Roman"/>
        </w:rPr>
        <w:lastRenderedPageBreak/>
        <w:t>policy claims forces unelected judges to make decisions that they lack the political legitimacy to make and that j</w:t>
      </w:r>
      <w:r w:rsidRPr="0073147B">
        <w:rPr>
          <w:rFonts w:cs="Times New Roman"/>
        </w:rPr>
        <w:t>udges, not being economists or social scientists lack the technical competence to weigh policy concerns.</w:t>
      </w:r>
      <w:r>
        <w:rPr>
          <w:rStyle w:val="FootnoteReference"/>
          <w:rFonts w:cs="Times New Roman"/>
        </w:rPr>
        <w:footnoteReference w:id="71"/>
      </w:r>
      <w:r>
        <w:rPr>
          <w:rFonts w:cs="Times New Roman"/>
        </w:rPr>
        <w:t xml:space="preserve"> A focus on policy can also make the law more uncertain.</w:t>
      </w:r>
      <w:r>
        <w:rPr>
          <w:rStyle w:val="FootnoteReference"/>
          <w:rFonts w:cs="Times New Roman"/>
        </w:rPr>
        <w:footnoteReference w:id="72"/>
      </w:r>
      <w:r>
        <w:rPr>
          <w:rFonts w:cs="Times New Roman"/>
        </w:rPr>
        <w:t xml:space="preserve"> Whatever the merits of these arguments,</w:t>
      </w:r>
      <w:r>
        <w:rPr>
          <w:rStyle w:val="FootnoteReference"/>
          <w:rFonts w:cs="Times New Roman"/>
        </w:rPr>
        <w:footnoteReference w:id="73"/>
      </w:r>
      <w:r>
        <w:rPr>
          <w:rFonts w:cs="Times New Roman"/>
        </w:rPr>
        <w:t xml:space="preserve"> they are undeniably prescriptive. If the deontologists were offering pur</w:t>
      </w:r>
      <w:r w:rsidR="00633EC9">
        <w:rPr>
          <w:rFonts w:cs="Times New Roman"/>
        </w:rPr>
        <w:t>ely normative theories then these</w:t>
      </w:r>
      <w:r>
        <w:rPr>
          <w:rFonts w:cs="Times New Roman"/>
        </w:rPr>
        <w:t xml:space="preserve"> might be compelling counterarguments. But they are not a convincing response to a lack of transparency or fit. As long the deontologists claim to be offering an interpretive theory that provides the best </w:t>
      </w:r>
      <w:r>
        <w:rPr>
          <w:rFonts w:cs="Times New Roman"/>
          <w:i/>
        </w:rPr>
        <w:t>explanation</w:t>
      </w:r>
      <w:r>
        <w:rPr>
          <w:rFonts w:cs="Times New Roman"/>
        </w:rPr>
        <w:t xml:space="preserve"> of the current law, they cannot respond to compelling criticisms of a lack of fit or transparency by claiming that their theories are normatively desirable or coherent. Doing so would be to compare incommensurables, something they have opposed, and thus leave them open to a charge of hypocrisy. Deontologists relying on interpretivism must either temper their opposition to policy or accept some of the compelling critiques that have been levelled at them for failing to explain the law or judges’ reasoning and admit that their theories are prescriptive. In either event, their theories will require modification. </w:t>
      </w:r>
    </w:p>
    <w:p w14:paraId="0F8264EC" w14:textId="77777777" w:rsidR="00213BB7" w:rsidRPr="008102E6" w:rsidRDefault="00213BB7" w:rsidP="0034071D">
      <w:pPr>
        <w:spacing w:line="360" w:lineRule="auto"/>
        <w:rPr>
          <w:rFonts w:cs="Times New Roman"/>
        </w:rPr>
      </w:pPr>
    </w:p>
    <w:p w14:paraId="495FD303" w14:textId="77777777" w:rsidR="00213BB7" w:rsidRPr="008102E6" w:rsidRDefault="00213BB7" w:rsidP="0008027B">
      <w:pPr>
        <w:spacing w:line="360" w:lineRule="auto"/>
        <w:jc w:val="center"/>
        <w:outlineLvl w:val="0"/>
        <w:rPr>
          <w:rFonts w:cs="Times New Roman"/>
          <w:b/>
        </w:rPr>
      </w:pPr>
      <w:r w:rsidRPr="008102E6">
        <w:rPr>
          <w:rFonts w:cs="Times New Roman"/>
          <w:b/>
        </w:rPr>
        <w:t>Reflective Equilibrium</w:t>
      </w:r>
    </w:p>
    <w:p w14:paraId="7C2F04EF" w14:textId="77777777" w:rsidR="00213BB7" w:rsidRPr="008102E6" w:rsidRDefault="00213BB7" w:rsidP="0034071D">
      <w:pPr>
        <w:spacing w:line="360" w:lineRule="auto"/>
        <w:jc w:val="center"/>
        <w:rPr>
          <w:rFonts w:cs="Times New Roman"/>
        </w:rPr>
      </w:pPr>
    </w:p>
    <w:p w14:paraId="1381ED26" w14:textId="45985E41" w:rsidR="00213BB7" w:rsidRPr="008102E6" w:rsidRDefault="00213BB7" w:rsidP="0034071D">
      <w:pPr>
        <w:spacing w:line="360" w:lineRule="auto"/>
        <w:rPr>
          <w:rFonts w:cs="Times New Roman"/>
        </w:rPr>
      </w:pPr>
      <w:r>
        <w:rPr>
          <w:rFonts w:cs="Times New Roman"/>
        </w:rPr>
        <w:t xml:space="preserve">Deontologists </w:t>
      </w:r>
      <w:r w:rsidRPr="008102E6">
        <w:rPr>
          <w:rFonts w:cs="Times New Roman"/>
        </w:rPr>
        <w:t>might attempt to escape this bind by using reflecti</w:t>
      </w:r>
      <w:r>
        <w:rPr>
          <w:rFonts w:cs="Times New Roman"/>
        </w:rPr>
        <w:t xml:space="preserve">ve equilibrium. </w:t>
      </w:r>
      <w:r w:rsidRPr="008102E6">
        <w:rPr>
          <w:rFonts w:cs="Times New Roman"/>
        </w:rPr>
        <w:t xml:space="preserve">With a scientific theory one might have a hypothesis (the proposed explanation for phenomenon). The investigator would then gather data to test the hypothesis. To give an example, </w:t>
      </w:r>
      <w:r>
        <w:rPr>
          <w:rFonts w:cs="Times New Roman"/>
        </w:rPr>
        <w:t>“Fizzy drinks cause tooth decay”</w:t>
      </w:r>
      <w:r w:rsidRPr="008102E6">
        <w:rPr>
          <w:rFonts w:cs="Times New Roman"/>
        </w:rPr>
        <w:t xml:space="preserve"> might be the hypothesis. An experiment would be conducted to test the hypothesis</w:t>
      </w:r>
      <w:r>
        <w:rPr>
          <w:rFonts w:cs="Times New Roman"/>
        </w:rPr>
        <w:t xml:space="preserve"> and collect data by,</w:t>
      </w:r>
      <w:r w:rsidRPr="008102E6">
        <w:rPr>
          <w:rFonts w:cs="Times New Roman"/>
        </w:rPr>
        <w:t xml:space="preserve"> e.g. putting teeth in different types of dr</w:t>
      </w:r>
      <w:r w:rsidR="00633EC9">
        <w:rPr>
          <w:rFonts w:cs="Times New Roman"/>
        </w:rPr>
        <w:t>inks to see whether they decayed</w:t>
      </w:r>
      <w:r w:rsidRPr="008102E6">
        <w:rPr>
          <w:rFonts w:cs="Times New Roman"/>
        </w:rPr>
        <w:t>. Depending on the results, the experimenter might accept, reject or amend the hypothesis</w:t>
      </w:r>
      <w:r>
        <w:rPr>
          <w:rFonts w:cs="Times New Roman"/>
        </w:rPr>
        <w:t>. I</w:t>
      </w:r>
      <w:r w:rsidRPr="008102E6">
        <w:rPr>
          <w:rFonts w:cs="Times New Roman"/>
        </w:rPr>
        <w:t xml:space="preserve">f the teeth in </w:t>
      </w:r>
      <w:r>
        <w:rPr>
          <w:rFonts w:cs="Times New Roman"/>
        </w:rPr>
        <w:t xml:space="preserve">the </w:t>
      </w:r>
      <w:r w:rsidRPr="008102E6">
        <w:rPr>
          <w:rFonts w:cs="Times New Roman"/>
        </w:rPr>
        <w:t>sugar-free fizzy drinks are unaffected, the hypothesis</w:t>
      </w:r>
      <w:r>
        <w:rPr>
          <w:rFonts w:cs="Times New Roman"/>
        </w:rPr>
        <w:t xml:space="preserve"> might be amended to “sugary drinks cause</w:t>
      </w:r>
      <w:r w:rsidRPr="008102E6">
        <w:rPr>
          <w:rFonts w:cs="Times New Roman"/>
        </w:rPr>
        <w:t xml:space="preserve"> tooth decay</w:t>
      </w:r>
      <w:r>
        <w:rPr>
          <w:rFonts w:cs="Times New Roman"/>
        </w:rPr>
        <w:t>”</w:t>
      </w:r>
      <w:r w:rsidRPr="008102E6">
        <w:rPr>
          <w:rFonts w:cs="Times New Roman"/>
        </w:rPr>
        <w:t xml:space="preserve">. </w:t>
      </w:r>
    </w:p>
    <w:p w14:paraId="7A7398A7" w14:textId="77777777" w:rsidR="00213BB7" w:rsidRPr="008102E6" w:rsidRDefault="00213BB7" w:rsidP="0034071D">
      <w:pPr>
        <w:spacing w:line="360" w:lineRule="auto"/>
        <w:rPr>
          <w:rFonts w:cs="Times New Roman"/>
        </w:rPr>
      </w:pPr>
    </w:p>
    <w:p w14:paraId="3FB4344E" w14:textId="2F546A73" w:rsidR="00213BB7" w:rsidRDefault="00213BB7" w:rsidP="0034071D">
      <w:pPr>
        <w:spacing w:line="360" w:lineRule="auto"/>
        <w:rPr>
          <w:rFonts w:cs="Times New Roman"/>
        </w:rPr>
      </w:pPr>
      <w:r w:rsidRPr="008102E6">
        <w:rPr>
          <w:rFonts w:cs="Times New Roman"/>
        </w:rPr>
        <w:lastRenderedPageBreak/>
        <w:t>Reflective equilibrium attempts to do something similar. This was a method used by John Rawls to arrive at the content of the principles of justice in his landmark</w:t>
      </w:r>
      <w:r w:rsidR="00B40323">
        <w:rPr>
          <w:rFonts w:cs="Times New Roman"/>
        </w:rPr>
        <w:t xml:space="preserve"> work</w:t>
      </w:r>
      <w:r>
        <w:rPr>
          <w:rFonts w:cs="Times New Roman"/>
        </w:rPr>
        <w:t>,</w:t>
      </w:r>
      <w:r w:rsidRPr="008102E6">
        <w:rPr>
          <w:rFonts w:cs="Times New Roman"/>
        </w:rPr>
        <w:t xml:space="preserve"> </w:t>
      </w:r>
      <w:r w:rsidRPr="008102E6">
        <w:rPr>
          <w:rFonts w:cs="Times New Roman"/>
          <w:i/>
        </w:rPr>
        <w:t>A Theory of Justice</w:t>
      </w:r>
      <w:r>
        <w:rPr>
          <w:rFonts w:cs="Times New Roman"/>
        </w:rPr>
        <w:t>, but other theorists, such as Dworkin, and Goldberg and Zipurksy, have drawn on it.</w:t>
      </w:r>
      <w:r>
        <w:rPr>
          <w:rStyle w:val="FootnoteReference"/>
          <w:rFonts w:cs="Times New Roman"/>
        </w:rPr>
        <w:footnoteReference w:id="74"/>
      </w:r>
      <w:r w:rsidRPr="008102E6">
        <w:rPr>
          <w:rFonts w:cs="Times New Roman"/>
        </w:rPr>
        <w:t xml:space="preserve"> When one compares a theory </w:t>
      </w:r>
      <w:r>
        <w:rPr>
          <w:rFonts w:cs="Times New Roman"/>
        </w:rPr>
        <w:t>to</w:t>
      </w:r>
      <w:r w:rsidRPr="008102E6">
        <w:rPr>
          <w:rFonts w:cs="Times New Roman"/>
        </w:rPr>
        <w:t xml:space="preserve"> one’s considered judgements there may be a clash between them. If this happens</w:t>
      </w:r>
      <w:r>
        <w:rPr>
          <w:rFonts w:cs="Times New Roman"/>
        </w:rPr>
        <w:t>, Rawls states that we can either “</w:t>
      </w:r>
      <w:r w:rsidRPr="008102E6">
        <w:rPr>
          <w:rFonts w:cs="Times New Roman"/>
        </w:rPr>
        <w:t>modify the account….or we can revise our existing judgments</w:t>
      </w:r>
      <w:r>
        <w:rPr>
          <w:rFonts w:cs="Times New Roman"/>
        </w:rPr>
        <w:t>”</w:t>
      </w:r>
      <w:r w:rsidRPr="008102E6">
        <w:rPr>
          <w:rStyle w:val="FootnoteReference"/>
          <w:rFonts w:cs="Times New Roman"/>
        </w:rPr>
        <w:footnoteReference w:id="75"/>
      </w:r>
      <w:r w:rsidRPr="008102E6">
        <w:rPr>
          <w:rFonts w:cs="Times New Roman"/>
        </w:rPr>
        <w:t xml:space="preserve"> </w:t>
      </w:r>
      <w:r>
        <w:rPr>
          <w:rFonts w:cs="Times New Roman"/>
        </w:rPr>
        <w:t>(w</w:t>
      </w:r>
      <w:r w:rsidRPr="008102E6">
        <w:rPr>
          <w:rFonts w:cs="Times New Roman"/>
        </w:rPr>
        <w:t>e may also, as Beever states, partially revise the theory and partially reject the intuition</w:t>
      </w:r>
      <w:r>
        <w:rPr>
          <w:rFonts w:cs="Times New Roman"/>
        </w:rPr>
        <w:t>).</w:t>
      </w:r>
      <w:r w:rsidRPr="008102E6">
        <w:rPr>
          <w:rStyle w:val="FootnoteReference"/>
          <w:rFonts w:cs="Times New Roman"/>
        </w:rPr>
        <w:footnoteReference w:id="76"/>
      </w:r>
      <w:r w:rsidRPr="008102E6">
        <w:rPr>
          <w:rFonts w:cs="Times New Roman"/>
        </w:rPr>
        <w:t xml:space="preserve"> The end result will be that we arrive at a reflective equilibrium which </w:t>
      </w:r>
      <w:r>
        <w:rPr>
          <w:rFonts w:cs="Times New Roman"/>
        </w:rPr>
        <w:t>“</w:t>
      </w:r>
      <w:r w:rsidRPr="008102E6">
        <w:rPr>
          <w:rFonts w:cs="Times New Roman"/>
        </w:rPr>
        <w:t>yields principles which match our considered jud</w:t>
      </w:r>
      <w:r>
        <w:rPr>
          <w:rFonts w:cs="Times New Roman"/>
        </w:rPr>
        <w:t>g</w:t>
      </w:r>
      <w:r w:rsidR="00B40323">
        <w:rPr>
          <w:rFonts w:cs="Times New Roman"/>
        </w:rPr>
        <w:t>e</w:t>
      </w:r>
      <w:r>
        <w:rPr>
          <w:rFonts w:cs="Times New Roman"/>
        </w:rPr>
        <w:t>ments duly pruned and adjusted”</w:t>
      </w:r>
      <w:r w:rsidRPr="008102E6">
        <w:rPr>
          <w:rFonts w:cs="Times New Roman"/>
        </w:rPr>
        <w:t>.</w:t>
      </w:r>
      <w:r w:rsidRPr="008102E6">
        <w:rPr>
          <w:rStyle w:val="FootnoteReference"/>
          <w:rFonts w:cs="Times New Roman"/>
        </w:rPr>
        <w:footnoteReference w:id="77"/>
      </w:r>
      <w:r>
        <w:rPr>
          <w:rFonts w:cs="Times New Roman"/>
        </w:rPr>
        <w:t xml:space="preserve"> </w:t>
      </w:r>
    </w:p>
    <w:p w14:paraId="7F477511" w14:textId="77777777" w:rsidR="00213BB7" w:rsidRPr="008102E6" w:rsidRDefault="00213BB7" w:rsidP="0034071D">
      <w:pPr>
        <w:spacing w:line="360" w:lineRule="auto"/>
        <w:rPr>
          <w:rFonts w:cs="Times New Roman"/>
        </w:rPr>
      </w:pPr>
    </w:p>
    <w:p w14:paraId="7362FA1E" w14:textId="7BAB51BC" w:rsidR="00213BB7" w:rsidRDefault="00213BB7" w:rsidP="0034071D">
      <w:pPr>
        <w:spacing w:line="360" w:lineRule="auto"/>
        <w:rPr>
          <w:rFonts w:cs="Times New Roman"/>
        </w:rPr>
      </w:pPr>
      <w:r w:rsidRPr="008102E6">
        <w:rPr>
          <w:rFonts w:cs="Times New Roman"/>
        </w:rPr>
        <w:t>Beever advocates</w:t>
      </w:r>
      <w:r>
        <w:rPr>
          <w:rFonts w:cs="Times New Roman"/>
        </w:rPr>
        <w:t xml:space="preserve"> this methodology. For him, it “</w:t>
      </w:r>
      <w:r w:rsidRPr="008102E6">
        <w:rPr>
          <w:rFonts w:cs="Times New Roman"/>
        </w:rPr>
        <w:t>steers a course between foundationalism and intuitionism</w:t>
      </w:r>
      <w:r>
        <w:rPr>
          <w:rFonts w:cs="Times New Roman"/>
        </w:rPr>
        <w:t>”</w:t>
      </w:r>
      <w:r w:rsidRPr="008102E6">
        <w:rPr>
          <w:rFonts w:cs="Times New Roman"/>
        </w:rPr>
        <w:t>.</w:t>
      </w:r>
      <w:r w:rsidRPr="008102E6">
        <w:rPr>
          <w:rStyle w:val="FootnoteReference"/>
          <w:rFonts w:cs="Times New Roman"/>
        </w:rPr>
        <w:footnoteReference w:id="78"/>
      </w:r>
      <w:r w:rsidRPr="008102E6">
        <w:rPr>
          <w:rFonts w:cs="Times New Roman"/>
        </w:rPr>
        <w:t xml:space="preserve"> Foundationalists begin with a theory and assess the intuitions against </w:t>
      </w:r>
      <w:r w:rsidR="00B40323">
        <w:rPr>
          <w:rFonts w:cs="Times New Roman"/>
        </w:rPr>
        <w:t>it</w:t>
      </w:r>
      <w:r w:rsidRPr="008102E6">
        <w:rPr>
          <w:rFonts w:cs="Times New Roman"/>
        </w:rPr>
        <w:t xml:space="preserve">. The problem with such an approach, according to Beever, is that it appears dogmatic and it is not clear why the theory should be accepted in the first place. Likewise, intuitionism is problematic as it </w:t>
      </w:r>
      <w:r>
        <w:rPr>
          <w:rFonts w:cs="Times New Roman"/>
        </w:rPr>
        <w:t>“</w:t>
      </w:r>
      <w:r w:rsidRPr="008102E6">
        <w:rPr>
          <w:rFonts w:cs="Times New Roman"/>
        </w:rPr>
        <w:t>promotes prejud</w:t>
      </w:r>
      <w:r>
        <w:rPr>
          <w:rFonts w:cs="Times New Roman"/>
        </w:rPr>
        <w:t>ice to the level of moral truth”</w:t>
      </w:r>
      <w:r w:rsidRPr="008102E6">
        <w:rPr>
          <w:rFonts w:cs="Times New Roman"/>
        </w:rPr>
        <w:t>.</w:t>
      </w:r>
      <w:r w:rsidRPr="008102E6">
        <w:rPr>
          <w:rStyle w:val="FootnoteReference"/>
          <w:rFonts w:cs="Times New Roman"/>
        </w:rPr>
        <w:footnoteReference w:id="79"/>
      </w:r>
    </w:p>
    <w:p w14:paraId="5D24133C" w14:textId="77777777" w:rsidR="00213BB7" w:rsidRDefault="00213BB7" w:rsidP="0034071D">
      <w:pPr>
        <w:spacing w:line="360" w:lineRule="auto"/>
        <w:rPr>
          <w:rFonts w:cs="Times New Roman"/>
        </w:rPr>
      </w:pPr>
    </w:p>
    <w:p w14:paraId="3B2F1CF3" w14:textId="1079A040" w:rsidR="00213BB7" w:rsidRPr="008102E6" w:rsidRDefault="00213BB7" w:rsidP="0034071D">
      <w:pPr>
        <w:spacing w:line="360" w:lineRule="auto"/>
        <w:rPr>
          <w:rFonts w:cs="Times New Roman"/>
        </w:rPr>
      </w:pPr>
      <w:r>
        <w:rPr>
          <w:rFonts w:cs="Times New Roman"/>
        </w:rPr>
        <w:t>P</w:t>
      </w:r>
      <w:r w:rsidRPr="008102E6">
        <w:rPr>
          <w:rFonts w:cs="Times New Roman"/>
        </w:rPr>
        <w:t>roblems exist with relying upon intuitions</w:t>
      </w:r>
      <w:r>
        <w:rPr>
          <w:rFonts w:cs="Times New Roman"/>
        </w:rPr>
        <w:t xml:space="preserve"> (or “considered judgements”, to use Rawls’s terminology – though nothing turns on this distinction, if there is one, for the point I am making)</w:t>
      </w:r>
      <w:r w:rsidRPr="008102E6">
        <w:rPr>
          <w:rFonts w:cs="Times New Roman"/>
        </w:rPr>
        <w:t>.</w:t>
      </w:r>
      <w:r>
        <w:rPr>
          <w:rStyle w:val="FootnoteReference"/>
          <w:rFonts w:cs="Times New Roman"/>
        </w:rPr>
        <w:footnoteReference w:id="80"/>
      </w:r>
      <w:r w:rsidRPr="008102E6">
        <w:rPr>
          <w:rFonts w:cs="Times New Roman"/>
        </w:rPr>
        <w:t xml:space="preserve"> True, renowned philosophers often use them. Judith Jarvis Thomson defends abortion by asking you to imagine you are rigged up to a violinist who will die if you disconnect him.</w:t>
      </w:r>
      <w:r w:rsidRPr="008102E6">
        <w:rPr>
          <w:rStyle w:val="FootnoteReference"/>
          <w:rFonts w:cs="Times New Roman"/>
        </w:rPr>
        <w:footnoteReference w:id="81"/>
      </w:r>
      <w:r w:rsidRPr="008102E6">
        <w:rPr>
          <w:rFonts w:cs="Times New Roman"/>
        </w:rPr>
        <w:t xml:space="preserve"> She believes that we have an intuition that it is fine to unplug the violinist and uses numerous outlandish examples to drive home her argument: Henry Fonda (a modern equivalent might be Jake Gyllenhaal) has no moral obligation to touch your head even if it will save your l</w:t>
      </w:r>
      <w:r>
        <w:rPr>
          <w:rFonts w:cs="Times New Roman"/>
        </w:rPr>
        <w:t>if</w:t>
      </w:r>
      <w:r w:rsidRPr="008102E6">
        <w:rPr>
          <w:rFonts w:cs="Times New Roman"/>
        </w:rPr>
        <w:t>e.</w:t>
      </w:r>
      <w:r w:rsidRPr="008102E6">
        <w:rPr>
          <w:rStyle w:val="FootnoteReference"/>
          <w:rFonts w:cs="Times New Roman"/>
        </w:rPr>
        <w:footnoteReference w:id="82"/>
      </w:r>
      <w:r w:rsidRPr="008102E6">
        <w:rPr>
          <w:rFonts w:cs="Times New Roman"/>
        </w:rPr>
        <w:t xml:space="preserve"> Another </w:t>
      </w:r>
      <w:r>
        <w:rPr>
          <w:rFonts w:cs="Times New Roman"/>
        </w:rPr>
        <w:t xml:space="preserve">philosopher who has recourse to intuitionism is </w:t>
      </w:r>
      <w:r w:rsidRPr="008102E6">
        <w:rPr>
          <w:rFonts w:cs="Times New Roman"/>
        </w:rPr>
        <w:t>Robert Nozick</w:t>
      </w:r>
      <w:r>
        <w:rPr>
          <w:rFonts w:cs="Times New Roman"/>
        </w:rPr>
        <w:t>. According to</w:t>
      </w:r>
      <w:r w:rsidRPr="008102E6">
        <w:rPr>
          <w:rFonts w:cs="Times New Roman"/>
        </w:rPr>
        <w:t xml:space="preserve"> his libertarian political theory</w:t>
      </w:r>
      <w:r>
        <w:rPr>
          <w:rFonts w:cs="Times New Roman"/>
        </w:rPr>
        <w:t>,</w:t>
      </w:r>
      <w:r w:rsidRPr="008102E6">
        <w:rPr>
          <w:rFonts w:cs="Times New Roman"/>
        </w:rPr>
        <w:t xml:space="preserve"> we have an intuitive </w:t>
      </w:r>
      <w:r>
        <w:rPr>
          <w:rFonts w:cs="Times New Roman"/>
        </w:rPr>
        <w:t xml:space="preserve">sense </w:t>
      </w:r>
      <w:r w:rsidRPr="008102E6">
        <w:rPr>
          <w:rFonts w:cs="Times New Roman"/>
        </w:rPr>
        <w:t xml:space="preserve">that it would be wrong to prevent </w:t>
      </w:r>
      <w:r w:rsidRPr="008102E6">
        <w:rPr>
          <w:rFonts w:cs="Times New Roman"/>
        </w:rPr>
        <w:lastRenderedPageBreak/>
        <w:t>people from paying Wilt Chamberlain to watch him play basketball.</w:t>
      </w:r>
      <w:r w:rsidRPr="008102E6">
        <w:rPr>
          <w:rStyle w:val="FootnoteReference"/>
          <w:rFonts w:cs="Times New Roman"/>
        </w:rPr>
        <w:footnoteReference w:id="83"/>
      </w:r>
      <w:r w:rsidRPr="008102E6">
        <w:rPr>
          <w:rFonts w:cs="Times New Roman"/>
        </w:rPr>
        <w:t xml:space="preserve"> Once property is acquired, he claims, one should be free to transfer it to others.</w:t>
      </w:r>
      <w:r w:rsidRPr="008102E6">
        <w:rPr>
          <w:rStyle w:val="FootnoteReference"/>
          <w:rFonts w:cs="Times New Roman"/>
        </w:rPr>
        <w:footnoteReference w:id="84"/>
      </w:r>
    </w:p>
    <w:p w14:paraId="1976760A" w14:textId="77777777" w:rsidR="00213BB7" w:rsidRPr="008102E6" w:rsidRDefault="00213BB7" w:rsidP="0034071D">
      <w:pPr>
        <w:spacing w:line="360" w:lineRule="auto"/>
        <w:rPr>
          <w:rFonts w:cs="Times New Roman"/>
        </w:rPr>
      </w:pPr>
    </w:p>
    <w:p w14:paraId="709B165A" w14:textId="52E1B1A1" w:rsidR="00213BB7" w:rsidRPr="008102E6" w:rsidRDefault="00213BB7" w:rsidP="0034071D">
      <w:pPr>
        <w:spacing w:line="360" w:lineRule="auto"/>
        <w:rPr>
          <w:rFonts w:cs="Times New Roman"/>
        </w:rPr>
      </w:pPr>
      <w:r w:rsidRPr="008102E6">
        <w:rPr>
          <w:rFonts w:cs="Times New Roman"/>
        </w:rPr>
        <w:t xml:space="preserve">How, though, are we to tell whether these intuitive responses are good ones or worth preserving? What if we replaced likeable sports personality Wilt Chamberlain with an oil executive or hedge fund manager, would we still be opposed to redistributive taxation? What if after much consideration </w:t>
      </w:r>
      <w:r>
        <w:rPr>
          <w:rFonts w:cs="Times New Roman"/>
        </w:rPr>
        <w:t xml:space="preserve">I stick with my view </w:t>
      </w:r>
      <w:r w:rsidRPr="008102E6">
        <w:rPr>
          <w:rFonts w:cs="Times New Roman"/>
        </w:rPr>
        <w:t>that Henry Fonda should touch your head and save your life?</w:t>
      </w:r>
      <w:r w:rsidRPr="008102E6">
        <w:rPr>
          <w:rStyle w:val="FootnoteReference"/>
          <w:rFonts w:cs="Times New Roman"/>
        </w:rPr>
        <w:footnoteReference w:id="85"/>
      </w:r>
      <w:r w:rsidRPr="008102E6">
        <w:rPr>
          <w:rFonts w:cs="Times New Roman"/>
        </w:rPr>
        <w:t xml:space="preserve"> How are we to say whether I am right and you are wrong if our intuitions dif</w:t>
      </w:r>
      <w:r>
        <w:rPr>
          <w:rFonts w:cs="Times New Roman"/>
        </w:rPr>
        <w:t>fer but such “considered judgements”</w:t>
      </w:r>
      <w:r w:rsidRPr="008102E6">
        <w:rPr>
          <w:rFonts w:cs="Times New Roman"/>
        </w:rPr>
        <w:t xml:space="preserve"> are determinative?</w:t>
      </w:r>
    </w:p>
    <w:p w14:paraId="08B567CB" w14:textId="77777777" w:rsidR="00213BB7" w:rsidRPr="008102E6" w:rsidRDefault="00213BB7" w:rsidP="0034071D">
      <w:pPr>
        <w:spacing w:line="360" w:lineRule="auto"/>
        <w:rPr>
          <w:rFonts w:cs="Times New Roman"/>
        </w:rPr>
      </w:pPr>
    </w:p>
    <w:p w14:paraId="325B9C35" w14:textId="098E2E26" w:rsidR="00213BB7" w:rsidRPr="008102E6" w:rsidRDefault="00213BB7" w:rsidP="0034071D">
      <w:pPr>
        <w:spacing w:line="360" w:lineRule="auto"/>
        <w:rPr>
          <w:rFonts w:cs="Times New Roman"/>
        </w:rPr>
      </w:pPr>
      <w:r>
        <w:rPr>
          <w:rFonts w:cs="Times New Roman"/>
        </w:rPr>
        <w:t xml:space="preserve">Intuitions or considered judgements </w:t>
      </w:r>
      <w:r w:rsidRPr="008102E6">
        <w:rPr>
          <w:rFonts w:cs="Times New Roman"/>
        </w:rPr>
        <w:t xml:space="preserve">can be useful. It is probably good that most of us have a strong emotional response against murder and violence. But sometimes they are not: </w:t>
      </w:r>
      <w:r>
        <w:rPr>
          <w:rFonts w:cs="Times New Roman"/>
        </w:rPr>
        <w:t xml:space="preserve">judgements </w:t>
      </w:r>
      <w:r w:rsidRPr="008102E6">
        <w:rPr>
          <w:rFonts w:cs="Times New Roman"/>
        </w:rPr>
        <w:t xml:space="preserve">that it is fine to keep slaves or that homosexuality is disgusting </w:t>
      </w:r>
      <w:r>
        <w:rPr>
          <w:rFonts w:cs="Times New Roman"/>
        </w:rPr>
        <w:t>were historically influential</w:t>
      </w:r>
      <w:r w:rsidRPr="008102E6">
        <w:rPr>
          <w:rFonts w:cs="Times New Roman"/>
        </w:rPr>
        <w:t>. Furthermore, our intuitions can often clash with one another. They are often a result of how we have been brought up, or even evolutionary responses.</w:t>
      </w:r>
      <w:r w:rsidRPr="008102E6">
        <w:rPr>
          <w:rStyle w:val="FootnoteReference"/>
          <w:rFonts w:cs="Times New Roman"/>
        </w:rPr>
        <w:footnoteReference w:id="86"/>
      </w:r>
      <w:r w:rsidRPr="008102E6">
        <w:rPr>
          <w:rFonts w:cs="Times New Roman"/>
        </w:rPr>
        <w:t xml:space="preserve"> We might therefore have good reason</w:t>
      </w:r>
      <w:r>
        <w:rPr>
          <w:rFonts w:cs="Times New Roman"/>
        </w:rPr>
        <w:t>s</w:t>
      </w:r>
      <w:r w:rsidRPr="008102E6">
        <w:rPr>
          <w:rFonts w:cs="Times New Roman"/>
        </w:rPr>
        <w:t xml:space="preserve"> to be wary of them.</w:t>
      </w:r>
    </w:p>
    <w:p w14:paraId="7F845F56" w14:textId="77777777" w:rsidR="00213BB7" w:rsidRPr="008102E6" w:rsidRDefault="00213BB7" w:rsidP="0034071D">
      <w:pPr>
        <w:spacing w:line="360" w:lineRule="auto"/>
        <w:rPr>
          <w:rFonts w:cs="Times New Roman"/>
        </w:rPr>
      </w:pPr>
    </w:p>
    <w:p w14:paraId="144A6E64" w14:textId="3238EEE0" w:rsidR="00213BB7" w:rsidRPr="008102E6" w:rsidRDefault="00213BB7" w:rsidP="0034071D">
      <w:pPr>
        <w:spacing w:line="360" w:lineRule="auto"/>
        <w:rPr>
          <w:rFonts w:cs="Times New Roman"/>
        </w:rPr>
      </w:pPr>
      <w:r>
        <w:rPr>
          <w:rFonts w:cs="Times New Roman"/>
        </w:rPr>
        <w:t xml:space="preserve">Notwithstanding claims to the contrary, </w:t>
      </w:r>
      <w:r w:rsidRPr="008102E6">
        <w:rPr>
          <w:rFonts w:cs="Times New Roman"/>
        </w:rPr>
        <w:t xml:space="preserve">reflective equilibrium </w:t>
      </w:r>
      <w:r>
        <w:rPr>
          <w:rFonts w:cs="Times New Roman"/>
        </w:rPr>
        <w:t>ultimately</w:t>
      </w:r>
      <w:r w:rsidRPr="008102E6">
        <w:rPr>
          <w:rFonts w:cs="Times New Roman"/>
        </w:rPr>
        <w:t xml:space="preserve"> ends up being a fancy form of intuitionism as the end results will </w:t>
      </w:r>
      <w:r>
        <w:rPr>
          <w:rFonts w:cs="Times New Roman"/>
        </w:rPr>
        <w:t xml:space="preserve">be </w:t>
      </w:r>
      <w:r w:rsidRPr="008102E6">
        <w:rPr>
          <w:rFonts w:cs="Times New Roman"/>
        </w:rPr>
        <w:t xml:space="preserve">dependent upon one’s intuitions and starting theory. Different people will arrive at different results (some might be more willing to modify beliefs than others) as there is no </w:t>
      </w:r>
      <w:r>
        <w:rPr>
          <w:rFonts w:cs="Times New Roman"/>
        </w:rPr>
        <w:t>“correct”</w:t>
      </w:r>
      <w:r w:rsidRPr="008102E6">
        <w:rPr>
          <w:rFonts w:cs="Times New Roman"/>
        </w:rPr>
        <w:t xml:space="preserve"> way </w:t>
      </w:r>
      <w:r>
        <w:rPr>
          <w:rFonts w:cs="Times New Roman"/>
        </w:rPr>
        <w:t>to</w:t>
      </w:r>
      <w:r w:rsidRPr="008102E6">
        <w:rPr>
          <w:rFonts w:cs="Times New Roman"/>
        </w:rPr>
        <w:t xml:space="preserve"> determin</w:t>
      </w:r>
      <w:r>
        <w:rPr>
          <w:rFonts w:cs="Times New Roman"/>
        </w:rPr>
        <w:t>e</w:t>
      </w:r>
      <w:r w:rsidRPr="008102E6">
        <w:rPr>
          <w:rFonts w:cs="Times New Roman"/>
        </w:rPr>
        <w:t xml:space="preserve"> when theory should give w</w:t>
      </w:r>
      <w:r>
        <w:rPr>
          <w:rFonts w:cs="Times New Roman"/>
        </w:rPr>
        <w:t>ay to intuition and vice-versa.</w:t>
      </w:r>
    </w:p>
    <w:p w14:paraId="0679A775" w14:textId="77777777" w:rsidR="00213BB7" w:rsidRPr="008102E6" w:rsidRDefault="00213BB7" w:rsidP="0034071D">
      <w:pPr>
        <w:spacing w:line="360" w:lineRule="auto"/>
        <w:rPr>
          <w:rFonts w:cs="Times New Roman"/>
        </w:rPr>
      </w:pPr>
    </w:p>
    <w:p w14:paraId="0419DEAB" w14:textId="4D30E808" w:rsidR="00213BB7" w:rsidRPr="008102E6" w:rsidRDefault="00213BB7" w:rsidP="0034071D">
      <w:pPr>
        <w:spacing w:line="360" w:lineRule="auto"/>
        <w:rPr>
          <w:rFonts w:cs="Times New Roman"/>
        </w:rPr>
      </w:pPr>
      <w:r w:rsidRPr="008102E6">
        <w:rPr>
          <w:rFonts w:cs="Times New Roman"/>
        </w:rPr>
        <w:t>Imagine someone was a fascist and tested their fascist political theory against their intuitions that we should have strongmen leaders and beliefs in racial purity. The</w:t>
      </w:r>
      <w:r>
        <w:rPr>
          <w:rFonts w:cs="Times New Roman"/>
        </w:rPr>
        <w:t>ory and intuition</w:t>
      </w:r>
      <w:r w:rsidRPr="008102E6">
        <w:rPr>
          <w:rFonts w:cs="Times New Roman"/>
        </w:rPr>
        <w:t xml:space="preserve"> might arrive in perfect harmony. This does not mean that it is a good theory. How could one criticise someone who arrived at this conclusion using this methodology? In countering this, we might say that the fascist should compare their intuitions against other theories, say socialism or </w:t>
      </w:r>
      <w:r w:rsidRPr="008102E6">
        <w:rPr>
          <w:rFonts w:cs="Times New Roman"/>
        </w:rPr>
        <w:lastRenderedPageBreak/>
        <w:t>liberalism, to arrive at a wide equilibrium.</w:t>
      </w:r>
      <w:r w:rsidRPr="008102E6">
        <w:rPr>
          <w:rStyle w:val="FootnoteReference"/>
          <w:rFonts w:cs="Times New Roman"/>
        </w:rPr>
        <w:footnoteReference w:id="87"/>
      </w:r>
      <w:r w:rsidRPr="008102E6">
        <w:rPr>
          <w:rFonts w:cs="Times New Roman"/>
        </w:rPr>
        <w:t xml:space="preserve"> </w:t>
      </w:r>
      <w:r>
        <w:rPr>
          <w:rFonts w:cs="Times New Roman"/>
        </w:rPr>
        <w:t>E</w:t>
      </w:r>
      <w:r w:rsidRPr="008102E6">
        <w:rPr>
          <w:rFonts w:cs="Times New Roman"/>
        </w:rPr>
        <w:t>ven if they adapt them to some extent,</w:t>
      </w:r>
      <w:r>
        <w:rPr>
          <w:rFonts w:cs="Times New Roman"/>
        </w:rPr>
        <w:t xml:space="preserve"> though,</w:t>
      </w:r>
      <w:r w:rsidRPr="008102E6">
        <w:rPr>
          <w:rFonts w:cs="Times New Roman"/>
        </w:rPr>
        <w:t xml:space="preserve"> their answer will probably differ from someone who starts with intuitions about</w:t>
      </w:r>
      <w:r>
        <w:rPr>
          <w:rFonts w:cs="Times New Roman"/>
        </w:rPr>
        <w:t xml:space="preserve"> the need for</w:t>
      </w:r>
      <w:r w:rsidRPr="008102E6">
        <w:rPr>
          <w:rFonts w:cs="Times New Roman"/>
        </w:rPr>
        <w:t xml:space="preserve"> wealth distribution and treating people equally</w:t>
      </w:r>
      <w:r>
        <w:rPr>
          <w:rFonts w:cs="Times New Roman"/>
        </w:rPr>
        <w:t>,</w:t>
      </w:r>
      <w:r w:rsidRPr="008102E6">
        <w:rPr>
          <w:rFonts w:cs="Times New Roman"/>
        </w:rPr>
        <w:t xml:space="preserve"> or about the fundamental importance of liberty. </w:t>
      </w:r>
    </w:p>
    <w:p w14:paraId="6F7FEB35" w14:textId="77777777" w:rsidR="00213BB7" w:rsidRPr="008102E6" w:rsidRDefault="00213BB7" w:rsidP="0034071D">
      <w:pPr>
        <w:spacing w:line="360" w:lineRule="auto"/>
        <w:rPr>
          <w:rFonts w:cs="Times New Roman"/>
        </w:rPr>
      </w:pPr>
    </w:p>
    <w:p w14:paraId="2D8486D6" w14:textId="558BA01B" w:rsidR="00213BB7" w:rsidRDefault="00213BB7" w:rsidP="0034071D">
      <w:pPr>
        <w:spacing w:line="360" w:lineRule="auto"/>
      </w:pPr>
      <w:r w:rsidRPr="008102E6">
        <w:rPr>
          <w:rFonts w:cs="Times New Roman"/>
        </w:rPr>
        <w:t>As Peter Singer has argued, reflective equilibrium leads to the assumption that at least some of our moral judgeme</w:t>
      </w:r>
      <w:r>
        <w:rPr>
          <w:rFonts w:cs="Times New Roman"/>
        </w:rPr>
        <w:t>nts will, after consideration, “</w:t>
      </w:r>
      <w:r w:rsidRPr="008102E6">
        <w:rPr>
          <w:rFonts w:cs="Times New Roman"/>
        </w:rPr>
        <w:t>remain as fixed points against which theories can be tested.</w:t>
      </w:r>
      <w:r>
        <w:rPr>
          <w:rFonts w:cs="Times New Roman"/>
        </w:rPr>
        <w:t>”</w:t>
      </w:r>
      <w:r w:rsidRPr="008102E6">
        <w:rPr>
          <w:rFonts w:cs="Times New Roman"/>
          <w:vertAlign w:val="superscript"/>
        </w:rPr>
        <w:footnoteReference w:id="88"/>
      </w:r>
      <w:r w:rsidRPr="008102E6">
        <w:rPr>
          <w:rFonts w:cs="Times New Roman"/>
        </w:rPr>
        <w:t xml:space="preserve"> He questions why we would not make the opposite assumption, </w:t>
      </w:r>
      <w:r>
        <w:rPr>
          <w:rFonts w:cs="Times New Roman"/>
        </w:rPr>
        <w:t>and discard our intuitions.</w:t>
      </w:r>
      <w:r w:rsidRPr="008102E6">
        <w:rPr>
          <w:rFonts w:cs="Times New Roman"/>
          <w:vertAlign w:val="superscript"/>
        </w:rPr>
        <w:footnoteReference w:id="89"/>
      </w:r>
      <w:r>
        <w:rPr>
          <w:rFonts w:cs="Times New Roman"/>
        </w:rPr>
        <w:t xml:space="preserve"> Balancing a theory against one’s intuitions does not provide us with a reason for accepting one theory over another that is not based on personal preferences. It therefore does not help shore up the persuasiveness of deontological theories.</w:t>
      </w:r>
      <w:r w:rsidRPr="00467946">
        <w:t xml:space="preserve"> </w:t>
      </w:r>
    </w:p>
    <w:p w14:paraId="54764F81" w14:textId="77777777" w:rsidR="00213BB7" w:rsidRDefault="00213BB7" w:rsidP="0034071D">
      <w:pPr>
        <w:spacing w:line="360" w:lineRule="auto"/>
        <w:rPr>
          <w:rFonts w:cs="Times New Roman"/>
        </w:rPr>
      </w:pPr>
    </w:p>
    <w:p w14:paraId="08A5E6F1" w14:textId="77777777" w:rsidR="00213BB7" w:rsidRPr="008102E6" w:rsidRDefault="00213BB7" w:rsidP="0008027B">
      <w:pPr>
        <w:spacing w:line="360" w:lineRule="auto"/>
        <w:jc w:val="center"/>
        <w:outlineLvl w:val="0"/>
        <w:rPr>
          <w:rFonts w:cs="Times New Roman"/>
          <w:b/>
        </w:rPr>
      </w:pPr>
      <w:r>
        <w:rPr>
          <w:rFonts w:cs="Times New Roman"/>
          <w:b/>
        </w:rPr>
        <w:t>Reflective Equilibrium and Five Leading Cases</w:t>
      </w:r>
    </w:p>
    <w:p w14:paraId="5F994FBD" w14:textId="77777777" w:rsidR="00213BB7" w:rsidRPr="008102E6" w:rsidRDefault="00213BB7" w:rsidP="0034071D">
      <w:pPr>
        <w:spacing w:line="360" w:lineRule="auto"/>
        <w:jc w:val="center"/>
        <w:rPr>
          <w:rFonts w:cs="Times New Roman"/>
          <w:b/>
        </w:rPr>
      </w:pPr>
    </w:p>
    <w:p w14:paraId="1794FB9A" w14:textId="52C5D331" w:rsidR="00213BB7" w:rsidRPr="008102E6" w:rsidRDefault="00213BB7" w:rsidP="0034071D">
      <w:pPr>
        <w:spacing w:line="360" w:lineRule="auto"/>
        <w:rPr>
          <w:rFonts w:cs="Times New Roman"/>
        </w:rPr>
      </w:pPr>
      <w:r>
        <w:rPr>
          <w:rFonts w:cs="Times New Roman"/>
        </w:rPr>
        <w:t xml:space="preserve">The third prong in my critique of interpretivism is specifically directed against Beever. I will argue in the next two sections that his selection of cases to subject to reflective equilibrium is highly partial and does not prevent his corrective justice theory from boiling down to the intuitions of its proponent. </w:t>
      </w:r>
    </w:p>
    <w:p w14:paraId="4984F2AD" w14:textId="77777777" w:rsidR="00213BB7" w:rsidRPr="008102E6" w:rsidRDefault="00213BB7" w:rsidP="0034071D">
      <w:pPr>
        <w:spacing w:line="360" w:lineRule="auto"/>
        <w:rPr>
          <w:rFonts w:cs="Times New Roman"/>
        </w:rPr>
      </w:pPr>
    </w:p>
    <w:p w14:paraId="57DA55AA" w14:textId="6DAC07B2" w:rsidR="00213BB7" w:rsidRDefault="00213BB7" w:rsidP="003A5F1E">
      <w:pPr>
        <w:spacing w:line="360" w:lineRule="auto"/>
        <w:rPr>
          <w:rFonts w:cs="Times New Roman"/>
        </w:rPr>
      </w:pPr>
      <w:r>
        <w:rPr>
          <w:rFonts w:cs="Times New Roman"/>
        </w:rPr>
        <w:t>Beever claims that he begins</w:t>
      </w:r>
      <w:r w:rsidRPr="008102E6">
        <w:rPr>
          <w:rFonts w:cs="Times New Roman"/>
        </w:rPr>
        <w:t xml:space="preserve"> with the case law</w:t>
      </w:r>
      <w:r>
        <w:rPr>
          <w:rFonts w:cs="Times New Roman"/>
        </w:rPr>
        <w:t xml:space="preserve"> and </w:t>
      </w:r>
      <w:r w:rsidRPr="008102E6">
        <w:rPr>
          <w:rFonts w:cs="Times New Roman"/>
        </w:rPr>
        <w:t xml:space="preserve">advances a theory that he has </w:t>
      </w:r>
      <w:r>
        <w:rPr>
          <w:rFonts w:cs="Times New Roman"/>
        </w:rPr>
        <w:t>derived from “five great cases”:</w:t>
      </w:r>
      <w:r>
        <w:rPr>
          <w:rStyle w:val="FootnoteReference"/>
          <w:rFonts w:cs="Times New Roman"/>
        </w:rPr>
        <w:footnoteReference w:id="90"/>
      </w:r>
    </w:p>
    <w:p w14:paraId="3D692091" w14:textId="77777777" w:rsidR="00213BB7" w:rsidRDefault="00213BB7" w:rsidP="0034071D">
      <w:pPr>
        <w:spacing w:line="360" w:lineRule="auto"/>
        <w:rPr>
          <w:rFonts w:cs="Times New Roman"/>
        </w:rPr>
      </w:pPr>
    </w:p>
    <w:p w14:paraId="42D3F21C" w14:textId="028904AD" w:rsidR="00213BB7" w:rsidRPr="004C054A" w:rsidRDefault="00213BB7" w:rsidP="0034071D">
      <w:pPr>
        <w:pStyle w:val="ListParagraph"/>
        <w:numPr>
          <w:ilvl w:val="0"/>
          <w:numId w:val="4"/>
        </w:numPr>
        <w:spacing w:line="360" w:lineRule="auto"/>
        <w:rPr>
          <w:rFonts w:cs="Times New Roman"/>
        </w:rPr>
      </w:pPr>
      <w:r w:rsidRPr="004C054A">
        <w:rPr>
          <w:rFonts w:cs="Times New Roman"/>
          <w:i/>
        </w:rPr>
        <w:t>Donoghue v Stevenson</w:t>
      </w:r>
      <w:r w:rsidRPr="004C054A">
        <w:rPr>
          <w:rFonts w:cs="Times New Roman"/>
        </w:rPr>
        <w:t>:</w:t>
      </w:r>
      <w:r w:rsidRPr="008102E6">
        <w:rPr>
          <w:rStyle w:val="FootnoteReference"/>
          <w:rFonts w:cs="Times New Roman"/>
        </w:rPr>
        <w:footnoteReference w:id="91"/>
      </w:r>
      <w:r w:rsidRPr="004C054A">
        <w:rPr>
          <w:rFonts w:cs="Times New Roman"/>
        </w:rPr>
        <w:t xml:space="preserve"> The pursuer suffered injuries after ingesting a decomposed snail in an opaque glass bottle manufactured by the defendant. Th</w:t>
      </w:r>
      <w:r>
        <w:rPr>
          <w:rFonts w:cs="Times New Roman"/>
        </w:rPr>
        <w:t xml:space="preserve">e House of Lords </w:t>
      </w:r>
      <w:r w:rsidRPr="004C054A">
        <w:rPr>
          <w:rFonts w:cs="Times New Roman"/>
        </w:rPr>
        <w:t>held that the manufacturer owed a duty of care to the claimant</w:t>
      </w:r>
      <w:r>
        <w:rPr>
          <w:rFonts w:cs="Times New Roman"/>
        </w:rPr>
        <w:t xml:space="preserve"> and the case is notable for Lord Atkin’s “neighbour principle”</w:t>
      </w:r>
      <w:r w:rsidRPr="004C054A">
        <w:rPr>
          <w:rFonts w:cs="Times New Roman"/>
        </w:rPr>
        <w:t>.</w:t>
      </w:r>
    </w:p>
    <w:p w14:paraId="79169761" w14:textId="766B8BEF" w:rsidR="00213BB7" w:rsidRPr="004C054A" w:rsidRDefault="00213BB7" w:rsidP="0034071D">
      <w:pPr>
        <w:pStyle w:val="ListParagraph"/>
        <w:numPr>
          <w:ilvl w:val="0"/>
          <w:numId w:val="4"/>
        </w:numPr>
        <w:spacing w:line="360" w:lineRule="auto"/>
        <w:rPr>
          <w:rFonts w:cs="Times New Roman"/>
        </w:rPr>
      </w:pPr>
      <w:r w:rsidRPr="004C054A">
        <w:rPr>
          <w:rFonts w:cs="Times New Roman"/>
          <w:i/>
        </w:rPr>
        <w:t>Palsgraf v Long Island Railroad Co</w:t>
      </w:r>
      <w:r>
        <w:rPr>
          <w:rFonts w:cs="Times New Roman"/>
        </w:rPr>
        <w:t>:</w:t>
      </w:r>
      <w:r w:rsidRPr="004C054A">
        <w:rPr>
          <w:rStyle w:val="FootnoteReference"/>
          <w:rFonts w:cs="Times New Roman"/>
        </w:rPr>
        <w:footnoteReference w:id="92"/>
      </w:r>
      <w:r w:rsidRPr="004C054A">
        <w:rPr>
          <w:rFonts w:cs="Times New Roman"/>
        </w:rPr>
        <w:t xml:space="preserve"> The defendant railroad employee assisted a man carrying a package onto</w:t>
      </w:r>
      <w:r w:rsidR="00B40323">
        <w:rPr>
          <w:rFonts w:cs="Times New Roman"/>
        </w:rPr>
        <w:t xml:space="preserve"> a</w:t>
      </w:r>
      <w:r w:rsidRPr="004C054A">
        <w:rPr>
          <w:rFonts w:cs="Times New Roman"/>
        </w:rPr>
        <w:t xml:space="preserve"> train. The package exploded and caused some scales to injure </w:t>
      </w:r>
      <w:r w:rsidRPr="004C054A">
        <w:rPr>
          <w:rFonts w:cs="Times New Roman"/>
        </w:rPr>
        <w:lastRenderedPageBreak/>
        <w:t>the plaintiff, who was waiting on the platform. It was held that the defendant did not owe the plaintiff a duty of care as harm to her was not foreseeable.</w:t>
      </w:r>
    </w:p>
    <w:p w14:paraId="70FFF393" w14:textId="6DBDFDEA" w:rsidR="00213BB7" w:rsidRPr="004C054A" w:rsidRDefault="00213BB7" w:rsidP="0034071D">
      <w:pPr>
        <w:pStyle w:val="ListParagraph"/>
        <w:numPr>
          <w:ilvl w:val="0"/>
          <w:numId w:val="4"/>
        </w:numPr>
        <w:spacing w:line="360" w:lineRule="auto"/>
        <w:rPr>
          <w:rFonts w:cs="Times New Roman"/>
        </w:rPr>
      </w:pPr>
      <w:r w:rsidRPr="004C054A">
        <w:rPr>
          <w:rFonts w:cs="Times New Roman"/>
          <w:i/>
        </w:rPr>
        <w:t>Bolton v Stone</w:t>
      </w:r>
      <w:r w:rsidRPr="004C054A">
        <w:rPr>
          <w:rFonts w:cs="Times New Roman"/>
        </w:rPr>
        <w:t>:</w:t>
      </w:r>
      <w:r w:rsidRPr="008102E6">
        <w:rPr>
          <w:rStyle w:val="FootnoteReference"/>
          <w:rFonts w:cs="Times New Roman"/>
        </w:rPr>
        <w:footnoteReference w:id="93"/>
      </w:r>
      <w:r w:rsidRPr="004C054A">
        <w:rPr>
          <w:rFonts w:cs="Times New Roman"/>
        </w:rPr>
        <w:t xml:space="preserve"> The claimant was </w:t>
      </w:r>
      <w:r>
        <w:rPr>
          <w:rFonts w:cs="Times New Roman"/>
        </w:rPr>
        <w:t>struck</w:t>
      </w:r>
      <w:r w:rsidRPr="004C054A">
        <w:rPr>
          <w:rFonts w:cs="Times New Roman"/>
        </w:rPr>
        <w:t xml:space="preserve"> on the head by </w:t>
      </w:r>
      <w:r w:rsidR="00B40323">
        <w:rPr>
          <w:rFonts w:cs="Times New Roman"/>
        </w:rPr>
        <w:t xml:space="preserve">a </w:t>
      </w:r>
      <w:r w:rsidRPr="004C054A">
        <w:rPr>
          <w:rFonts w:cs="Times New Roman"/>
        </w:rPr>
        <w:t>cricket ball hit out of ground</w:t>
      </w:r>
      <w:r w:rsidR="00B40323">
        <w:rPr>
          <w:rFonts w:cs="Times New Roman"/>
        </w:rPr>
        <w:t>s</w:t>
      </w:r>
      <w:r w:rsidRPr="004C054A">
        <w:rPr>
          <w:rFonts w:cs="Times New Roman"/>
        </w:rPr>
        <w:t xml:space="preserve"> run by the defendants. The House of Lords held that, in assessing breach of duty, the reasonable person does not take precautions against all foreseeable risks but only those reasonably likely to happen.   </w:t>
      </w:r>
    </w:p>
    <w:p w14:paraId="24C33363" w14:textId="3FE7E2CC" w:rsidR="00213BB7" w:rsidRPr="004C054A" w:rsidRDefault="00213BB7" w:rsidP="0034071D">
      <w:pPr>
        <w:pStyle w:val="ListParagraph"/>
        <w:numPr>
          <w:ilvl w:val="0"/>
          <w:numId w:val="4"/>
        </w:numPr>
        <w:spacing w:line="360" w:lineRule="auto"/>
        <w:rPr>
          <w:rFonts w:cs="Times New Roman"/>
        </w:rPr>
      </w:pPr>
      <w:r w:rsidRPr="004C054A">
        <w:rPr>
          <w:rFonts w:cs="Times New Roman"/>
          <w:i/>
        </w:rPr>
        <w:t>The Wagon Mound No 2</w:t>
      </w:r>
      <w:r w:rsidRPr="004C054A">
        <w:rPr>
          <w:rFonts w:cs="Times New Roman"/>
        </w:rPr>
        <w:t>:</w:t>
      </w:r>
      <w:r w:rsidRPr="008102E6">
        <w:rPr>
          <w:rStyle w:val="FootnoteReference"/>
          <w:rFonts w:cs="Times New Roman"/>
        </w:rPr>
        <w:footnoteReference w:id="94"/>
      </w:r>
      <w:r w:rsidRPr="004C054A">
        <w:rPr>
          <w:rFonts w:cs="Times New Roman"/>
        </w:rPr>
        <w:t xml:space="preserve"> Another case on breach</w:t>
      </w:r>
      <w:r w:rsidR="00B40323">
        <w:rPr>
          <w:rFonts w:cs="Times New Roman"/>
        </w:rPr>
        <w:t xml:space="preserve">, the </w:t>
      </w:r>
      <w:r w:rsidRPr="004C054A">
        <w:rPr>
          <w:rFonts w:cs="Times New Roman"/>
        </w:rPr>
        <w:t xml:space="preserve">claimants’ property </w:t>
      </w:r>
      <w:r w:rsidR="00B40323">
        <w:rPr>
          <w:rFonts w:cs="Times New Roman"/>
        </w:rPr>
        <w:t xml:space="preserve">was damaged after the defendants caused an oil spill that led to an </w:t>
      </w:r>
      <w:r w:rsidRPr="004C054A">
        <w:rPr>
          <w:rFonts w:cs="Times New Roman"/>
        </w:rPr>
        <w:t xml:space="preserve">explosion in Sydney harbour. The Privy Council held that that the gravity of the injury and the cost of taking precautions needed to be taken into account when assessing breach.  </w:t>
      </w:r>
    </w:p>
    <w:p w14:paraId="149D4B5A" w14:textId="3DF47ED5" w:rsidR="00213BB7" w:rsidRPr="004C054A" w:rsidRDefault="00213BB7" w:rsidP="0034071D">
      <w:pPr>
        <w:pStyle w:val="ListParagraph"/>
        <w:numPr>
          <w:ilvl w:val="0"/>
          <w:numId w:val="4"/>
        </w:numPr>
        <w:spacing w:line="360" w:lineRule="auto"/>
        <w:rPr>
          <w:rFonts w:cs="Times New Roman"/>
        </w:rPr>
      </w:pPr>
      <w:r w:rsidRPr="004C054A">
        <w:rPr>
          <w:rFonts w:cs="Times New Roman"/>
          <w:i/>
        </w:rPr>
        <w:t>The Wagon Mound No 1</w:t>
      </w:r>
      <w:r w:rsidRPr="004C054A">
        <w:rPr>
          <w:rFonts w:cs="Times New Roman"/>
        </w:rPr>
        <w:t>:</w:t>
      </w:r>
      <w:r w:rsidRPr="008102E6">
        <w:rPr>
          <w:rStyle w:val="FootnoteReference"/>
          <w:rFonts w:cs="Times New Roman"/>
        </w:rPr>
        <w:footnoteReference w:id="95"/>
      </w:r>
      <w:r w:rsidRPr="004C054A">
        <w:rPr>
          <w:rFonts w:cs="Times New Roman"/>
        </w:rPr>
        <w:t xml:space="preserve"> a predecessor to the above case. The Privy Council held that the test of remoteness required that the kind of damage suffered by the claimant be reasonably foreseeable.</w:t>
      </w:r>
    </w:p>
    <w:p w14:paraId="71606D12" w14:textId="77777777" w:rsidR="00213BB7" w:rsidRPr="008102E6" w:rsidRDefault="00213BB7" w:rsidP="0034071D">
      <w:pPr>
        <w:spacing w:line="360" w:lineRule="auto"/>
        <w:rPr>
          <w:rFonts w:cs="Times New Roman"/>
        </w:rPr>
      </w:pPr>
    </w:p>
    <w:p w14:paraId="1B454048" w14:textId="67D1FB40" w:rsidR="00213BB7" w:rsidRPr="008102E6" w:rsidRDefault="00213BB7" w:rsidP="0034071D">
      <w:pPr>
        <w:spacing w:line="360" w:lineRule="auto"/>
        <w:rPr>
          <w:rFonts w:cs="Times New Roman"/>
        </w:rPr>
      </w:pPr>
      <w:r w:rsidRPr="008102E6">
        <w:rPr>
          <w:rFonts w:cs="Times New Roman"/>
        </w:rPr>
        <w:t>No tort scholar would dispute that these are significant cases</w:t>
      </w:r>
      <w:r>
        <w:rPr>
          <w:rFonts w:cs="Times New Roman"/>
        </w:rPr>
        <w:t xml:space="preserve">. </w:t>
      </w:r>
      <w:r w:rsidRPr="008102E6">
        <w:rPr>
          <w:rFonts w:cs="Times New Roman"/>
        </w:rPr>
        <w:t>Beever’s other claims</w:t>
      </w:r>
      <w:r>
        <w:rPr>
          <w:rFonts w:cs="Times New Roman"/>
        </w:rPr>
        <w:t xml:space="preserve"> </w:t>
      </w:r>
      <w:r w:rsidRPr="008102E6">
        <w:rPr>
          <w:rFonts w:cs="Times New Roman"/>
        </w:rPr>
        <w:t>are not so unassailable. With these cases, Beever argues, there is no need to engage in reflective equilibrium becau</w:t>
      </w:r>
      <w:r>
        <w:rPr>
          <w:rFonts w:cs="Times New Roman"/>
        </w:rPr>
        <w:t>se the “</w:t>
      </w:r>
      <w:r w:rsidRPr="008102E6">
        <w:rPr>
          <w:rFonts w:cs="Times New Roman"/>
        </w:rPr>
        <w:t>judge</w:t>
      </w:r>
      <w:r>
        <w:rPr>
          <w:rFonts w:cs="Times New Roman"/>
        </w:rPr>
        <w:t>s have already done that for us”</w:t>
      </w:r>
      <w:r w:rsidRPr="008102E6">
        <w:rPr>
          <w:rFonts w:cs="Times New Roman"/>
        </w:rPr>
        <w:t>.</w:t>
      </w:r>
      <w:r w:rsidRPr="008102E6">
        <w:rPr>
          <w:rStyle w:val="FootnoteReference"/>
          <w:rFonts w:cs="Times New Roman"/>
        </w:rPr>
        <w:footnoteReference w:id="96"/>
      </w:r>
      <w:r>
        <w:rPr>
          <w:rFonts w:cs="Times New Roman"/>
        </w:rPr>
        <w:t xml:space="preserve"> T</w:t>
      </w:r>
      <w:r w:rsidRPr="008102E6">
        <w:rPr>
          <w:rFonts w:cs="Times New Roman"/>
        </w:rPr>
        <w:t>he</w:t>
      </w:r>
      <w:r>
        <w:rPr>
          <w:rFonts w:cs="Times New Roman"/>
        </w:rPr>
        <w:t>y supposedly</w:t>
      </w:r>
      <w:r w:rsidRPr="008102E6">
        <w:rPr>
          <w:rFonts w:cs="Times New Roman"/>
        </w:rPr>
        <w:t xml:space="preserve"> instantiate </w:t>
      </w:r>
      <w:r>
        <w:rPr>
          <w:rFonts w:cs="Times New Roman"/>
        </w:rPr>
        <w:t>and</w:t>
      </w:r>
      <w:r w:rsidRPr="008102E6">
        <w:rPr>
          <w:rFonts w:cs="Times New Roman"/>
        </w:rPr>
        <w:t xml:space="preserve"> contain reasons of corrective justice.</w:t>
      </w:r>
      <w:r>
        <w:rPr>
          <w:rStyle w:val="FootnoteReference"/>
          <w:rFonts w:cs="Times New Roman"/>
        </w:rPr>
        <w:footnoteReference w:id="97"/>
      </w:r>
      <w:r w:rsidRPr="008102E6">
        <w:rPr>
          <w:rFonts w:cs="Times New Roman"/>
        </w:rPr>
        <w:t xml:space="preserve"> </w:t>
      </w:r>
      <w:r>
        <w:rPr>
          <w:rFonts w:cs="Times New Roman"/>
        </w:rPr>
        <w:t>From them, one can conclude that</w:t>
      </w:r>
      <w:r w:rsidRPr="008102E6">
        <w:rPr>
          <w:rFonts w:cs="Times New Roman"/>
        </w:rPr>
        <w:t xml:space="preserve"> the law of negligence has a conceptually coherent structure that can be reduced to a single question</w:t>
      </w:r>
      <w:r>
        <w:rPr>
          <w:rFonts w:cs="Times New Roman"/>
        </w:rPr>
        <w:t>, which Beeer calls the “principled approach”: “</w:t>
      </w:r>
      <w:r w:rsidRPr="008102E6">
        <w:rPr>
          <w:rFonts w:cs="Times New Roman"/>
        </w:rPr>
        <w:t>Did the defendant create an unreasonable risk of the claimant’s injury?</w:t>
      </w:r>
      <w:r>
        <w:rPr>
          <w:rFonts w:cs="Times New Roman"/>
        </w:rPr>
        <w:t>”</w:t>
      </w:r>
      <w:r w:rsidRPr="008102E6">
        <w:rPr>
          <w:rFonts w:cs="Times New Roman"/>
        </w:rPr>
        <w:t>.</w:t>
      </w:r>
      <w:r w:rsidRPr="008102E6">
        <w:rPr>
          <w:rStyle w:val="FootnoteReference"/>
          <w:rFonts w:cs="Times New Roman"/>
        </w:rPr>
        <w:footnoteReference w:id="98"/>
      </w:r>
      <w:r>
        <w:rPr>
          <w:rFonts w:cs="Times New Roman"/>
        </w:rPr>
        <w:t xml:space="preserve"> </w:t>
      </w:r>
    </w:p>
    <w:p w14:paraId="4ABFBDA2" w14:textId="77777777" w:rsidR="00213BB7" w:rsidRPr="008102E6" w:rsidRDefault="00213BB7" w:rsidP="0034071D">
      <w:pPr>
        <w:spacing w:line="360" w:lineRule="auto"/>
        <w:rPr>
          <w:rFonts w:cs="Times New Roman"/>
        </w:rPr>
      </w:pPr>
    </w:p>
    <w:p w14:paraId="38DAC186" w14:textId="39123846" w:rsidR="00213BB7" w:rsidRDefault="00213BB7" w:rsidP="0034071D">
      <w:pPr>
        <w:spacing w:line="360" w:lineRule="auto"/>
        <w:rPr>
          <w:rFonts w:cs="Times New Roman"/>
        </w:rPr>
      </w:pPr>
      <w:r w:rsidRPr="008102E6">
        <w:rPr>
          <w:rFonts w:cs="Times New Roman"/>
        </w:rPr>
        <w:t xml:space="preserve">Using this principle, </w:t>
      </w:r>
      <w:r>
        <w:rPr>
          <w:rFonts w:cs="Times New Roman"/>
        </w:rPr>
        <w:t xml:space="preserve">he believes </w:t>
      </w:r>
      <w:r w:rsidRPr="008102E6">
        <w:rPr>
          <w:rFonts w:cs="Times New Roman"/>
        </w:rPr>
        <w:t>we should then divide the case law into four different types of case:</w:t>
      </w:r>
    </w:p>
    <w:p w14:paraId="15497062" w14:textId="77777777" w:rsidR="00213BB7" w:rsidRPr="008102E6" w:rsidRDefault="00213BB7" w:rsidP="0034071D">
      <w:pPr>
        <w:spacing w:line="360" w:lineRule="auto"/>
        <w:rPr>
          <w:rFonts w:cs="Times New Roman"/>
        </w:rPr>
      </w:pPr>
    </w:p>
    <w:p w14:paraId="3B3F0B12" w14:textId="77777777" w:rsidR="00213BB7" w:rsidRPr="008102E6" w:rsidRDefault="00213BB7" w:rsidP="0034071D">
      <w:pPr>
        <w:numPr>
          <w:ilvl w:val="0"/>
          <w:numId w:val="2"/>
        </w:numPr>
        <w:spacing w:line="360" w:lineRule="auto"/>
        <w:rPr>
          <w:rFonts w:cs="Times New Roman"/>
        </w:rPr>
      </w:pPr>
      <w:r w:rsidRPr="008102E6">
        <w:rPr>
          <w:rFonts w:cs="Times New Roman"/>
        </w:rPr>
        <w:t xml:space="preserve">Central cases: These are of utmost importance to the law and the backbone of the negligence curriculum e.g. </w:t>
      </w:r>
      <w:r w:rsidRPr="008102E6">
        <w:rPr>
          <w:rFonts w:cs="Times New Roman"/>
          <w:i/>
        </w:rPr>
        <w:t>Donoghue v Stevenson</w:t>
      </w:r>
      <w:r w:rsidRPr="008102E6">
        <w:rPr>
          <w:rFonts w:cs="Times New Roman"/>
        </w:rPr>
        <w:t>.</w:t>
      </w:r>
    </w:p>
    <w:p w14:paraId="7C987FC3" w14:textId="485DE85F" w:rsidR="00213BB7" w:rsidRPr="008102E6" w:rsidRDefault="00213BB7" w:rsidP="0034071D">
      <w:pPr>
        <w:numPr>
          <w:ilvl w:val="0"/>
          <w:numId w:val="2"/>
        </w:numPr>
        <w:spacing w:line="360" w:lineRule="auto"/>
        <w:rPr>
          <w:rFonts w:cs="Times New Roman"/>
        </w:rPr>
      </w:pPr>
      <w:r w:rsidRPr="008102E6">
        <w:rPr>
          <w:rFonts w:cs="Times New Roman"/>
        </w:rPr>
        <w:lastRenderedPageBreak/>
        <w:t>Standa</w:t>
      </w:r>
      <w:r>
        <w:rPr>
          <w:rFonts w:cs="Times New Roman"/>
        </w:rPr>
        <w:t>rd cases: These are general run-of-the-</w:t>
      </w:r>
      <w:r w:rsidRPr="008102E6">
        <w:rPr>
          <w:rFonts w:cs="Times New Roman"/>
        </w:rPr>
        <w:t>mill cases that exemplify the principles of the central cases.</w:t>
      </w:r>
    </w:p>
    <w:p w14:paraId="016A4DF6" w14:textId="77777777" w:rsidR="00213BB7" w:rsidRPr="008102E6" w:rsidRDefault="00213BB7" w:rsidP="0034071D">
      <w:pPr>
        <w:numPr>
          <w:ilvl w:val="0"/>
          <w:numId w:val="2"/>
        </w:numPr>
        <w:spacing w:line="360" w:lineRule="auto"/>
        <w:rPr>
          <w:rFonts w:cs="Times New Roman"/>
        </w:rPr>
      </w:pPr>
      <w:r w:rsidRPr="008102E6">
        <w:rPr>
          <w:rFonts w:cs="Times New Roman"/>
        </w:rPr>
        <w:t xml:space="preserve">Controversial cases: These are consistent with other existing case law but appear to jar with the general law in some way. </w:t>
      </w:r>
    </w:p>
    <w:p w14:paraId="663D7C0E" w14:textId="77777777" w:rsidR="00213BB7" w:rsidRPr="008102E6" w:rsidRDefault="00213BB7" w:rsidP="0034071D">
      <w:pPr>
        <w:numPr>
          <w:ilvl w:val="0"/>
          <w:numId w:val="2"/>
        </w:numPr>
        <w:spacing w:line="360" w:lineRule="auto"/>
        <w:rPr>
          <w:rFonts w:cs="Times New Roman"/>
        </w:rPr>
      </w:pPr>
      <w:r w:rsidRPr="008102E6">
        <w:rPr>
          <w:rFonts w:cs="Times New Roman"/>
        </w:rPr>
        <w:t>Divisive cases: These are inconsistent with other cases. An example would be the divergent common law on pure economic loss caused by defective buildings.</w:t>
      </w:r>
      <w:r w:rsidRPr="008102E6">
        <w:rPr>
          <w:rStyle w:val="FootnoteReference"/>
          <w:rFonts w:cs="Times New Roman"/>
        </w:rPr>
        <w:footnoteReference w:id="99"/>
      </w:r>
      <w:r w:rsidRPr="008102E6">
        <w:rPr>
          <w:rFonts w:cs="Times New Roman"/>
        </w:rPr>
        <w:t xml:space="preserve"> </w:t>
      </w:r>
    </w:p>
    <w:p w14:paraId="5FCD0CF0" w14:textId="77777777" w:rsidR="00213BB7" w:rsidRPr="008102E6" w:rsidRDefault="00213BB7" w:rsidP="0034071D">
      <w:pPr>
        <w:spacing w:line="360" w:lineRule="auto"/>
        <w:rPr>
          <w:rFonts w:cs="Times New Roman"/>
        </w:rPr>
      </w:pPr>
    </w:p>
    <w:p w14:paraId="58762F0C" w14:textId="4223551F" w:rsidR="00213BB7" w:rsidRPr="008102E6" w:rsidRDefault="00213BB7" w:rsidP="0034071D">
      <w:pPr>
        <w:spacing w:line="360" w:lineRule="auto"/>
        <w:rPr>
          <w:rFonts w:cs="Times New Roman"/>
        </w:rPr>
      </w:pPr>
      <w:r w:rsidRPr="008102E6">
        <w:rPr>
          <w:rFonts w:cs="Times New Roman"/>
        </w:rPr>
        <w:t>A concern with</w:t>
      </w:r>
      <w:r>
        <w:rPr>
          <w:rFonts w:cs="Times New Roman"/>
        </w:rPr>
        <w:t xml:space="preserve"> fit does not mean trying to explain</w:t>
      </w:r>
      <w:r w:rsidRPr="008102E6">
        <w:rPr>
          <w:rFonts w:cs="Times New Roman"/>
        </w:rPr>
        <w:t xml:space="preserve"> all of the cases. </w:t>
      </w:r>
      <w:r>
        <w:rPr>
          <w:rFonts w:cs="Times New Roman"/>
        </w:rPr>
        <w:t>For</w:t>
      </w:r>
      <w:r w:rsidRPr="008102E6">
        <w:rPr>
          <w:rFonts w:cs="Times New Roman"/>
        </w:rPr>
        <w:t xml:space="preserve"> Beever, it is more important to fit the central cases than the standard cases; the standard than the controversial; and the controversial than the divisive. </w:t>
      </w:r>
      <w:r>
        <w:rPr>
          <w:rFonts w:cs="Times New Roman"/>
        </w:rPr>
        <w:t>Emerging from this analysis is the conclusion that</w:t>
      </w:r>
      <w:r w:rsidRPr="008102E6">
        <w:rPr>
          <w:rFonts w:cs="Times New Roman"/>
        </w:rPr>
        <w:t xml:space="preserve"> corrective justice </w:t>
      </w:r>
      <w:r>
        <w:rPr>
          <w:rFonts w:cs="Times New Roman"/>
        </w:rPr>
        <w:t>“</w:t>
      </w:r>
      <w:r w:rsidRPr="008102E6">
        <w:rPr>
          <w:rFonts w:cs="Times New Roman"/>
        </w:rPr>
        <w:t>completely satisfies fit and transparency with respect</w:t>
      </w:r>
      <w:r>
        <w:rPr>
          <w:rFonts w:cs="Times New Roman"/>
        </w:rPr>
        <w:t xml:space="preserve"> to the central cases”</w:t>
      </w:r>
      <w:r w:rsidRPr="008102E6">
        <w:rPr>
          <w:rFonts w:cs="Times New Roman"/>
        </w:rPr>
        <w:t>.</w:t>
      </w:r>
      <w:r w:rsidRPr="008102E6">
        <w:rPr>
          <w:rStyle w:val="FootnoteReference"/>
          <w:rFonts w:cs="Times New Roman"/>
        </w:rPr>
        <w:footnoteReference w:id="100"/>
      </w:r>
      <w:r w:rsidRPr="008102E6">
        <w:rPr>
          <w:rFonts w:cs="Times New Roman"/>
        </w:rPr>
        <w:t xml:space="preserve"> It does the same with most of the standard cases but transparency must be discarded with some of those.</w:t>
      </w:r>
      <w:r w:rsidRPr="008102E6">
        <w:rPr>
          <w:rStyle w:val="FootnoteReference"/>
          <w:rFonts w:cs="Times New Roman"/>
        </w:rPr>
        <w:footnoteReference w:id="101"/>
      </w:r>
      <w:r w:rsidRPr="008102E6">
        <w:rPr>
          <w:rFonts w:cs="Times New Roman"/>
        </w:rPr>
        <w:t xml:space="preserve"> He acknowledges that the theory is inconsistent with some controversial and divisive </w:t>
      </w:r>
      <w:r>
        <w:rPr>
          <w:rFonts w:cs="Times New Roman"/>
        </w:rPr>
        <w:t xml:space="preserve">cases </w:t>
      </w:r>
      <w:r w:rsidRPr="008102E6">
        <w:rPr>
          <w:rFonts w:cs="Times New Roman"/>
        </w:rPr>
        <w:t>in terms of fit and transparency.</w:t>
      </w:r>
      <w:r w:rsidRPr="008102E6">
        <w:rPr>
          <w:rStyle w:val="FootnoteReference"/>
          <w:rFonts w:cs="Times New Roman"/>
        </w:rPr>
        <w:footnoteReference w:id="102"/>
      </w:r>
      <w:r w:rsidRPr="008102E6">
        <w:rPr>
          <w:rFonts w:cs="Times New Roman"/>
        </w:rPr>
        <w:t xml:space="preserve"> </w:t>
      </w:r>
    </w:p>
    <w:p w14:paraId="64439960" w14:textId="77777777" w:rsidR="00213BB7" w:rsidRPr="008102E6" w:rsidRDefault="00213BB7" w:rsidP="0034071D">
      <w:pPr>
        <w:spacing w:line="360" w:lineRule="auto"/>
        <w:rPr>
          <w:rFonts w:cs="Times New Roman"/>
        </w:rPr>
      </w:pPr>
    </w:p>
    <w:p w14:paraId="105FD6F6" w14:textId="276F6639" w:rsidR="00213BB7" w:rsidRPr="008102E6" w:rsidRDefault="00213BB7" w:rsidP="0034071D">
      <w:pPr>
        <w:spacing w:line="360" w:lineRule="auto"/>
        <w:rPr>
          <w:rFonts w:cs="Times New Roman"/>
        </w:rPr>
      </w:pPr>
      <w:r w:rsidRPr="008102E6">
        <w:rPr>
          <w:rFonts w:cs="Times New Roman"/>
        </w:rPr>
        <w:t xml:space="preserve">How are we to determine which cases fall within each category? Beever believes the only answer is to use the reflective equilibrium: </w:t>
      </w:r>
      <w:r>
        <w:rPr>
          <w:rFonts w:cs="Times New Roman"/>
        </w:rPr>
        <w:t>“</w:t>
      </w:r>
      <w:r w:rsidRPr="008102E6">
        <w:rPr>
          <w:rFonts w:cs="Times New Roman"/>
        </w:rPr>
        <w:t>one can tell which cases are central only by examining both one’s intuitions and one’s theory.</w:t>
      </w:r>
      <w:r>
        <w:rPr>
          <w:rFonts w:cs="Times New Roman"/>
        </w:rPr>
        <w:t>”</w:t>
      </w:r>
      <w:r w:rsidRPr="008102E6">
        <w:rPr>
          <w:rFonts w:cs="Times New Roman"/>
          <w:vertAlign w:val="superscript"/>
        </w:rPr>
        <w:footnoteReference w:id="103"/>
      </w:r>
    </w:p>
    <w:p w14:paraId="47C66219" w14:textId="77777777" w:rsidR="00213BB7" w:rsidRDefault="00213BB7" w:rsidP="0034071D">
      <w:pPr>
        <w:spacing w:line="360" w:lineRule="auto"/>
        <w:rPr>
          <w:rFonts w:cs="Times New Roman"/>
        </w:rPr>
      </w:pPr>
    </w:p>
    <w:p w14:paraId="659F4B46" w14:textId="77777777" w:rsidR="00213BB7" w:rsidRDefault="00213BB7" w:rsidP="00730387">
      <w:pPr>
        <w:spacing w:line="360" w:lineRule="auto"/>
        <w:rPr>
          <w:rFonts w:cs="Times New Roman"/>
        </w:rPr>
      </w:pPr>
      <w:r w:rsidRPr="008102E6">
        <w:rPr>
          <w:rFonts w:cs="Times New Roman"/>
        </w:rPr>
        <w:t>He then concludes:</w:t>
      </w:r>
    </w:p>
    <w:p w14:paraId="2B17ACF9" w14:textId="77777777" w:rsidR="00213BB7" w:rsidRPr="008102E6" w:rsidRDefault="00213BB7" w:rsidP="00730387">
      <w:pPr>
        <w:spacing w:line="360" w:lineRule="auto"/>
        <w:rPr>
          <w:rFonts w:cs="Times New Roman"/>
        </w:rPr>
      </w:pPr>
    </w:p>
    <w:p w14:paraId="46539F8D" w14:textId="08FBB393" w:rsidR="00213BB7" w:rsidRPr="008102E6" w:rsidRDefault="00213BB7" w:rsidP="00730387">
      <w:pPr>
        <w:spacing w:line="360" w:lineRule="auto"/>
        <w:ind w:left="567" w:right="567"/>
        <w:rPr>
          <w:rFonts w:cs="Times New Roman"/>
        </w:rPr>
      </w:pPr>
      <w:r>
        <w:rPr>
          <w:rFonts w:cs="Times New Roman"/>
        </w:rPr>
        <w:t>“</w:t>
      </w:r>
      <w:r w:rsidRPr="008102E6">
        <w:rPr>
          <w:rFonts w:cs="Times New Roman"/>
        </w:rPr>
        <w:t>Although it does not fit everything, the theory advanced here both is highly unified and captures the vast majority of the case law; so much so in fact that— though the theory will of course require improvement—it would be surprising if the theory were on the wrong track. Instead, it must represent a leap forward in our understanding of the law. Or, rather, a very welcome leap backwards.</w:t>
      </w:r>
      <w:r>
        <w:rPr>
          <w:rFonts w:cs="Times New Roman"/>
        </w:rPr>
        <w:t>”</w:t>
      </w:r>
      <w:r w:rsidRPr="008102E6">
        <w:rPr>
          <w:rFonts w:cs="Times New Roman"/>
          <w:vertAlign w:val="superscript"/>
        </w:rPr>
        <w:footnoteReference w:id="104"/>
      </w:r>
    </w:p>
    <w:p w14:paraId="112222D7" w14:textId="77777777" w:rsidR="00213BB7" w:rsidRPr="008102E6" w:rsidRDefault="00213BB7" w:rsidP="0034071D">
      <w:pPr>
        <w:spacing w:line="360" w:lineRule="auto"/>
        <w:rPr>
          <w:rFonts w:cs="Times New Roman"/>
        </w:rPr>
      </w:pPr>
    </w:p>
    <w:p w14:paraId="452801E0" w14:textId="7DA0A9AD" w:rsidR="00213BB7" w:rsidRPr="00AC2C6C" w:rsidRDefault="00213BB7" w:rsidP="0034071D">
      <w:pPr>
        <w:spacing w:line="360" w:lineRule="auto"/>
        <w:rPr>
          <w:rFonts w:cs="Times New Roman"/>
        </w:rPr>
      </w:pPr>
      <w:r>
        <w:rPr>
          <w:rFonts w:cs="Times New Roman"/>
        </w:rPr>
        <w:lastRenderedPageBreak/>
        <w:t>Any surprise might be diminished once the flawed manoeuvres in Beever’s argument are uncovered.</w:t>
      </w:r>
      <w:r w:rsidRPr="008102E6">
        <w:rPr>
          <w:rFonts w:cs="Times New Roman"/>
        </w:rPr>
        <w:t xml:space="preserve"> </w:t>
      </w:r>
      <w:r>
        <w:rPr>
          <w:rFonts w:cs="Times New Roman"/>
        </w:rPr>
        <w:t>He</w:t>
      </w:r>
      <w:r w:rsidRPr="008102E6">
        <w:rPr>
          <w:rFonts w:cs="Times New Roman"/>
        </w:rPr>
        <w:t xml:space="preserve"> starts</w:t>
      </w:r>
      <w:r>
        <w:rPr>
          <w:rFonts w:cs="Times New Roman"/>
        </w:rPr>
        <w:t xml:space="preserve"> with</w:t>
      </w:r>
      <w:r w:rsidRPr="008102E6">
        <w:rPr>
          <w:rFonts w:cs="Times New Roman"/>
        </w:rPr>
        <w:t xml:space="preserve"> a list of the </w:t>
      </w:r>
      <w:r>
        <w:rPr>
          <w:rFonts w:cs="Times New Roman"/>
        </w:rPr>
        <w:t>“</w:t>
      </w:r>
      <w:r w:rsidRPr="008102E6">
        <w:rPr>
          <w:rFonts w:cs="Times New Roman"/>
        </w:rPr>
        <w:t>central</w:t>
      </w:r>
      <w:r>
        <w:rPr>
          <w:rFonts w:cs="Times New Roman"/>
        </w:rPr>
        <w:t>”</w:t>
      </w:r>
      <w:r w:rsidRPr="008102E6">
        <w:rPr>
          <w:rFonts w:cs="Times New Roman"/>
        </w:rPr>
        <w:t xml:space="preserve"> cases </w:t>
      </w:r>
      <w:r>
        <w:rPr>
          <w:rFonts w:cs="Times New Roman"/>
        </w:rPr>
        <w:t xml:space="preserve">to develop the theory. But the </w:t>
      </w:r>
      <w:r w:rsidRPr="008102E6">
        <w:rPr>
          <w:rFonts w:cs="Times New Roman"/>
        </w:rPr>
        <w:t xml:space="preserve">central cases are also decided </w:t>
      </w:r>
      <w:r w:rsidRPr="00730387">
        <w:rPr>
          <w:rFonts w:cs="Times New Roman"/>
          <w:i/>
        </w:rPr>
        <w:t>by</w:t>
      </w:r>
      <w:r w:rsidRPr="008102E6">
        <w:rPr>
          <w:rFonts w:cs="Times New Roman"/>
        </w:rPr>
        <w:t xml:space="preserve"> the theory. </w:t>
      </w:r>
      <w:r>
        <w:rPr>
          <w:rFonts w:cs="Times New Roman"/>
        </w:rPr>
        <w:t xml:space="preserve">No other reasons are given for his choice, such as precedential value or citations in subsequent cases. </w:t>
      </w:r>
      <w:r w:rsidRPr="008102E6">
        <w:rPr>
          <w:rFonts w:cs="Times New Roman"/>
        </w:rPr>
        <w:t>Looming over Beever’s edifice</w:t>
      </w:r>
      <w:r>
        <w:rPr>
          <w:rFonts w:cs="Times New Roman"/>
        </w:rPr>
        <w:t xml:space="preserve"> is the</w:t>
      </w:r>
      <w:r w:rsidRPr="008102E6">
        <w:rPr>
          <w:rFonts w:cs="Times New Roman"/>
        </w:rPr>
        <w:t xml:space="preserve"> fact that his theory is question-begging. A question-begging argument is one where the premises are contained in the conclusion. An example would be the following argument for the existence of God: </w:t>
      </w:r>
      <w:r>
        <w:rPr>
          <w:rFonts w:cs="Times New Roman"/>
        </w:rPr>
        <w:t>“</w:t>
      </w:r>
      <w:r w:rsidRPr="008102E6">
        <w:rPr>
          <w:rFonts w:cs="Times New Roman"/>
        </w:rPr>
        <w:t>God is real because the Bible says so and the Bible is the word of God</w:t>
      </w:r>
      <w:r>
        <w:rPr>
          <w:rFonts w:cs="Times New Roman"/>
        </w:rPr>
        <w:t>”</w:t>
      </w:r>
      <w:r w:rsidRPr="008102E6">
        <w:rPr>
          <w:rFonts w:cs="Times New Roman"/>
        </w:rPr>
        <w:t>. It would not be inaccurate to summarise Beever’s interpretive argument</w:t>
      </w:r>
      <w:r>
        <w:rPr>
          <w:rFonts w:cs="Times New Roman"/>
        </w:rPr>
        <w:t xml:space="preserve"> here as “C</w:t>
      </w:r>
      <w:r w:rsidRPr="008102E6">
        <w:rPr>
          <w:rFonts w:cs="Times New Roman"/>
        </w:rPr>
        <w:t xml:space="preserve">orrective justice is correct because it is explains the </w:t>
      </w:r>
      <w:r>
        <w:rPr>
          <w:rFonts w:cs="Times New Roman"/>
        </w:rPr>
        <w:t>central</w:t>
      </w:r>
      <w:r w:rsidRPr="008102E6">
        <w:rPr>
          <w:rFonts w:cs="Times New Roman"/>
        </w:rPr>
        <w:t xml:space="preserve"> cases and these are </w:t>
      </w:r>
      <w:r>
        <w:rPr>
          <w:rFonts w:cs="Times New Roman"/>
        </w:rPr>
        <w:t xml:space="preserve">central </w:t>
      </w:r>
      <w:r w:rsidRPr="008102E6">
        <w:rPr>
          <w:rFonts w:cs="Times New Roman"/>
        </w:rPr>
        <w:t>cases because they instantiate pri</w:t>
      </w:r>
      <w:r>
        <w:rPr>
          <w:rFonts w:cs="Times New Roman"/>
        </w:rPr>
        <w:t xml:space="preserve">nciples of corrective justice.” The choice of cases is arbitrary and appears rigged towards proving a conclusion that reflects Beever’s gut feelings. It is the equivalent of deriving a theory of film from only </w:t>
      </w:r>
      <w:r>
        <w:rPr>
          <w:rFonts w:cs="Times New Roman"/>
          <w:i/>
        </w:rPr>
        <w:t xml:space="preserve">The Godfather, The Godfather Part II, Scarface, Goodfellas </w:t>
      </w:r>
      <w:r>
        <w:rPr>
          <w:rFonts w:cs="Times New Roman"/>
        </w:rPr>
        <w:t xml:space="preserve">and </w:t>
      </w:r>
      <w:r>
        <w:rPr>
          <w:rFonts w:cs="Times New Roman"/>
          <w:i/>
        </w:rPr>
        <w:t>Casino</w:t>
      </w:r>
      <w:r>
        <w:rPr>
          <w:rFonts w:cs="Times New Roman"/>
        </w:rPr>
        <w:t xml:space="preserve"> and then declaring everything from </w:t>
      </w:r>
      <w:r>
        <w:rPr>
          <w:rFonts w:cs="Times New Roman"/>
          <w:i/>
        </w:rPr>
        <w:t xml:space="preserve">The Wizard of Oz </w:t>
      </w:r>
      <w:r>
        <w:rPr>
          <w:rFonts w:cs="Times New Roman"/>
        </w:rPr>
        <w:t xml:space="preserve">to </w:t>
      </w:r>
      <w:r>
        <w:rPr>
          <w:rFonts w:cs="Times New Roman"/>
          <w:i/>
        </w:rPr>
        <w:t>Schindler’s List</w:t>
      </w:r>
      <w:r>
        <w:rPr>
          <w:rFonts w:cs="Times New Roman"/>
        </w:rPr>
        <w:t xml:space="preserve"> to be fundamentally flawed for not featuring gangsters. </w:t>
      </w:r>
    </w:p>
    <w:p w14:paraId="58963A5E" w14:textId="77777777" w:rsidR="00213BB7" w:rsidRDefault="00213BB7" w:rsidP="0034071D">
      <w:pPr>
        <w:spacing w:line="360" w:lineRule="auto"/>
        <w:rPr>
          <w:rFonts w:cs="Times New Roman"/>
        </w:rPr>
      </w:pPr>
    </w:p>
    <w:p w14:paraId="164A09EF" w14:textId="77777777" w:rsidR="00213BB7" w:rsidRPr="006D76A3" w:rsidRDefault="00213BB7" w:rsidP="0008027B">
      <w:pPr>
        <w:spacing w:line="360" w:lineRule="auto"/>
        <w:jc w:val="center"/>
        <w:outlineLvl w:val="0"/>
        <w:rPr>
          <w:rFonts w:cs="Times New Roman"/>
          <w:b/>
        </w:rPr>
      </w:pPr>
      <w:r>
        <w:rPr>
          <w:rFonts w:cs="Times New Roman"/>
          <w:b/>
        </w:rPr>
        <w:t>Leading Cases: A Consequentialist Alternative</w:t>
      </w:r>
    </w:p>
    <w:p w14:paraId="316BCAE0" w14:textId="77777777" w:rsidR="00213BB7" w:rsidRPr="008102E6" w:rsidRDefault="00213BB7" w:rsidP="0034071D">
      <w:pPr>
        <w:spacing w:line="360" w:lineRule="auto"/>
        <w:rPr>
          <w:rFonts w:cs="Times New Roman"/>
        </w:rPr>
      </w:pPr>
    </w:p>
    <w:p w14:paraId="0F52BDEF" w14:textId="77777777" w:rsidR="00213BB7" w:rsidRPr="008102E6" w:rsidRDefault="00213BB7" w:rsidP="0034071D">
      <w:pPr>
        <w:spacing w:line="360" w:lineRule="auto"/>
        <w:rPr>
          <w:rFonts w:cs="Times New Roman"/>
        </w:rPr>
      </w:pPr>
      <w:r>
        <w:rPr>
          <w:rFonts w:cs="Times New Roman"/>
        </w:rPr>
        <w:t>Let us consider whether this interpretive methodology</w:t>
      </w:r>
      <w:r w:rsidRPr="008102E6">
        <w:rPr>
          <w:rFonts w:cs="Times New Roman"/>
        </w:rPr>
        <w:t xml:space="preserve"> could be used to defend a more consequentialist account of tort law where policy reasoning plays some, albeit limited</w:t>
      </w:r>
      <w:r>
        <w:rPr>
          <w:rFonts w:cs="Times New Roman"/>
        </w:rPr>
        <w:t>,</w:t>
      </w:r>
      <w:r w:rsidRPr="008102E6">
        <w:rPr>
          <w:rFonts w:cs="Times New Roman"/>
        </w:rPr>
        <w:t xml:space="preserve"> role in the adjudication of negligence disputes.</w:t>
      </w:r>
      <w:r w:rsidRPr="008102E6">
        <w:rPr>
          <w:rStyle w:val="FootnoteReference"/>
          <w:rFonts w:cs="Times New Roman"/>
        </w:rPr>
        <w:footnoteReference w:id="105"/>
      </w:r>
    </w:p>
    <w:p w14:paraId="744D2308" w14:textId="77777777" w:rsidR="00213BB7" w:rsidRPr="008102E6" w:rsidRDefault="00213BB7" w:rsidP="0034071D">
      <w:pPr>
        <w:spacing w:line="360" w:lineRule="auto"/>
        <w:rPr>
          <w:rFonts w:cs="Times New Roman"/>
        </w:rPr>
      </w:pPr>
    </w:p>
    <w:p w14:paraId="4E45E65D" w14:textId="1671CDF1" w:rsidR="00213BB7" w:rsidRDefault="00213BB7" w:rsidP="0034071D">
      <w:pPr>
        <w:spacing w:line="360" w:lineRule="auto"/>
        <w:rPr>
          <w:rFonts w:cs="Times New Roman"/>
        </w:rPr>
      </w:pPr>
      <w:r w:rsidRPr="008102E6">
        <w:rPr>
          <w:rFonts w:cs="Times New Roman"/>
        </w:rPr>
        <w:t xml:space="preserve">If someone wanted to defend an </w:t>
      </w:r>
      <w:r>
        <w:rPr>
          <w:rFonts w:cs="Times New Roman"/>
        </w:rPr>
        <w:t xml:space="preserve">account of negligence holding </w:t>
      </w:r>
      <w:r w:rsidRPr="008102E6">
        <w:rPr>
          <w:rFonts w:cs="Times New Roman"/>
        </w:rPr>
        <w:t xml:space="preserve">that judges normally follow precedent and principle but </w:t>
      </w:r>
      <w:r>
        <w:rPr>
          <w:rFonts w:cs="Times New Roman"/>
        </w:rPr>
        <w:t xml:space="preserve">with licence (where it was considered apt) to invoke </w:t>
      </w:r>
      <w:r w:rsidRPr="008102E6">
        <w:rPr>
          <w:rFonts w:cs="Times New Roman"/>
        </w:rPr>
        <w:t xml:space="preserve">policy </w:t>
      </w:r>
      <w:r>
        <w:rPr>
          <w:rFonts w:cs="Times New Roman"/>
        </w:rPr>
        <w:t>considerations</w:t>
      </w:r>
      <w:r w:rsidRPr="008102E6">
        <w:rPr>
          <w:rFonts w:cs="Times New Roman"/>
        </w:rPr>
        <w:t xml:space="preserve">, they may come up with five leading cases where judges have done this. </w:t>
      </w:r>
      <w:r>
        <w:rPr>
          <w:rFonts w:cs="Times New Roman"/>
        </w:rPr>
        <w:t xml:space="preserve">Consider </w:t>
      </w:r>
      <w:r w:rsidRPr="008102E6">
        <w:rPr>
          <w:rFonts w:cs="Times New Roman"/>
        </w:rPr>
        <w:t>the following as examples:</w:t>
      </w:r>
    </w:p>
    <w:p w14:paraId="099431DC" w14:textId="77777777" w:rsidR="00213BB7" w:rsidRPr="008102E6" w:rsidRDefault="00213BB7" w:rsidP="0034071D">
      <w:pPr>
        <w:spacing w:line="360" w:lineRule="auto"/>
        <w:rPr>
          <w:rFonts w:cs="Times New Roman"/>
        </w:rPr>
      </w:pPr>
    </w:p>
    <w:p w14:paraId="6AA34C62" w14:textId="77777777" w:rsidR="00213BB7" w:rsidRPr="00B8431D" w:rsidRDefault="00213BB7" w:rsidP="00682BF8">
      <w:pPr>
        <w:pStyle w:val="ListParagraph"/>
        <w:numPr>
          <w:ilvl w:val="0"/>
          <w:numId w:val="8"/>
        </w:numPr>
        <w:spacing w:line="360" w:lineRule="auto"/>
        <w:rPr>
          <w:rFonts w:cs="Times New Roman"/>
        </w:rPr>
      </w:pPr>
      <w:r w:rsidRPr="008102E6">
        <w:rPr>
          <w:rFonts w:cs="Times New Roman"/>
          <w:i/>
        </w:rPr>
        <w:t>Robinson v Chief Constable of South Yorkshire Police.</w:t>
      </w:r>
      <w:r w:rsidRPr="008102E6">
        <w:rPr>
          <w:rStyle w:val="FootnoteReference"/>
          <w:rFonts w:cs="Times New Roman"/>
        </w:rPr>
        <w:footnoteReference w:id="106"/>
      </w:r>
    </w:p>
    <w:p w14:paraId="15B63A33" w14:textId="4DF8C4D3" w:rsidR="00213BB7" w:rsidRPr="008102E6" w:rsidRDefault="00213BB7" w:rsidP="00682BF8">
      <w:pPr>
        <w:pStyle w:val="ListParagraph"/>
        <w:numPr>
          <w:ilvl w:val="0"/>
          <w:numId w:val="8"/>
        </w:numPr>
        <w:spacing w:line="360" w:lineRule="auto"/>
        <w:rPr>
          <w:rFonts w:cs="Times New Roman"/>
        </w:rPr>
      </w:pPr>
      <w:r>
        <w:rPr>
          <w:rFonts w:cs="Times New Roman"/>
          <w:i/>
        </w:rPr>
        <w:t>Alcock v Chief Constable of South Yorkshire Police.</w:t>
      </w:r>
      <w:r w:rsidRPr="004E4EE0">
        <w:rPr>
          <w:rStyle w:val="FootnoteReference"/>
          <w:rFonts w:cs="Times New Roman"/>
        </w:rPr>
        <w:footnoteReference w:id="107"/>
      </w:r>
    </w:p>
    <w:p w14:paraId="0AE36DE7" w14:textId="77777777" w:rsidR="00213BB7" w:rsidRPr="008102E6" w:rsidRDefault="00213BB7" w:rsidP="00682BF8">
      <w:pPr>
        <w:pStyle w:val="ListParagraph"/>
        <w:numPr>
          <w:ilvl w:val="0"/>
          <w:numId w:val="8"/>
        </w:numPr>
        <w:spacing w:line="360" w:lineRule="auto"/>
        <w:rPr>
          <w:rFonts w:cs="Times New Roman"/>
        </w:rPr>
      </w:pPr>
      <w:r w:rsidRPr="008102E6">
        <w:rPr>
          <w:rFonts w:cs="Times New Roman"/>
          <w:i/>
        </w:rPr>
        <w:t>Tomlinson v Congleton BC.</w:t>
      </w:r>
      <w:r w:rsidRPr="008102E6">
        <w:rPr>
          <w:rStyle w:val="FootnoteReference"/>
          <w:rFonts w:cs="Times New Roman"/>
        </w:rPr>
        <w:footnoteReference w:id="108"/>
      </w:r>
    </w:p>
    <w:p w14:paraId="51FBF34F" w14:textId="77777777" w:rsidR="00213BB7" w:rsidRPr="008102E6" w:rsidRDefault="00213BB7" w:rsidP="00682BF8">
      <w:pPr>
        <w:pStyle w:val="ListParagraph"/>
        <w:numPr>
          <w:ilvl w:val="0"/>
          <w:numId w:val="8"/>
        </w:numPr>
        <w:spacing w:line="360" w:lineRule="auto"/>
        <w:rPr>
          <w:rFonts w:cs="Times New Roman"/>
        </w:rPr>
      </w:pPr>
      <w:r w:rsidRPr="008102E6">
        <w:rPr>
          <w:rFonts w:cs="Times New Roman"/>
          <w:i/>
        </w:rPr>
        <w:lastRenderedPageBreak/>
        <w:t>Fairchild v Glenhaven Funeral Services Ltd.</w:t>
      </w:r>
      <w:r w:rsidRPr="008102E6">
        <w:rPr>
          <w:rStyle w:val="FootnoteReference"/>
          <w:rFonts w:cs="Times New Roman"/>
        </w:rPr>
        <w:footnoteReference w:id="109"/>
      </w:r>
      <w:r w:rsidRPr="008102E6">
        <w:rPr>
          <w:rFonts w:cs="Times New Roman"/>
        </w:rPr>
        <w:t xml:space="preserve"> </w:t>
      </w:r>
    </w:p>
    <w:p w14:paraId="49B206F9" w14:textId="77777777" w:rsidR="00213BB7" w:rsidRPr="008102E6" w:rsidRDefault="00213BB7" w:rsidP="00682BF8">
      <w:pPr>
        <w:pStyle w:val="ListParagraph"/>
        <w:numPr>
          <w:ilvl w:val="0"/>
          <w:numId w:val="8"/>
        </w:numPr>
        <w:spacing w:line="360" w:lineRule="auto"/>
        <w:rPr>
          <w:rFonts w:cs="Times New Roman"/>
        </w:rPr>
      </w:pPr>
      <w:r w:rsidRPr="008102E6">
        <w:rPr>
          <w:rFonts w:cs="Times New Roman"/>
          <w:i/>
        </w:rPr>
        <w:t>Henderson v Dorset Healthcare University NHS Foundation Trust.</w:t>
      </w:r>
      <w:r w:rsidRPr="008102E6">
        <w:rPr>
          <w:rStyle w:val="FootnoteReference"/>
          <w:rFonts w:cs="Times New Roman"/>
        </w:rPr>
        <w:footnoteReference w:id="110"/>
      </w:r>
    </w:p>
    <w:p w14:paraId="4DC2602A" w14:textId="77777777" w:rsidR="00213BB7" w:rsidRPr="008102E6" w:rsidRDefault="00213BB7" w:rsidP="0034071D">
      <w:pPr>
        <w:spacing w:line="360" w:lineRule="auto"/>
        <w:rPr>
          <w:rFonts w:cs="Times New Roman"/>
        </w:rPr>
      </w:pPr>
    </w:p>
    <w:p w14:paraId="34EFFFB4" w14:textId="2B5196DC" w:rsidR="00213BB7" w:rsidRPr="008102E6" w:rsidRDefault="00213BB7" w:rsidP="0034071D">
      <w:pPr>
        <w:spacing w:line="360" w:lineRule="auto"/>
        <w:rPr>
          <w:rFonts w:cs="Times New Roman"/>
        </w:rPr>
      </w:pPr>
      <w:r w:rsidRPr="008102E6">
        <w:rPr>
          <w:rFonts w:cs="Times New Roman"/>
          <w:i/>
        </w:rPr>
        <w:t>Robinson</w:t>
      </w:r>
      <w:r>
        <w:rPr>
          <w:rFonts w:cs="Times New Roman"/>
        </w:rPr>
        <w:t>,</w:t>
      </w:r>
      <w:r w:rsidRPr="008102E6">
        <w:rPr>
          <w:rFonts w:cs="Times New Roman"/>
        </w:rPr>
        <w:t xml:space="preserve"> probably the most important </w:t>
      </w:r>
      <w:r>
        <w:rPr>
          <w:rFonts w:cs="Times New Roman"/>
        </w:rPr>
        <w:t xml:space="preserve">modern case on </w:t>
      </w:r>
      <w:r w:rsidRPr="008102E6">
        <w:rPr>
          <w:rFonts w:cs="Times New Roman"/>
        </w:rPr>
        <w:t>duty of care case</w:t>
      </w:r>
      <w:r>
        <w:rPr>
          <w:rFonts w:cs="Times New Roman"/>
        </w:rPr>
        <w:t>, decided</w:t>
      </w:r>
      <w:r w:rsidRPr="008102E6">
        <w:rPr>
          <w:rFonts w:cs="Times New Roman"/>
        </w:rPr>
        <w:t xml:space="preserve"> that the police will normally owe a duty of care </w:t>
      </w:r>
      <w:r>
        <w:rPr>
          <w:rFonts w:cs="Times New Roman"/>
        </w:rPr>
        <w:t>to avoid</w:t>
      </w:r>
      <w:r w:rsidRPr="008102E6">
        <w:rPr>
          <w:rFonts w:cs="Times New Roman"/>
        </w:rPr>
        <w:t xml:space="preserve"> reasonably foreseeable injuries caused by their positive acts. </w:t>
      </w:r>
      <w:r>
        <w:rPr>
          <w:rFonts w:cs="Times New Roman"/>
        </w:rPr>
        <w:t xml:space="preserve">In doing so, the majority in Supreme Court emphasised </w:t>
      </w:r>
      <w:r w:rsidRPr="00E40E87">
        <w:rPr>
          <w:rFonts w:cs="Times New Roman"/>
        </w:rPr>
        <w:t>the importance of focusing on precedent and previous categories of cases,</w:t>
      </w:r>
      <w:r w:rsidR="00B40323">
        <w:rPr>
          <w:rFonts w:cs="Times New Roman"/>
        </w:rPr>
        <w:t xml:space="preserve"> but</w:t>
      </w:r>
      <w:r w:rsidRPr="00E40E87">
        <w:rPr>
          <w:rFonts w:cs="Times New Roman"/>
        </w:rPr>
        <w:t xml:space="preserve"> </w:t>
      </w:r>
      <w:r>
        <w:rPr>
          <w:rFonts w:cs="Times New Roman"/>
        </w:rPr>
        <w:t>allow</w:t>
      </w:r>
      <w:r w:rsidR="00B40323">
        <w:rPr>
          <w:rFonts w:cs="Times New Roman"/>
        </w:rPr>
        <w:t>ed</w:t>
      </w:r>
      <w:r w:rsidRPr="008102E6">
        <w:rPr>
          <w:rFonts w:cs="Times New Roman"/>
        </w:rPr>
        <w:t xml:space="preserve"> for policy reaso</w:t>
      </w:r>
      <w:r>
        <w:rPr>
          <w:rFonts w:cs="Times New Roman"/>
        </w:rPr>
        <w:t>ning to be used in novel cases</w:t>
      </w:r>
      <w:r w:rsidRPr="008102E6">
        <w:rPr>
          <w:rFonts w:cs="Times New Roman"/>
        </w:rPr>
        <w:t>.</w:t>
      </w:r>
      <w:r>
        <w:rPr>
          <w:rStyle w:val="FootnoteReference"/>
          <w:rFonts w:cs="Times New Roman"/>
        </w:rPr>
        <w:footnoteReference w:id="111"/>
      </w:r>
      <w:r w:rsidRPr="008102E6">
        <w:rPr>
          <w:rFonts w:cs="Times New Roman"/>
        </w:rPr>
        <w:t xml:space="preserve"> </w:t>
      </w:r>
    </w:p>
    <w:p w14:paraId="76316B10" w14:textId="77777777" w:rsidR="00213BB7" w:rsidRDefault="00213BB7" w:rsidP="0034071D">
      <w:pPr>
        <w:spacing w:line="360" w:lineRule="auto"/>
        <w:rPr>
          <w:rFonts w:cs="Times New Roman"/>
        </w:rPr>
      </w:pPr>
    </w:p>
    <w:p w14:paraId="60E53A60" w14:textId="52B7D922" w:rsidR="00213BB7" w:rsidRPr="00E40E87" w:rsidRDefault="00213BB7" w:rsidP="0034071D">
      <w:pPr>
        <w:spacing w:line="360" w:lineRule="auto"/>
        <w:rPr>
          <w:rFonts w:cs="Times New Roman"/>
        </w:rPr>
      </w:pPr>
      <w:r>
        <w:rPr>
          <w:rFonts w:cs="Times New Roman"/>
        </w:rPr>
        <w:t xml:space="preserve">Policy reasoning featured prominently in </w:t>
      </w:r>
      <w:r w:rsidRPr="00E40E87">
        <w:rPr>
          <w:rFonts w:cs="Times New Roman"/>
          <w:i/>
        </w:rPr>
        <w:t>Alcock</w:t>
      </w:r>
      <w:r>
        <w:rPr>
          <w:rFonts w:cs="Times New Roman"/>
        </w:rPr>
        <w:t>, with Lord Oliver opining that “</w:t>
      </w:r>
      <w:r w:rsidRPr="00672F3A">
        <w:rPr>
          <w:rFonts w:cs="Times New Roman"/>
        </w:rPr>
        <w:t>the ultimate boundaries within which claims for damages in such cases can be entertained must I think depend in the end upon considerations of policy.</w:t>
      </w:r>
      <w:r>
        <w:rPr>
          <w:rFonts w:cs="Times New Roman"/>
        </w:rPr>
        <w:t>”</w:t>
      </w:r>
      <w:r>
        <w:rPr>
          <w:rStyle w:val="FootnoteReference"/>
          <w:rFonts w:cs="Times New Roman"/>
        </w:rPr>
        <w:footnoteReference w:id="112"/>
      </w:r>
      <w:r>
        <w:rPr>
          <w:rFonts w:cs="Times New Roman"/>
        </w:rPr>
        <w:t xml:space="preserve"> Its status as a leading case is also beyond doubt.</w:t>
      </w:r>
      <w:r>
        <w:rPr>
          <w:rStyle w:val="FootnoteReference"/>
          <w:rFonts w:cs="Times New Roman"/>
        </w:rPr>
        <w:footnoteReference w:id="113"/>
      </w:r>
      <w:r>
        <w:rPr>
          <w:rFonts w:cs="Times New Roman"/>
        </w:rPr>
        <w:t xml:space="preserve"> Building on the approach of Lord Wilberforce in </w:t>
      </w:r>
      <w:r>
        <w:rPr>
          <w:rFonts w:cs="Times New Roman"/>
          <w:i/>
        </w:rPr>
        <w:t>McLoughlin v O’Brian</w:t>
      </w:r>
      <w:r>
        <w:rPr>
          <w:rFonts w:cs="Times New Roman"/>
        </w:rPr>
        <w:t>,</w:t>
      </w:r>
      <w:r w:rsidRPr="00672F3A">
        <w:rPr>
          <w:rStyle w:val="FootnoteReference"/>
          <w:rFonts w:cs="Times New Roman"/>
        </w:rPr>
        <w:footnoteReference w:id="114"/>
      </w:r>
      <w:r>
        <w:rPr>
          <w:rFonts w:cs="Times New Roman"/>
        </w:rPr>
        <w:t xml:space="preserve"> the case restricted claims for psychiatric injuries by secondary victims to those who had close ties of love and affection with the immediate victim, were in close proximity to the accident or its immediate aftermath and who suffered psychiatric injuries as a result of witnessing a sudden shocking event through their own unaided senses. </w:t>
      </w:r>
    </w:p>
    <w:p w14:paraId="14BBD46A" w14:textId="77777777" w:rsidR="00213BB7" w:rsidRPr="008102E6" w:rsidRDefault="00213BB7" w:rsidP="0034071D">
      <w:pPr>
        <w:spacing w:line="360" w:lineRule="auto"/>
        <w:rPr>
          <w:rFonts w:cs="Times New Roman"/>
          <w:i/>
        </w:rPr>
      </w:pPr>
    </w:p>
    <w:p w14:paraId="04D0A1C8" w14:textId="21FF1F6A" w:rsidR="00213BB7" w:rsidRPr="008102E6" w:rsidRDefault="00213BB7" w:rsidP="0034071D">
      <w:pPr>
        <w:spacing w:line="360" w:lineRule="auto"/>
        <w:rPr>
          <w:rFonts w:cs="Times New Roman"/>
        </w:rPr>
      </w:pPr>
      <w:r w:rsidRPr="008102E6">
        <w:rPr>
          <w:rFonts w:cs="Times New Roman"/>
          <w:i/>
        </w:rPr>
        <w:t>Tomlinson</w:t>
      </w:r>
      <w:r w:rsidRPr="008102E6">
        <w:rPr>
          <w:rFonts w:cs="Times New Roman"/>
        </w:rPr>
        <w:t xml:space="preserve"> is a</w:t>
      </w:r>
      <w:r>
        <w:rPr>
          <w:rFonts w:cs="Times New Roman"/>
        </w:rPr>
        <w:t>n important</w:t>
      </w:r>
      <w:r w:rsidRPr="008102E6">
        <w:rPr>
          <w:rFonts w:cs="Times New Roman"/>
        </w:rPr>
        <w:t xml:space="preserve"> case on occupiers’ liability but it is also significant for Lord Hoffmann’s distillation of the approach to breach of duty across </w:t>
      </w:r>
      <w:r>
        <w:rPr>
          <w:rFonts w:cs="Times New Roman"/>
        </w:rPr>
        <w:t xml:space="preserve">the law of </w:t>
      </w:r>
      <w:r w:rsidRPr="008102E6">
        <w:rPr>
          <w:rFonts w:cs="Times New Roman"/>
        </w:rPr>
        <w:t xml:space="preserve">negligence. </w:t>
      </w:r>
      <w:r>
        <w:rPr>
          <w:rFonts w:cs="Times New Roman"/>
        </w:rPr>
        <w:t>He</w:t>
      </w:r>
      <w:r w:rsidRPr="008102E6">
        <w:rPr>
          <w:rFonts w:cs="Times New Roman"/>
        </w:rPr>
        <w:t xml:space="preserve"> held that the reasonable person would weigh not only </w:t>
      </w:r>
      <w:r>
        <w:rPr>
          <w:rFonts w:cs="Times New Roman"/>
        </w:rPr>
        <w:t xml:space="preserve">the </w:t>
      </w:r>
      <w:r w:rsidRPr="008102E6">
        <w:rPr>
          <w:rFonts w:cs="Times New Roman"/>
        </w:rPr>
        <w:t xml:space="preserve">probability of injury, </w:t>
      </w:r>
      <w:r w:rsidRPr="00A25E02">
        <w:rPr>
          <w:rFonts w:cs="Times New Roman"/>
        </w:rPr>
        <w:t>its</w:t>
      </w:r>
      <w:r w:rsidRPr="008102E6">
        <w:rPr>
          <w:rFonts w:cs="Times New Roman"/>
        </w:rPr>
        <w:t xml:space="preserve"> severity and the cost of precautions, but also the </w:t>
      </w:r>
      <w:r>
        <w:rPr>
          <w:rFonts w:cs="Times New Roman"/>
        </w:rPr>
        <w:t>social value</w:t>
      </w:r>
      <w:r w:rsidRPr="008102E6">
        <w:rPr>
          <w:rFonts w:cs="Times New Roman"/>
        </w:rPr>
        <w:t xml:space="preserve"> of the defendant’s conduct.</w:t>
      </w:r>
      <w:r>
        <w:rPr>
          <w:rStyle w:val="FootnoteReference"/>
          <w:rFonts w:cs="Times New Roman"/>
        </w:rPr>
        <w:footnoteReference w:id="115"/>
      </w:r>
      <w:r w:rsidRPr="008102E6">
        <w:rPr>
          <w:rFonts w:cs="Times New Roman"/>
        </w:rPr>
        <w:t xml:space="preserve"> The importance of </w:t>
      </w:r>
      <w:r>
        <w:rPr>
          <w:rFonts w:cs="Times New Roman"/>
        </w:rPr>
        <w:t xml:space="preserve">social </w:t>
      </w:r>
      <w:r w:rsidRPr="008102E6">
        <w:rPr>
          <w:rFonts w:cs="Times New Roman"/>
        </w:rPr>
        <w:t xml:space="preserve">utility has been emphasised in </w:t>
      </w:r>
      <w:r>
        <w:rPr>
          <w:rFonts w:cs="Times New Roman"/>
        </w:rPr>
        <w:t xml:space="preserve">numerous </w:t>
      </w:r>
      <w:r w:rsidRPr="008102E6">
        <w:rPr>
          <w:rFonts w:cs="Times New Roman"/>
        </w:rPr>
        <w:t>subsequent cases.</w:t>
      </w:r>
      <w:r w:rsidRPr="008102E6">
        <w:rPr>
          <w:rStyle w:val="FootnoteReference"/>
          <w:rFonts w:cs="Times New Roman"/>
        </w:rPr>
        <w:footnoteReference w:id="116"/>
      </w:r>
    </w:p>
    <w:p w14:paraId="52DB1CC5" w14:textId="77777777" w:rsidR="00213BB7" w:rsidRPr="008102E6" w:rsidRDefault="00213BB7" w:rsidP="0034071D">
      <w:pPr>
        <w:spacing w:line="360" w:lineRule="auto"/>
        <w:rPr>
          <w:rFonts w:cs="Times New Roman"/>
          <w:i/>
        </w:rPr>
      </w:pPr>
    </w:p>
    <w:p w14:paraId="3AEB845D" w14:textId="7DA9ED8D" w:rsidR="00213BB7" w:rsidRPr="008102E6" w:rsidRDefault="00213BB7" w:rsidP="0034071D">
      <w:pPr>
        <w:spacing w:line="360" w:lineRule="auto"/>
        <w:rPr>
          <w:rFonts w:cs="Times New Roman"/>
        </w:rPr>
      </w:pPr>
      <w:r w:rsidRPr="008102E6">
        <w:rPr>
          <w:rFonts w:cs="Times New Roman"/>
          <w:i/>
        </w:rPr>
        <w:lastRenderedPageBreak/>
        <w:t>Fairchild</w:t>
      </w:r>
      <w:r>
        <w:rPr>
          <w:rFonts w:cs="Times New Roman"/>
        </w:rPr>
        <w:t xml:space="preserve"> is a central</w:t>
      </w:r>
      <w:r w:rsidRPr="008102E6">
        <w:rPr>
          <w:rFonts w:cs="Times New Roman"/>
        </w:rPr>
        <w:t xml:space="preserve"> case on causation brought by claimants who had suffered mesothelioma after exposure to asbestos by the defendants. They could not establish causation using the traditional </w:t>
      </w:r>
      <w:r>
        <w:rPr>
          <w:rFonts w:cs="Times New Roman"/>
        </w:rPr>
        <w:t>“but for”</w:t>
      </w:r>
      <w:r w:rsidRPr="008102E6">
        <w:rPr>
          <w:rFonts w:cs="Times New Roman"/>
        </w:rPr>
        <w:t xml:space="preserve"> or material contribution to </w:t>
      </w:r>
      <w:r>
        <w:rPr>
          <w:rFonts w:cs="Times New Roman"/>
        </w:rPr>
        <w:t>harm</w:t>
      </w:r>
      <w:r w:rsidRPr="008102E6">
        <w:rPr>
          <w:rFonts w:cs="Times New Roman"/>
        </w:rPr>
        <w:t xml:space="preserve"> tests but the House of Lords, applying the earlier case of </w:t>
      </w:r>
      <w:r w:rsidRPr="008102E6">
        <w:rPr>
          <w:rFonts w:cs="Times New Roman"/>
          <w:i/>
        </w:rPr>
        <w:t>McGhee v National Coal Board</w:t>
      </w:r>
      <w:r w:rsidRPr="008102E6">
        <w:rPr>
          <w:rFonts w:cs="Times New Roman"/>
        </w:rPr>
        <w:t>,</w:t>
      </w:r>
      <w:r w:rsidRPr="008102E6">
        <w:rPr>
          <w:rStyle w:val="FootnoteReference"/>
          <w:rFonts w:cs="Times New Roman"/>
        </w:rPr>
        <w:footnoteReference w:id="117"/>
      </w:r>
      <w:r w:rsidRPr="008102E6">
        <w:rPr>
          <w:rFonts w:cs="Times New Roman"/>
        </w:rPr>
        <w:t xml:space="preserve"> held that, </w:t>
      </w:r>
      <w:r>
        <w:rPr>
          <w:rFonts w:cs="Times New Roman"/>
        </w:rPr>
        <w:t>exceptionally</w:t>
      </w:r>
      <w:r w:rsidRPr="008102E6">
        <w:rPr>
          <w:rFonts w:cs="Times New Roman"/>
        </w:rPr>
        <w:t>, a causal link can be established when the defendant has materially increased the risk of injury. Lord Bingham explicitly used policy reasoning in his judgment.</w:t>
      </w:r>
      <w:r w:rsidRPr="008102E6">
        <w:rPr>
          <w:rStyle w:val="FootnoteReference"/>
          <w:rFonts w:cs="Times New Roman"/>
        </w:rPr>
        <w:footnoteReference w:id="118"/>
      </w:r>
    </w:p>
    <w:p w14:paraId="7841B29B" w14:textId="77777777" w:rsidR="00213BB7" w:rsidRPr="008102E6" w:rsidRDefault="00213BB7" w:rsidP="0034071D">
      <w:pPr>
        <w:spacing w:line="360" w:lineRule="auto"/>
        <w:rPr>
          <w:rFonts w:cs="Times New Roman"/>
        </w:rPr>
      </w:pPr>
    </w:p>
    <w:p w14:paraId="0B6DE7D0" w14:textId="00FD22CF" w:rsidR="00213BB7" w:rsidRPr="008102E6" w:rsidRDefault="00213BB7" w:rsidP="0034071D">
      <w:pPr>
        <w:spacing w:line="360" w:lineRule="auto"/>
        <w:rPr>
          <w:rFonts w:cs="Times New Roman"/>
        </w:rPr>
      </w:pPr>
      <w:r>
        <w:rPr>
          <w:rFonts w:cs="Times New Roman"/>
        </w:rPr>
        <w:t xml:space="preserve">Starting with the previous case law and then considering policy reasons was also the framework adopted in </w:t>
      </w:r>
      <w:r w:rsidRPr="008102E6">
        <w:rPr>
          <w:rFonts w:cs="Times New Roman"/>
          <w:i/>
        </w:rPr>
        <w:t>Henderson</w:t>
      </w:r>
      <w:r>
        <w:rPr>
          <w:rFonts w:cs="Times New Roman"/>
        </w:rPr>
        <w:t>. This is a leading case on</w:t>
      </w:r>
      <w:r w:rsidRPr="008102E6">
        <w:rPr>
          <w:rFonts w:cs="Times New Roman"/>
        </w:rPr>
        <w:t xml:space="preserve"> the illegality defence, where the claimant’s negligence action against the defendants for failing to manage her schizophrenia after she killed her mother was rejected by the Supreme Court. The case </w:t>
      </w:r>
      <w:r>
        <w:rPr>
          <w:rFonts w:cs="Times New Roman"/>
        </w:rPr>
        <w:t xml:space="preserve">is </w:t>
      </w:r>
      <w:r w:rsidRPr="008102E6">
        <w:rPr>
          <w:rFonts w:cs="Times New Roman"/>
        </w:rPr>
        <w:t xml:space="preserve">important for saying that </w:t>
      </w:r>
      <w:r w:rsidRPr="008102E6">
        <w:rPr>
          <w:rFonts w:cs="Times New Roman"/>
          <w:i/>
        </w:rPr>
        <w:t>Patel v Mirza</w:t>
      </w:r>
      <w:r w:rsidRPr="008102E6">
        <w:rPr>
          <w:rFonts w:cs="Times New Roman"/>
        </w:rPr>
        <w:t xml:space="preserve"> (which adopted a policy-based approach)</w:t>
      </w:r>
      <w:r w:rsidRPr="008102E6">
        <w:rPr>
          <w:rStyle w:val="FootnoteReference"/>
          <w:rFonts w:cs="Times New Roman"/>
        </w:rPr>
        <w:footnoteReference w:id="119"/>
      </w:r>
      <w:r w:rsidRPr="008102E6">
        <w:rPr>
          <w:rFonts w:cs="Times New Roman"/>
        </w:rPr>
        <w:t xml:space="preserve"> did not represent </w:t>
      </w:r>
      <w:r>
        <w:rPr>
          <w:rFonts w:cs="Times New Roman"/>
        </w:rPr>
        <w:t>“</w:t>
      </w:r>
      <w:r w:rsidRPr="008102E6">
        <w:rPr>
          <w:rFonts w:cs="Times New Roman"/>
        </w:rPr>
        <w:t>year zero</w:t>
      </w:r>
      <w:r>
        <w:rPr>
          <w:rFonts w:cs="Times New Roman"/>
        </w:rPr>
        <w:t>”</w:t>
      </w:r>
      <w:r w:rsidRPr="008102E6">
        <w:rPr>
          <w:rFonts w:cs="Times New Roman"/>
        </w:rPr>
        <w:t xml:space="preserve"> </w:t>
      </w:r>
      <w:r>
        <w:rPr>
          <w:rFonts w:cs="Times New Roman"/>
        </w:rPr>
        <w:t>n</w:t>
      </w:r>
      <w:r w:rsidRPr="008102E6">
        <w:rPr>
          <w:rFonts w:cs="Times New Roman"/>
        </w:rPr>
        <w:t>or</w:t>
      </w:r>
      <w:r>
        <w:rPr>
          <w:rFonts w:cs="Times New Roman"/>
        </w:rPr>
        <w:t xml:space="preserve"> did it mean</w:t>
      </w:r>
      <w:r w:rsidRPr="008102E6">
        <w:rPr>
          <w:rFonts w:cs="Times New Roman"/>
        </w:rPr>
        <w:t xml:space="preserve"> that we should abandon previous case law.</w:t>
      </w:r>
      <w:r w:rsidRPr="008102E6">
        <w:rPr>
          <w:rStyle w:val="FootnoteReference"/>
          <w:rFonts w:cs="Times New Roman"/>
        </w:rPr>
        <w:footnoteReference w:id="120"/>
      </w:r>
      <w:r w:rsidRPr="008102E6">
        <w:rPr>
          <w:rFonts w:cs="Times New Roman"/>
        </w:rPr>
        <w:t xml:space="preserve"> </w:t>
      </w:r>
    </w:p>
    <w:p w14:paraId="1262C1A6" w14:textId="77777777" w:rsidR="00213BB7" w:rsidRPr="008102E6" w:rsidRDefault="00213BB7" w:rsidP="0034071D">
      <w:pPr>
        <w:spacing w:line="360" w:lineRule="auto"/>
        <w:rPr>
          <w:rFonts w:cs="Times New Roman"/>
        </w:rPr>
      </w:pPr>
    </w:p>
    <w:p w14:paraId="71ABC1C9" w14:textId="674373F3" w:rsidR="00213BB7" w:rsidRPr="008102E6" w:rsidRDefault="00213BB7" w:rsidP="0034071D">
      <w:pPr>
        <w:spacing w:line="360" w:lineRule="auto"/>
        <w:rPr>
          <w:rFonts w:cs="Times New Roman"/>
        </w:rPr>
      </w:pPr>
      <w:r w:rsidRPr="008102E6">
        <w:rPr>
          <w:rFonts w:cs="Times New Roman"/>
        </w:rPr>
        <w:t xml:space="preserve">We therefore have cases where judges have aimed for the best consequences by considering both past precedent and </w:t>
      </w:r>
      <w:r>
        <w:rPr>
          <w:rFonts w:cs="Times New Roman"/>
        </w:rPr>
        <w:t xml:space="preserve">policy or </w:t>
      </w:r>
      <w:r w:rsidRPr="008102E6">
        <w:rPr>
          <w:rFonts w:cs="Times New Roman"/>
        </w:rPr>
        <w:t>utility. Distilled from these five leading cases, one could arrive at a theory that is broadly consequential</w:t>
      </w:r>
      <w:r>
        <w:rPr>
          <w:rFonts w:cs="Times New Roman"/>
        </w:rPr>
        <w:t>ist</w:t>
      </w:r>
      <w:r w:rsidRPr="008102E6">
        <w:rPr>
          <w:rFonts w:cs="Times New Roman"/>
        </w:rPr>
        <w:t xml:space="preserve">: judges </w:t>
      </w:r>
      <w:r>
        <w:rPr>
          <w:rFonts w:cs="Times New Roman"/>
        </w:rPr>
        <w:t xml:space="preserve">deciding tort cases </w:t>
      </w:r>
      <w:r w:rsidRPr="008102E6">
        <w:rPr>
          <w:rFonts w:cs="Times New Roman"/>
        </w:rPr>
        <w:t xml:space="preserve">should aim for the best consequences but precedent, principle and policy are all relevant in achieving this. </w:t>
      </w:r>
    </w:p>
    <w:p w14:paraId="65363CF8" w14:textId="77777777" w:rsidR="00213BB7" w:rsidRPr="008102E6" w:rsidRDefault="00213BB7" w:rsidP="0034071D">
      <w:pPr>
        <w:spacing w:line="360" w:lineRule="auto"/>
        <w:rPr>
          <w:rFonts w:cs="Times New Roman"/>
        </w:rPr>
      </w:pPr>
    </w:p>
    <w:p w14:paraId="6CCDE728" w14:textId="3CF32BBE" w:rsidR="00213BB7" w:rsidRPr="008102E6" w:rsidRDefault="00213BB7" w:rsidP="0034071D">
      <w:pPr>
        <w:spacing w:line="360" w:lineRule="auto"/>
        <w:rPr>
          <w:rFonts w:cs="Times New Roman"/>
        </w:rPr>
      </w:pPr>
      <w:r w:rsidRPr="008102E6">
        <w:rPr>
          <w:rFonts w:cs="Times New Roman"/>
        </w:rPr>
        <w:t xml:space="preserve">Using this </w:t>
      </w:r>
      <w:r>
        <w:rPr>
          <w:rFonts w:cs="Times New Roman"/>
        </w:rPr>
        <w:t>approach,</w:t>
      </w:r>
      <w:r w:rsidRPr="008102E6">
        <w:rPr>
          <w:rFonts w:cs="Times New Roman"/>
        </w:rPr>
        <w:t xml:space="preserve"> I could declare a case where judges opposed policy reasoning in all circumstances </w:t>
      </w:r>
      <w:r>
        <w:rPr>
          <w:rFonts w:cs="Times New Roman"/>
        </w:rPr>
        <w:t>to be “</w:t>
      </w:r>
      <w:r w:rsidRPr="008102E6">
        <w:rPr>
          <w:rFonts w:cs="Times New Roman"/>
        </w:rPr>
        <w:t>wrong</w:t>
      </w:r>
      <w:r>
        <w:rPr>
          <w:rFonts w:cs="Times New Roman"/>
        </w:rPr>
        <w:t>”</w:t>
      </w:r>
      <w:r w:rsidRPr="008102E6">
        <w:rPr>
          <w:rFonts w:cs="Times New Roman"/>
        </w:rPr>
        <w:t xml:space="preserve"> if it d</w:t>
      </w:r>
      <w:r>
        <w:rPr>
          <w:rFonts w:cs="Times New Roman"/>
        </w:rPr>
        <w:t xml:space="preserve">oes </w:t>
      </w:r>
      <w:r w:rsidRPr="008102E6">
        <w:rPr>
          <w:rFonts w:cs="Times New Roman"/>
        </w:rPr>
        <w:t xml:space="preserve">not fit this vision. </w:t>
      </w:r>
      <w:r>
        <w:rPr>
          <w:rFonts w:cs="Times New Roman"/>
        </w:rPr>
        <w:t>F</w:t>
      </w:r>
      <w:r w:rsidRPr="008102E6">
        <w:rPr>
          <w:rFonts w:cs="Times New Roman"/>
        </w:rPr>
        <w:t xml:space="preserve">or example, Lord Scarman’s </w:t>
      </w:r>
      <w:r w:rsidR="00D63ABF">
        <w:rPr>
          <w:rFonts w:cs="Times New Roman"/>
        </w:rPr>
        <w:t>opposition to policy in</w:t>
      </w:r>
      <w:r w:rsidRPr="008102E6">
        <w:rPr>
          <w:rFonts w:cs="Times New Roman"/>
        </w:rPr>
        <w:t xml:space="preserve"> </w:t>
      </w:r>
      <w:r w:rsidRPr="008102E6">
        <w:rPr>
          <w:rFonts w:cs="Times New Roman"/>
          <w:i/>
        </w:rPr>
        <w:t>McLoughlin v O’Brian</w:t>
      </w:r>
      <w:r w:rsidRPr="008102E6">
        <w:rPr>
          <w:rFonts w:cs="Times New Roman"/>
        </w:rPr>
        <w:t xml:space="preserve"> might be hard to reconcile with this approach, particularly under the transparency criterion.</w:t>
      </w:r>
      <w:r w:rsidRPr="008102E6">
        <w:rPr>
          <w:rStyle w:val="FootnoteReference"/>
          <w:rFonts w:cs="Times New Roman"/>
        </w:rPr>
        <w:footnoteReference w:id="121"/>
      </w:r>
      <w:r w:rsidRPr="008102E6">
        <w:rPr>
          <w:rFonts w:cs="Times New Roman"/>
        </w:rPr>
        <w:t xml:space="preserve"> Happily, his arguments were not accepted by the majority </w:t>
      </w:r>
      <w:r>
        <w:rPr>
          <w:rFonts w:cs="Times New Roman"/>
        </w:rPr>
        <w:t>in that case</w:t>
      </w:r>
      <w:r w:rsidRPr="008102E6">
        <w:rPr>
          <w:rFonts w:cs="Times New Roman"/>
        </w:rPr>
        <w:t>. At the other end of the scale, and because this approach sees the importance of certainty and precedent as the starting point, it would dismiss cases where such considerations are given little to no weight.</w:t>
      </w:r>
      <w:r w:rsidRPr="008102E6">
        <w:rPr>
          <w:rStyle w:val="FootnoteReference"/>
          <w:rFonts w:cs="Times New Roman"/>
        </w:rPr>
        <w:footnoteReference w:id="122"/>
      </w:r>
      <w:r w:rsidRPr="008102E6">
        <w:rPr>
          <w:rFonts w:cs="Times New Roman"/>
        </w:rPr>
        <w:t xml:space="preserve"> </w:t>
      </w:r>
    </w:p>
    <w:p w14:paraId="3229ED68" w14:textId="77777777" w:rsidR="00213BB7" w:rsidRPr="008102E6" w:rsidRDefault="00213BB7" w:rsidP="0034071D">
      <w:pPr>
        <w:spacing w:line="360" w:lineRule="auto"/>
        <w:rPr>
          <w:rFonts w:cs="Times New Roman"/>
        </w:rPr>
      </w:pPr>
    </w:p>
    <w:p w14:paraId="27290636" w14:textId="70634895" w:rsidR="00213BB7" w:rsidRPr="00AC2C6C" w:rsidRDefault="00213BB7" w:rsidP="0034071D">
      <w:pPr>
        <w:spacing w:line="360" w:lineRule="auto"/>
        <w:rPr>
          <w:rFonts w:cs="Times New Roman"/>
        </w:rPr>
      </w:pPr>
      <w:r w:rsidRPr="008102E6">
        <w:rPr>
          <w:rFonts w:cs="Times New Roman"/>
        </w:rPr>
        <w:t xml:space="preserve">Now, </w:t>
      </w:r>
      <w:r>
        <w:rPr>
          <w:rFonts w:cs="Times New Roman"/>
        </w:rPr>
        <w:t xml:space="preserve">the </w:t>
      </w:r>
      <w:r w:rsidRPr="008102E6">
        <w:rPr>
          <w:rFonts w:cs="Times New Roman"/>
        </w:rPr>
        <w:t xml:space="preserve">reader might dispute what I am doing here. This theory has been rigged with some cherry-picked examples from the case law. This </w:t>
      </w:r>
      <w:r>
        <w:rPr>
          <w:rFonts w:cs="Times New Roman"/>
        </w:rPr>
        <w:t xml:space="preserve">would be a perfectly </w:t>
      </w:r>
      <w:r w:rsidRPr="008102E6">
        <w:rPr>
          <w:rFonts w:cs="Times New Roman"/>
        </w:rPr>
        <w:t xml:space="preserve">fair comment. But </w:t>
      </w:r>
      <w:r>
        <w:rPr>
          <w:rFonts w:cs="Times New Roman"/>
        </w:rPr>
        <w:t xml:space="preserve">it </w:t>
      </w:r>
      <w:r w:rsidRPr="008102E6">
        <w:rPr>
          <w:rFonts w:cs="Times New Roman"/>
        </w:rPr>
        <w:t xml:space="preserve">is </w:t>
      </w:r>
      <w:r>
        <w:rPr>
          <w:rFonts w:cs="Times New Roman"/>
        </w:rPr>
        <w:t xml:space="preserve">also </w:t>
      </w:r>
      <w:r w:rsidRPr="008102E6">
        <w:rPr>
          <w:rFonts w:cs="Times New Roman"/>
        </w:rPr>
        <w:t xml:space="preserve">a charge that </w:t>
      </w:r>
      <w:r>
        <w:rPr>
          <w:rFonts w:cs="Times New Roman"/>
        </w:rPr>
        <w:t xml:space="preserve">can be levelled at </w:t>
      </w:r>
      <w:r w:rsidRPr="008102E6">
        <w:rPr>
          <w:rFonts w:cs="Times New Roman"/>
        </w:rPr>
        <w:t>Beever</w:t>
      </w:r>
      <w:r>
        <w:rPr>
          <w:rFonts w:cs="Times New Roman"/>
        </w:rPr>
        <w:t>, and not one, therefore, that he could deploy against me.</w:t>
      </w:r>
      <w:r w:rsidR="00D63ABF">
        <w:rPr>
          <w:rFonts w:cs="Times New Roman"/>
        </w:rPr>
        <w:t xml:space="preserve"> </w:t>
      </w:r>
      <w:r w:rsidRPr="008102E6">
        <w:rPr>
          <w:rFonts w:cs="Times New Roman"/>
        </w:rPr>
        <w:t xml:space="preserve">I have used the same method as </w:t>
      </w:r>
      <w:r>
        <w:rPr>
          <w:rFonts w:cs="Times New Roman"/>
        </w:rPr>
        <w:t xml:space="preserve">Beever </w:t>
      </w:r>
      <w:r w:rsidRPr="008102E6">
        <w:rPr>
          <w:rFonts w:cs="Times New Roman"/>
        </w:rPr>
        <w:t>(reflective equilibrium</w:t>
      </w:r>
      <w:r>
        <w:rPr>
          <w:rFonts w:cs="Times New Roman"/>
        </w:rPr>
        <w:t xml:space="preserve"> applied to five leading cases</w:t>
      </w:r>
      <w:r w:rsidRPr="008102E6">
        <w:rPr>
          <w:rFonts w:cs="Times New Roman"/>
        </w:rPr>
        <w:t xml:space="preserve">) but arrived at </w:t>
      </w:r>
      <w:r>
        <w:rPr>
          <w:rFonts w:cs="Times New Roman"/>
        </w:rPr>
        <w:t xml:space="preserve">a </w:t>
      </w:r>
      <w:r w:rsidRPr="008102E6">
        <w:rPr>
          <w:rFonts w:cs="Times New Roman"/>
        </w:rPr>
        <w:t xml:space="preserve">completely different </w:t>
      </w:r>
      <w:r>
        <w:rPr>
          <w:rFonts w:cs="Times New Roman"/>
        </w:rPr>
        <w:t>conclusion</w:t>
      </w:r>
      <w:r w:rsidRPr="008102E6">
        <w:rPr>
          <w:rFonts w:cs="Times New Roman"/>
        </w:rPr>
        <w:t>. Might he suggest that I have selected the wrong leading cases? W</w:t>
      </w:r>
      <w:r>
        <w:rPr>
          <w:rFonts w:cs="Times New Roman"/>
        </w:rPr>
        <w:t xml:space="preserve">ithout </w:t>
      </w:r>
      <w:r w:rsidRPr="008102E6">
        <w:rPr>
          <w:rFonts w:cs="Times New Roman"/>
        </w:rPr>
        <w:t>doubt</w:t>
      </w:r>
      <w:r>
        <w:rPr>
          <w:rFonts w:cs="Times New Roman"/>
        </w:rPr>
        <w:t>ing</w:t>
      </w:r>
      <w:r w:rsidRPr="008102E6">
        <w:rPr>
          <w:rFonts w:cs="Times New Roman"/>
        </w:rPr>
        <w:t xml:space="preserve"> the significance of </w:t>
      </w:r>
      <w:r w:rsidRPr="008102E6">
        <w:rPr>
          <w:rFonts w:cs="Times New Roman"/>
          <w:i/>
        </w:rPr>
        <w:t>Donoghue v Stevenson</w:t>
      </w:r>
      <w:r w:rsidRPr="008102E6">
        <w:rPr>
          <w:rFonts w:cs="Times New Roman"/>
        </w:rPr>
        <w:t xml:space="preserve"> and </w:t>
      </w:r>
      <w:r>
        <w:rPr>
          <w:rFonts w:cs="Times New Roman"/>
        </w:rPr>
        <w:t>other cases on his list</w:t>
      </w:r>
      <w:r w:rsidRPr="008102E6">
        <w:rPr>
          <w:rFonts w:cs="Times New Roman"/>
        </w:rPr>
        <w:t>, mine are much more recent and thus more representative of the law in the late-20</w:t>
      </w:r>
      <w:r w:rsidRPr="008102E6">
        <w:rPr>
          <w:rFonts w:cs="Times New Roman"/>
          <w:vertAlign w:val="superscript"/>
        </w:rPr>
        <w:t>th</w:t>
      </w:r>
      <w:r w:rsidRPr="008102E6">
        <w:rPr>
          <w:rFonts w:cs="Times New Roman"/>
        </w:rPr>
        <w:t xml:space="preserve"> and </w:t>
      </w:r>
      <w:r>
        <w:rPr>
          <w:rFonts w:cs="Times New Roman"/>
        </w:rPr>
        <w:t xml:space="preserve">early </w:t>
      </w:r>
      <w:r w:rsidRPr="008102E6">
        <w:rPr>
          <w:rFonts w:cs="Times New Roman"/>
        </w:rPr>
        <w:t>21</w:t>
      </w:r>
      <w:r w:rsidRPr="008102E6">
        <w:rPr>
          <w:rFonts w:cs="Times New Roman"/>
          <w:vertAlign w:val="superscript"/>
        </w:rPr>
        <w:t>st</w:t>
      </w:r>
      <w:r w:rsidRPr="008102E6">
        <w:rPr>
          <w:rFonts w:cs="Times New Roman"/>
        </w:rPr>
        <w:t xml:space="preserve"> century</w:t>
      </w:r>
      <w:r>
        <w:rPr>
          <w:rFonts w:cs="Times New Roman"/>
        </w:rPr>
        <w:t xml:space="preserve"> than the ones Beever has selected.</w:t>
      </w:r>
      <w:r w:rsidRPr="008102E6">
        <w:rPr>
          <w:rStyle w:val="FootnoteReference"/>
          <w:rFonts w:cs="Times New Roman"/>
        </w:rPr>
        <w:footnoteReference w:id="123"/>
      </w:r>
      <w:r w:rsidRPr="008102E6">
        <w:rPr>
          <w:rFonts w:cs="Times New Roman"/>
        </w:rPr>
        <w:t xml:space="preserve"> </w:t>
      </w:r>
      <w:r>
        <w:rPr>
          <w:rFonts w:cs="Times New Roman"/>
        </w:rPr>
        <w:t xml:space="preserve">To the charge that </w:t>
      </w:r>
      <w:r>
        <w:rPr>
          <w:rFonts w:cs="Times New Roman"/>
          <w:i/>
        </w:rPr>
        <w:t>Henderson</w:t>
      </w:r>
      <w:r>
        <w:rPr>
          <w:rFonts w:cs="Times New Roman"/>
        </w:rPr>
        <w:t xml:space="preserve"> is a case on a general principle of tort liability, rather than one specific to negligence, I would respond that the same is true of remoteness and so Beever’s choice of </w:t>
      </w:r>
      <w:r>
        <w:rPr>
          <w:rFonts w:cs="Times New Roman"/>
          <w:i/>
        </w:rPr>
        <w:t>The Wagon Mound No 1</w:t>
      </w:r>
      <w:r>
        <w:rPr>
          <w:rFonts w:cs="Times New Roman"/>
        </w:rPr>
        <w:t xml:space="preserve"> is equally suspect. </w:t>
      </w:r>
      <w:r w:rsidRPr="008102E6">
        <w:rPr>
          <w:rFonts w:cs="Times New Roman"/>
        </w:rPr>
        <w:t xml:space="preserve">His theory might score better on coherence (as it is encapsulated in a simple principle) but mine is </w:t>
      </w:r>
      <w:r>
        <w:rPr>
          <w:rFonts w:cs="Times New Roman"/>
        </w:rPr>
        <w:t xml:space="preserve">at least </w:t>
      </w:r>
      <w:r w:rsidRPr="008102E6">
        <w:rPr>
          <w:rFonts w:cs="Times New Roman"/>
        </w:rPr>
        <w:t xml:space="preserve">non-contradictory. We might debate morality if one is opposed to consequentialism. I would argue that my approach would score better on fit and certainly better on transparency. </w:t>
      </w:r>
      <w:r>
        <w:rPr>
          <w:rFonts w:cs="Times New Roman"/>
        </w:rPr>
        <w:t>The short point is this: adopting Beever’s approach does</w:t>
      </w:r>
      <w:r w:rsidRPr="008102E6">
        <w:rPr>
          <w:rFonts w:cs="Times New Roman"/>
        </w:rPr>
        <w:t xml:space="preserve"> not</w:t>
      </w:r>
      <w:r>
        <w:rPr>
          <w:rFonts w:cs="Times New Roman"/>
        </w:rPr>
        <w:t xml:space="preserve"> help us select the best theory, especially given the limited data he inputs into the reflective equilibrium. </w:t>
      </w:r>
    </w:p>
    <w:p w14:paraId="6BDFFE43" w14:textId="77777777" w:rsidR="00213BB7" w:rsidRPr="008102E6" w:rsidRDefault="00213BB7" w:rsidP="0034071D">
      <w:pPr>
        <w:spacing w:line="360" w:lineRule="auto"/>
        <w:rPr>
          <w:rFonts w:cs="Times New Roman"/>
        </w:rPr>
      </w:pPr>
    </w:p>
    <w:p w14:paraId="0B2A3678" w14:textId="113C6026" w:rsidR="00213BB7" w:rsidRPr="008102E6" w:rsidRDefault="00213BB7" w:rsidP="0034071D">
      <w:pPr>
        <w:spacing w:line="360" w:lineRule="auto"/>
        <w:rPr>
          <w:rFonts w:cs="Times New Roman"/>
        </w:rPr>
      </w:pPr>
      <w:r w:rsidRPr="008102E6">
        <w:rPr>
          <w:rFonts w:cs="Times New Roman"/>
        </w:rPr>
        <w:t xml:space="preserve">In fact, when we come to </w:t>
      </w:r>
      <w:r>
        <w:rPr>
          <w:rFonts w:cs="Times New Roman"/>
        </w:rPr>
        <w:t>Beever’s</w:t>
      </w:r>
      <w:r w:rsidRPr="008102E6">
        <w:rPr>
          <w:rFonts w:cs="Times New Roman"/>
        </w:rPr>
        <w:t xml:space="preserve"> </w:t>
      </w:r>
      <w:r>
        <w:rPr>
          <w:rFonts w:cs="Times New Roman"/>
        </w:rPr>
        <w:t>scheme</w:t>
      </w:r>
      <w:r w:rsidRPr="008102E6">
        <w:rPr>
          <w:rFonts w:cs="Times New Roman"/>
        </w:rPr>
        <w:t xml:space="preserve">, at every key point </w:t>
      </w:r>
      <w:r>
        <w:rPr>
          <w:rFonts w:cs="Times New Roman"/>
        </w:rPr>
        <w:t>the edifice</w:t>
      </w:r>
      <w:r w:rsidRPr="008102E6">
        <w:rPr>
          <w:rFonts w:cs="Times New Roman"/>
        </w:rPr>
        <w:t xml:space="preserve"> is held up with intuition. Jane Stapleton suspects that what drives many Grand Theorists is a horror of consequentialism.</w:t>
      </w:r>
      <w:r w:rsidRPr="008102E6">
        <w:rPr>
          <w:rStyle w:val="FootnoteReference"/>
          <w:rFonts w:cs="Times New Roman"/>
        </w:rPr>
        <w:footnoteReference w:id="124"/>
      </w:r>
      <w:r w:rsidRPr="008102E6">
        <w:rPr>
          <w:rFonts w:cs="Times New Roman"/>
        </w:rPr>
        <w:t xml:space="preserve"> If this is the case, why should anyone sympathetic to consequentialism be inclined to accept Beever’s gut feelings over their own? </w:t>
      </w:r>
    </w:p>
    <w:p w14:paraId="19534F18" w14:textId="77777777" w:rsidR="00213BB7" w:rsidRPr="008102E6" w:rsidRDefault="00213BB7" w:rsidP="0034071D">
      <w:pPr>
        <w:spacing w:line="360" w:lineRule="auto"/>
        <w:rPr>
          <w:rFonts w:cs="Times New Roman"/>
        </w:rPr>
      </w:pPr>
    </w:p>
    <w:p w14:paraId="2C0E123A" w14:textId="35709F09" w:rsidR="00213BB7" w:rsidRPr="008102E6" w:rsidRDefault="00213BB7" w:rsidP="0008027B">
      <w:pPr>
        <w:spacing w:line="360" w:lineRule="auto"/>
        <w:jc w:val="center"/>
        <w:outlineLvl w:val="0"/>
        <w:rPr>
          <w:rFonts w:cs="Times New Roman"/>
          <w:b/>
        </w:rPr>
      </w:pPr>
      <w:r w:rsidRPr="008102E6">
        <w:rPr>
          <w:rFonts w:cs="Times New Roman"/>
          <w:b/>
        </w:rPr>
        <w:t>Conclusion</w:t>
      </w:r>
    </w:p>
    <w:p w14:paraId="32DE11FD" w14:textId="77777777" w:rsidR="00213BB7" w:rsidRPr="008102E6" w:rsidRDefault="00213BB7" w:rsidP="0034071D">
      <w:pPr>
        <w:spacing w:line="360" w:lineRule="auto"/>
        <w:jc w:val="center"/>
        <w:rPr>
          <w:rFonts w:cs="Times New Roman"/>
        </w:rPr>
      </w:pPr>
    </w:p>
    <w:p w14:paraId="50827FC4" w14:textId="2BE472D1" w:rsidR="00213BB7" w:rsidRDefault="00213BB7" w:rsidP="0034071D">
      <w:pPr>
        <w:spacing w:line="360" w:lineRule="auto"/>
        <w:rPr>
          <w:rFonts w:cs="Times New Roman"/>
        </w:rPr>
      </w:pPr>
      <w:r w:rsidRPr="008102E6">
        <w:rPr>
          <w:rFonts w:cs="Times New Roman"/>
        </w:rPr>
        <w:t>This aim of this</w:t>
      </w:r>
      <w:r>
        <w:rPr>
          <w:rFonts w:cs="Times New Roman"/>
        </w:rPr>
        <w:t xml:space="preserve"> article has not been to deride all</w:t>
      </w:r>
      <w:r w:rsidRPr="008102E6">
        <w:rPr>
          <w:rFonts w:cs="Times New Roman"/>
        </w:rPr>
        <w:t xml:space="preserve"> </w:t>
      </w:r>
      <w:r>
        <w:rPr>
          <w:rFonts w:cs="Times New Roman"/>
        </w:rPr>
        <w:t>deontological</w:t>
      </w:r>
      <w:r w:rsidRPr="008102E6">
        <w:rPr>
          <w:rFonts w:cs="Times New Roman"/>
        </w:rPr>
        <w:t xml:space="preserve"> theories </w:t>
      </w:r>
      <w:r>
        <w:rPr>
          <w:rFonts w:cs="Times New Roman"/>
        </w:rPr>
        <w:t>as worthless</w:t>
      </w:r>
      <w:r w:rsidRPr="008102E6">
        <w:rPr>
          <w:rFonts w:cs="Times New Roman"/>
        </w:rPr>
        <w:t xml:space="preserve">. </w:t>
      </w:r>
      <w:r w:rsidRPr="00CE1725">
        <w:rPr>
          <w:rFonts w:cs="Times New Roman"/>
        </w:rPr>
        <w:t>I</w:t>
      </w:r>
      <w:r w:rsidRPr="008102E6">
        <w:rPr>
          <w:rFonts w:cs="Times New Roman"/>
        </w:rPr>
        <w:t xml:space="preserve"> </w:t>
      </w:r>
      <w:r>
        <w:rPr>
          <w:rFonts w:cs="Times New Roman"/>
        </w:rPr>
        <w:t>happen to share the perspective</w:t>
      </w:r>
      <w:r w:rsidRPr="008102E6">
        <w:rPr>
          <w:rFonts w:cs="Times New Roman"/>
        </w:rPr>
        <w:t xml:space="preserve"> that judges adjudicating tort disputes should not be engaging in free-</w:t>
      </w:r>
      <w:r w:rsidRPr="008102E6">
        <w:rPr>
          <w:rFonts w:cs="Times New Roman"/>
        </w:rPr>
        <w:lastRenderedPageBreak/>
        <w:t xml:space="preserve">wheeling policy debates </w:t>
      </w:r>
      <w:r>
        <w:rPr>
          <w:rFonts w:cs="Times New Roman"/>
        </w:rPr>
        <w:t xml:space="preserve">in every case, especially </w:t>
      </w:r>
      <w:r w:rsidRPr="008102E6">
        <w:rPr>
          <w:rFonts w:cs="Times New Roman"/>
        </w:rPr>
        <w:t>when precedent can determine the matter,</w:t>
      </w:r>
      <w:r>
        <w:rPr>
          <w:rStyle w:val="FootnoteReference"/>
          <w:rFonts w:cs="Times New Roman"/>
        </w:rPr>
        <w:footnoteReference w:id="125"/>
      </w:r>
      <w:r w:rsidRPr="008102E6">
        <w:rPr>
          <w:rFonts w:cs="Times New Roman"/>
        </w:rPr>
        <w:t xml:space="preserve"> even if I reject</w:t>
      </w:r>
      <w:r w:rsidR="00D63ABF">
        <w:rPr>
          <w:rFonts w:cs="Times New Roman"/>
        </w:rPr>
        <w:t xml:space="preserve"> the</w:t>
      </w:r>
      <w:r w:rsidRPr="008102E6">
        <w:rPr>
          <w:rFonts w:cs="Times New Roman"/>
        </w:rPr>
        <w:t xml:space="preserve"> more strident claims that such con</w:t>
      </w:r>
      <w:r>
        <w:rPr>
          <w:rFonts w:cs="Times New Roman"/>
        </w:rPr>
        <w:t>cerns</w:t>
      </w:r>
      <w:r w:rsidRPr="008102E6">
        <w:rPr>
          <w:rFonts w:cs="Times New Roman"/>
        </w:rPr>
        <w:t xml:space="preserve"> are </w:t>
      </w:r>
      <w:r w:rsidRPr="008102E6">
        <w:rPr>
          <w:rFonts w:cs="Times New Roman"/>
          <w:i/>
        </w:rPr>
        <w:t>never</w:t>
      </w:r>
      <w:r w:rsidRPr="008102E6">
        <w:rPr>
          <w:rFonts w:cs="Times New Roman"/>
        </w:rPr>
        <w:t xml:space="preserve"> appropriate. Instead, I have tried to demonstrate that</w:t>
      </w:r>
      <w:r>
        <w:rPr>
          <w:rFonts w:cs="Times New Roman"/>
        </w:rPr>
        <w:t xml:space="preserve">, shorn of interpretivism, deontologists are unable to deflect the widespread criticisms that have been levelled against them on grounds of fit and transparency. </w:t>
      </w:r>
    </w:p>
    <w:p w14:paraId="15BFDB15" w14:textId="77777777" w:rsidR="00213BB7" w:rsidRDefault="00213BB7" w:rsidP="0034071D">
      <w:pPr>
        <w:spacing w:line="360" w:lineRule="auto"/>
        <w:rPr>
          <w:rFonts w:cs="Times New Roman"/>
        </w:rPr>
      </w:pPr>
    </w:p>
    <w:p w14:paraId="7C44743D" w14:textId="69D5D2CF" w:rsidR="00213BB7" w:rsidRDefault="00213BB7" w:rsidP="0034071D">
      <w:pPr>
        <w:spacing w:line="360" w:lineRule="auto"/>
        <w:rPr>
          <w:rFonts w:cs="Times New Roman"/>
        </w:rPr>
      </w:pPr>
      <w:r>
        <w:rPr>
          <w:rFonts w:cs="Times New Roman"/>
        </w:rPr>
        <w:t xml:space="preserve">The wholesale opposition by deontologists to the use of policy is difficult to maintain, particularly if they wish to sign up to interpretivism. Both policy-based reasoning and interpretivism entail weighing incommensurables. The deontologists must either relinquish their reliance on interpretivism, and, with it, their blithe disregard of criticisms that their theories do not reflect the law, or they must embrace some role for policy-based reasoning. Each option requires significant revisions to the accounts they present. </w:t>
      </w:r>
    </w:p>
    <w:p w14:paraId="692C5087" w14:textId="77777777" w:rsidR="00213BB7" w:rsidRDefault="00213BB7" w:rsidP="0034071D">
      <w:pPr>
        <w:spacing w:line="360" w:lineRule="auto"/>
        <w:rPr>
          <w:rFonts w:cs="Times New Roman"/>
        </w:rPr>
      </w:pPr>
    </w:p>
    <w:p w14:paraId="765B7AE8" w14:textId="76158AF9" w:rsidR="00213BB7" w:rsidRDefault="00213BB7" w:rsidP="0034071D">
      <w:pPr>
        <w:spacing w:line="360" w:lineRule="auto"/>
        <w:rPr>
          <w:rFonts w:cs="Times New Roman"/>
        </w:rPr>
      </w:pPr>
      <w:r>
        <w:rPr>
          <w:rFonts w:cs="Times New Roman"/>
        </w:rPr>
        <w:t xml:space="preserve">I then revealed that reliance upon reflective equilibrium ultimately boils down to a form of intuitionism and that Beever’s focus on five central cases for theorisation is arbitrary. Radically different theoretical conclusions could be gleaned from a plausible alternative choice of cases. He has no way of opposing alternative consequentialist theories, given his prior methodological commitments. </w:t>
      </w:r>
    </w:p>
    <w:p w14:paraId="0BB92FF0" w14:textId="77777777" w:rsidR="00213BB7" w:rsidRDefault="00213BB7" w:rsidP="0034071D">
      <w:pPr>
        <w:spacing w:line="360" w:lineRule="auto"/>
        <w:rPr>
          <w:rFonts w:cs="Times New Roman"/>
        </w:rPr>
      </w:pPr>
    </w:p>
    <w:p w14:paraId="7D5E2105" w14:textId="33816480" w:rsidR="00213BB7" w:rsidRPr="00296AC0" w:rsidRDefault="00213BB7" w:rsidP="0034071D">
      <w:pPr>
        <w:spacing w:line="360" w:lineRule="auto"/>
        <w:rPr>
          <w:rFonts w:cs="Times New Roman"/>
          <w:i/>
        </w:rPr>
      </w:pPr>
      <w:r>
        <w:rPr>
          <w:rFonts w:cs="Times New Roman"/>
        </w:rPr>
        <w:t xml:space="preserve">Might we </w:t>
      </w:r>
      <w:r w:rsidRPr="008102E6">
        <w:rPr>
          <w:rFonts w:cs="Times New Roman"/>
        </w:rPr>
        <w:t>be in danger of throwing the interpretive baby out with the deontolog</w:t>
      </w:r>
      <w:r>
        <w:rPr>
          <w:rFonts w:cs="Times New Roman"/>
        </w:rPr>
        <w:t>ic bathwater?</w:t>
      </w:r>
      <w:r w:rsidRPr="008102E6">
        <w:rPr>
          <w:rFonts w:cs="Times New Roman"/>
        </w:rPr>
        <w:t xml:space="preserve"> Smith’s four axes do seem a useful way of determining the persuasiveness of a</w:t>
      </w:r>
      <w:r>
        <w:rPr>
          <w:rFonts w:cs="Times New Roman"/>
        </w:rPr>
        <w:t>n interpretive</w:t>
      </w:r>
      <w:r w:rsidRPr="008102E6">
        <w:rPr>
          <w:rFonts w:cs="Times New Roman"/>
        </w:rPr>
        <w:t xml:space="preserve"> </w:t>
      </w:r>
      <w:r>
        <w:rPr>
          <w:rFonts w:cs="Times New Roman"/>
        </w:rPr>
        <w:t>theory of tort law</w:t>
      </w:r>
      <w:r w:rsidRPr="008102E6">
        <w:rPr>
          <w:rFonts w:cs="Times New Roman"/>
        </w:rPr>
        <w:t xml:space="preserve"> but it would be remarkable if a theory scored perfectly across all of them</w:t>
      </w:r>
      <w:r>
        <w:rPr>
          <w:rFonts w:cs="Times New Roman"/>
        </w:rPr>
        <w:t>. Any</w:t>
      </w:r>
      <w:r w:rsidRPr="008102E6">
        <w:rPr>
          <w:rFonts w:cs="Times New Roman"/>
        </w:rPr>
        <w:t xml:space="preserve"> trade-offs should not be disguised</w:t>
      </w:r>
      <w:r>
        <w:rPr>
          <w:rFonts w:cs="Times New Roman"/>
        </w:rPr>
        <w:t>, though,</w:t>
      </w:r>
      <w:r w:rsidRPr="008102E6">
        <w:rPr>
          <w:rFonts w:cs="Times New Roman"/>
        </w:rPr>
        <w:t xml:space="preserve"> and interpretivism should not be used as a fig-leaf to hide flaws with problems of fit</w:t>
      </w:r>
      <w:r>
        <w:rPr>
          <w:rFonts w:cs="Times New Roman"/>
        </w:rPr>
        <w:t xml:space="preserve"> and</w:t>
      </w:r>
      <w:r w:rsidRPr="008102E6">
        <w:rPr>
          <w:rFonts w:cs="Times New Roman"/>
        </w:rPr>
        <w:t xml:space="preserve"> transparency.</w:t>
      </w:r>
      <w:r>
        <w:rPr>
          <w:rStyle w:val="FootnoteReference"/>
          <w:rFonts w:cs="Times New Roman"/>
        </w:rPr>
        <w:footnoteReference w:id="126"/>
      </w:r>
      <w:r>
        <w:rPr>
          <w:rFonts w:cs="Times New Roman"/>
        </w:rPr>
        <w:t xml:space="preserve"> Some scholars, such as Murphy in his monograph on the economic torts, use the methodology adeptly, only resorting to normativity when there is a conflict between different lines of precedent and </w:t>
      </w:r>
      <w:r w:rsidR="00D63ABF">
        <w:rPr>
          <w:rFonts w:cs="Times New Roman"/>
        </w:rPr>
        <w:t xml:space="preserve">also </w:t>
      </w:r>
      <w:r>
        <w:rPr>
          <w:rFonts w:cs="Times New Roman"/>
        </w:rPr>
        <w:t>accepting the “normal chaos” of tort law.</w:t>
      </w:r>
      <w:r>
        <w:rPr>
          <w:rStyle w:val="FootnoteReference"/>
          <w:rFonts w:cs="Times New Roman"/>
        </w:rPr>
        <w:footnoteReference w:id="127"/>
      </w:r>
    </w:p>
    <w:p w14:paraId="5A41E3BC" w14:textId="77777777" w:rsidR="00213BB7" w:rsidRDefault="00213BB7" w:rsidP="0034071D">
      <w:pPr>
        <w:spacing w:line="360" w:lineRule="auto"/>
        <w:rPr>
          <w:rFonts w:cs="Times New Roman"/>
        </w:rPr>
      </w:pPr>
    </w:p>
    <w:p w14:paraId="35D7A4DB" w14:textId="796445CA" w:rsidR="00E80AA9" w:rsidRPr="008102E6" w:rsidRDefault="00213BB7" w:rsidP="0034071D">
      <w:pPr>
        <w:spacing w:line="360" w:lineRule="auto"/>
        <w:rPr>
          <w:rFonts w:cs="Times New Roman"/>
        </w:rPr>
      </w:pPr>
      <w:r w:rsidRPr="008102E6">
        <w:rPr>
          <w:rFonts w:cs="Times New Roman"/>
        </w:rPr>
        <w:lastRenderedPageBreak/>
        <w:t xml:space="preserve">Discussing </w:t>
      </w:r>
      <w:r>
        <w:rPr>
          <w:rFonts w:cs="Times New Roman"/>
        </w:rPr>
        <w:t>the interpretive method in public law, Jason Varuhas</w:t>
      </w:r>
      <w:r w:rsidRPr="008102E6">
        <w:rPr>
          <w:rFonts w:cs="Times New Roman"/>
        </w:rPr>
        <w:t xml:space="preserve"> </w:t>
      </w:r>
      <w:r>
        <w:rPr>
          <w:rFonts w:cs="Times New Roman"/>
        </w:rPr>
        <w:t xml:space="preserve">believes that </w:t>
      </w:r>
      <w:r w:rsidRPr="008102E6">
        <w:rPr>
          <w:rFonts w:cs="Times New Roman"/>
        </w:rPr>
        <w:t>many Kantians start with pre-conceived ideas about tort law rather than starting with the materials.</w:t>
      </w:r>
      <w:r>
        <w:rPr>
          <w:rStyle w:val="FootnoteReference"/>
          <w:rFonts w:cs="Times New Roman"/>
        </w:rPr>
        <w:footnoteReference w:id="128"/>
      </w:r>
      <w:r w:rsidRPr="008102E6">
        <w:rPr>
          <w:rFonts w:cs="Times New Roman"/>
        </w:rPr>
        <w:t xml:space="preserve"> </w:t>
      </w:r>
      <w:r>
        <w:rPr>
          <w:rFonts w:cs="Times New Roman"/>
        </w:rPr>
        <w:t>I</w:t>
      </w:r>
      <w:r w:rsidRPr="008102E6">
        <w:rPr>
          <w:rFonts w:cs="Times New Roman"/>
        </w:rPr>
        <w:t>f</w:t>
      </w:r>
      <w:r>
        <w:rPr>
          <w:rFonts w:cs="Times New Roman"/>
        </w:rPr>
        <w:t xml:space="preserve"> the materials – in other words, fit and transparency – are to be consistently sacrificed to morality and coherence then such scholars should openly admit that they are engaged in a purely normative project rather than claiming to offer the “best account” of the case law.</w:t>
      </w:r>
      <w:r>
        <w:rPr>
          <w:rStyle w:val="FootnoteReference"/>
          <w:rFonts w:cs="Times New Roman"/>
        </w:rPr>
        <w:footnoteReference w:id="129"/>
      </w:r>
      <w:r>
        <w:rPr>
          <w:rFonts w:cs="Times New Roman"/>
        </w:rPr>
        <w:t xml:space="preserve"> </w:t>
      </w:r>
      <w:r w:rsidR="003775A5">
        <w:rPr>
          <w:rFonts w:cs="Times New Roman"/>
        </w:rPr>
        <w:t xml:space="preserve">While this might have a cost to the deontologists, it </w:t>
      </w:r>
      <w:r w:rsidR="00E80AA9">
        <w:rPr>
          <w:rFonts w:cs="Times New Roman"/>
        </w:rPr>
        <w:t xml:space="preserve">would </w:t>
      </w:r>
      <w:r w:rsidR="00FA41DF">
        <w:rPr>
          <w:rFonts w:cs="Times New Roman"/>
        </w:rPr>
        <w:t xml:space="preserve">both </w:t>
      </w:r>
      <w:r w:rsidR="00351123">
        <w:rPr>
          <w:rFonts w:cs="Times New Roman"/>
        </w:rPr>
        <w:t xml:space="preserve">elevate </w:t>
      </w:r>
      <w:r w:rsidR="00AA3708">
        <w:rPr>
          <w:rFonts w:cs="Times New Roman"/>
        </w:rPr>
        <w:t xml:space="preserve">the quality </w:t>
      </w:r>
      <w:r w:rsidR="00E80AA9">
        <w:rPr>
          <w:rFonts w:cs="Times New Roman"/>
        </w:rPr>
        <w:t>of debate</w:t>
      </w:r>
      <w:r w:rsidR="00AA3708">
        <w:rPr>
          <w:rFonts w:cs="Times New Roman"/>
        </w:rPr>
        <w:t>s</w:t>
      </w:r>
      <w:r w:rsidR="00E80AA9">
        <w:rPr>
          <w:rFonts w:cs="Times New Roman"/>
        </w:rPr>
        <w:t xml:space="preserve"> in tort theory</w:t>
      </w:r>
      <w:r w:rsidR="00AA3708">
        <w:rPr>
          <w:rFonts w:cs="Times New Roman"/>
        </w:rPr>
        <w:t xml:space="preserve"> and be a much more legitimate academic technique.</w:t>
      </w:r>
    </w:p>
    <w:sectPr w:rsidR="00E80AA9" w:rsidRPr="008102E6" w:rsidSect="006C0538">
      <w:footerReference w:type="even" r:id="rId8"/>
      <w:footerReference w:type="default" r:id="rId9"/>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ECAA1" w14:textId="77777777" w:rsidR="00C60D44" w:rsidRDefault="00C60D44" w:rsidP="000A2E77">
      <w:pPr>
        <w:spacing w:line="240" w:lineRule="auto"/>
      </w:pPr>
      <w:r>
        <w:separator/>
      </w:r>
    </w:p>
  </w:endnote>
  <w:endnote w:type="continuationSeparator" w:id="0">
    <w:p w14:paraId="0B3676E8" w14:textId="77777777" w:rsidR="00C60D44" w:rsidRDefault="00C60D44" w:rsidP="000A2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9B68" w14:textId="77777777" w:rsidR="002C5C71" w:rsidRDefault="002C5C71" w:rsidP="006E5A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E6D8F9" w14:textId="77777777" w:rsidR="002C5C71" w:rsidRDefault="002C5C71" w:rsidP="001903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8F46F" w14:textId="77777777" w:rsidR="002C5C71" w:rsidRDefault="002C5C71" w:rsidP="006E5A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1B81">
      <w:rPr>
        <w:rStyle w:val="PageNumber"/>
        <w:noProof/>
      </w:rPr>
      <w:t>1</w:t>
    </w:r>
    <w:r>
      <w:rPr>
        <w:rStyle w:val="PageNumber"/>
      </w:rPr>
      <w:fldChar w:fldCharType="end"/>
    </w:r>
  </w:p>
  <w:p w14:paraId="2F1A089B" w14:textId="77777777" w:rsidR="002C5C71" w:rsidRDefault="002C5C71" w:rsidP="0019037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798CD" w14:textId="77777777" w:rsidR="00C60D44" w:rsidRDefault="00C60D44" w:rsidP="000A2E77">
      <w:pPr>
        <w:spacing w:line="240" w:lineRule="auto"/>
      </w:pPr>
      <w:r>
        <w:separator/>
      </w:r>
    </w:p>
  </w:footnote>
  <w:footnote w:type="continuationSeparator" w:id="0">
    <w:p w14:paraId="00BB9C73" w14:textId="77777777" w:rsidR="00C60D44" w:rsidRDefault="00C60D44" w:rsidP="000A2E77">
      <w:pPr>
        <w:spacing w:line="240" w:lineRule="auto"/>
      </w:pPr>
      <w:r>
        <w:continuationSeparator/>
      </w:r>
    </w:p>
  </w:footnote>
  <w:footnote w:id="1">
    <w:p w14:paraId="474C0C9C" w14:textId="76EB775A" w:rsidR="00213BB7" w:rsidRDefault="00213BB7" w:rsidP="000A2E77">
      <w:pPr>
        <w:pStyle w:val="FootnoteText"/>
      </w:pPr>
      <w:r w:rsidRPr="00BF5AFB">
        <w:t xml:space="preserve">I </w:t>
      </w:r>
      <w:r w:rsidR="00DA1918">
        <w:t>would like to thank</w:t>
      </w:r>
      <w:r w:rsidRPr="00BF5AFB">
        <w:t xml:space="preserve"> Paula Case, Sarah Fulham-McQuillan, John Murphy, John Picton and the anonymous referee for their constructive comments on earlier drafts of this article. I also </w:t>
      </w:r>
      <w:r w:rsidR="009A4B5E">
        <w:t xml:space="preserve">received helpful feedback from </w:t>
      </w:r>
      <w:r w:rsidRPr="00BF5AFB">
        <w:t>audiences at the Cambridge Private Law Centre</w:t>
      </w:r>
      <w:r w:rsidR="009A4B5E">
        <w:t xml:space="preserve"> </w:t>
      </w:r>
      <w:r w:rsidRPr="00BF5AFB">
        <w:t>and Torts section of the Society of Legal Scholars Annual Conference a</w:t>
      </w:r>
      <w:r w:rsidR="009A4B5E">
        <w:t>t KCL</w:t>
      </w:r>
      <w:r w:rsidR="000E7FE6">
        <w:t xml:space="preserve"> and</w:t>
      </w:r>
      <w:r w:rsidR="009A4B5E">
        <w:t xml:space="preserve"> I </w:t>
      </w:r>
      <w:r w:rsidR="00F4576E">
        <w:t>am grateful to</w:t>
      </w:r>
      <w:r w:rsidRPr="00BF5AFB">
        <w:t xml:space="preserve"> Jodi Gardner for </w:t>
      </w:r>
      <w:r w:rsidR="00A41099">
        <w:t>arranging</w:t>
      </w:r>
      <w:r w:rsidRPr="00BF5AFB">
        <w:t xml:space="preserve"> the former event.</w:t>
      </w:r>
    </w:p>
    <w:p w14:paraId="468F7F56" w14:textId="77777777" w:rsidR="00213BB7" w:rsidRDefault="00213BB7" w:rsidP="000A2E77">
      <w:pPr>
        <w:pStyle w:val="FootnoteText"/>
      </w:pPr>
    </w:p>
    <w:p w14:paraId="4736BB65" w14:textId="4AA67EB1" w:rsidR="00213BB7" w:rsidRDefault="00213BB7" w:rsidP="000A2E77">
      <w:pPr>
        <w:pStyle w:val="FootnoteText"/>
      </w:pPr>
      <w:r>
        <w:rPr>
          <w:rStyle w:val="FootnoteReference"/>
        </w:rPr>
        <w:footnoteRef/>
      </w:r>
      <w:r>
        <w:t xml:space="preserve"> Robert Stevens, “The Conflict of Rights” in Andrew Robertson and Hang Wu Tang (eds.), </w:t>
      </w:r>
      <w:r>
        <w:rPr>
          <w:i/>
        </w:rPr>
        <w:t>The Goals of Private Law</w:t>
      </w:r>
      <w:r>
        <w:t xml:space="preserve"> (Oxford: Hart, 2009), at p. 140.</w:t>
      </w:r>
    </w:p>
  </w:footnote>
  <w:footnote w:id="2">
    <w:p w14:paraId="19BFE22B" w14:textId="74FD8B4B" w:rsidR="00213BB7" w:rsidRDefault="00213BB7" w:rsidP="000A2E77">
      <w:pPr>
        <w:pStyle w:val="FootnoteText"/>
      </w:pPr>
      <w:r>
        <w:rPr>
          <w:rStyle w:val="FootnoteReference"/>
        </w:rPr>
        <w:footnoteRef/>
      </w:r>
      <w:r>
        <w:t xml:space="preserve"> Jane Stapleton, </w:t>
      </w:r>
      <w:r>
        <w:rPr>
          <w:i/>
        </w:rPr>
        <w:t xml:space="preserve">Three Essays on Torts </w:t>
      </w:r>
      <w:r>
        <w:t>(Oxford: Oxford University Press, 2021), at p. xvii.</w:t>
      </w:r>
    </w:p>
  </w:footnote>
  <w:footnote w:id="3">
    <w:p w14:paraId="71544DB5" w14:textId="484DA5C3" w:rsidR="00213BB7" w:rsidRPr="00AF7C3D" w:rsidRDefault="00213BB7" w:rsidP="000A2E77">
      <w:pPr>
        <w:pStyle w:val="FootnoteText"/>
      </w:pPr>
      <w:r>
        <w:rPr>
          <w:rStyle w:val="FootnoteReference"/>
        </w:rPr>
        <w:footnoteRef/>
      </w:r>
      <w:r>
        <w:t xml:space="preserve"> Stapleton, </w:t>
      </w:r>
      <w:r>
        <w:rPr>
          <w:i/>
        </w:rPr>
        <w:t>Three Essays on Torts</w:t>
      </w:r>
      <w:r>
        <w:t xml:space="preserve"> (2021)</w:t>
      </w:r>
      <w:r>
        <w:rPr>
          <w:i/>
        </w:rPr>
        <w:t xml:space="preserve">, </w:t>
      </w:r>
      <w:r>
        <w:t>ch. 1.</w:t>
      </w:r>
    </w:p>
  </w:footnote>
  <w:footnote w:id="4">
    <w:p w14:paraId="4A35FA89" w14:textId="74AC7E7B" w:rsidR="00213BB7" w:rsidRDefault="00213BB7" w:rsidP="000A2E77">
      <w:pPr>
        <w:pStyle w:val="FootnoteText"/>
      </w:pPr>
      <w:r>
        <w:rPr>
          <w:rStyle w:val="FootnoteReference"/>
        </w:rPr>
        <w:footnoteRef/>
      </w:r>
      <w:r>
        <w:t xml:space="preserve"> John Murphy, “Rights, Reductionism and Tort Law” (2008) 28 O.J.L.S. 393.</w:t>
      </w:r>
    </w:p>
  </w:footnote>
  <w:footnote w:id="5">
    <w:p w14:paraId="13D93543" w14:textId="50C373A6" w:rsidR="00213BB7" w:rsidRPr="00831B1D" w:rsidRDefault="00213BB7" w:rsidP="000A2E77">
      <w:pPr>
        <w:pStyle w:val="FootnoteText"/>
      </w:pPr>
      <w:r>
        <w:rPr>
          <w:rStyle w:val="FootnoteReference"/>
        </w:rPr>
        <w:footnoteRef/>
      </w:r>
      <w:r>
        <w:t xml:space="preserve"> Peter Cane, “Rights in Private Law” in Donal Nolan and Andrew Robertson (eds.), </w:t>
      </w:r>
      <w:r>
        <w:rPr>
          <w:i/>
        </w:rPr>
        <w:t>Rights and Private Law</w:t>
      </w:r>
      <w:r>
        <w:t xml:space="preserve"> (Oxford: Hart 2012), at p. 40.</w:t>
      </w:r>
    </w:p>
  </w:footnote>
  <w:footnote w:id="6">
    <w:p w14:paraId="2BBDB72D" w14:textId="21FED567" w:rsidR="00213BB7" w:rsidRPr="00CC56CE" w:rsidRDefault="00213BB7" w:rsidP="000A2E77">
      <w:pPr>
        <w:pStyle w:val="FootnoteText"/>
      </w:pPr>
      <w:r>
        <w:rPr>
          <w:rStyle w:val="FootnoteReference"/>
        </w:rPr>
        <w:footnoteRef/>
      </w:r>
      <w:r>
        <w:t xml:space="preserve"> For a discussion of the distinctions, see Stevens, </w:t>
      </w:r>
      <w:r>
        <w:rPr>
          <w:i/>
        </w:rPr>
        <w:t>Torts and Rights</w:t>
      </w:r>
      <w:r>
        <w:t xml:space="preserve"> (2007)</w:t>
      </w:r>
      <w:r>
        <w:rPr>
          <w:i/>
        </w:rPr>
        <w:t>,</w:t>
      </w:r>
      <w:r>
        <w:t xml:space="preserve"> at p. 329 and John Goldberg and Benjamin Zipursky, </w:t>
      </w:r>
      <w:r>
        <w:rPr>
          <w:i/>
        </w:rPr>
        <w:t>Recognizing Wrongs</w:t>
      </w:r>
      <w:r>
        <w:t xml:space="preserve"> (Cambridge, </w:t>
      </w:r>
      <w:r w:rsidRPr="00E11B82">
        <w:t>Massachusetts</w:t>
      </w:r>
      <w:r>
        <w:t xml:space="preserve">: Belknap Press, 2020), ch. 5. </w:t>
      </w:r>
    </w:p>
  </w:footnote>
  <w:footnote w:id="7">
    <w:p w14:paraId="28290C5F" w14:textId="2EE84D20" w:rsidR="00213BB7" w:rsidRDefault="00213BB7" w:rsidP="000A2E77">
      <w:pPr>
        <w:pStyle w:val="FootnoteText"/>
      </w:pPr>
      <w:r>
        <w:rPr>
          <w:rStyle w:val="FootnoteReference"/>
        </w:rPr>
        <w:footnoteRef/>
      </w:r>
      <w:r>
        <w:t xml:space="preserve"> Adapting Steve Hedley’s terminology (“deontic”) in “Is Private Law Me</w:t>
      </w:r>
      <w:r w:rsidR="003B6B28">
        <w:t>aningless?” (2011) 64 C.L.P. 89</w:t>
      </w:r>
      <w:r>
        <w:t xml:space="preserve"> at 94.</w:t>
      </w:r>
    </w:p>
  </w:footnote>
  <w:footnote w:id="8">
    <w:p w14:paraId="6BBC0285" w14:textId="7ABC497C" w:rsidR="00213BB7" w:rsidRDefault="00213BB7" w:rsidP="005E56AE">
      <w:pPr>
        <w:pStyle w:val="FootnoteText"/>
      </w:pPr>
      <w:r>
        <w:rPr>
          <w:rStyle w:val="FootnoteReference"/>
        </w:rPr>
        <w:footnoteRef/>
      </w:r>
      <w:r>
        <w:t xml:space="preserve"> Discussed in detail in the next section.</w:t>
      </w:r>
    </w:p>
  </w:footnote>
  <w:footnote w:id="9">
    <w:p w14:paraId="2ABAA616" w14:textId="697D0FBA" w:rsidR="00213BB7" w:rsidRDefault="00213BB7" w:rsidP="000A2E77">
      <w:pPr>
        <w:pStyle w:val="FootnoteText"/>
      </w:pPr>
      <w:r>
        <w:rPr>
          <w:rStyle w:val="FootnoteReference"/>
        </w:rPr>
        <w:footnoteRef/>
      </w:r>
      <w:r>
        <w:t xml:space="preserve"> Stapleton, </w:t>
      </w:r>
      <w:r>
        <w:rPr>
          <w:i/>
        </w:rPr>
        <w:t>Three Essays on Torts</w:t>
      </w:r>
      <w:r>
        <w:t xml:space="preserve"> (2021)</w:t>
      </w:r>
      <w:r>
        <w:rPr>
          <w:i/>
        </w:rPr>
        <w:t xml:space="preserve">, </w:t>
      </w:r>
      <w:r>
        <w:t>at</w:t>
      </w:r>
      <w:r>
        <w:rPr>
          <w:i/>
        </w:rPr>
        <w:t xml:space="preserve"> </w:t>
      </w:r>
      <w:r>
        <w:t>p. 26.</w:t>
      </w:r>
    </w:p>
  </w:footnote>
  <w:footnote w:id="10">
    <w:p w14:paraId="5AD2A745" w14:textId="57E5915F" w:rsidR="00213BB7" w:rsidRDefault="00213BB7">
      <w:pPr>
        <w:pStyle w:val="FootnoteText"/>
      </w:pPr>
      <w:r>
        <w:rPr>
          <w:rStyle w:val="FootnoteReference"/>
        </w:rPr>
        <w:footnoteRef/>
      </w:r>
      <w:r>
        <w:t xml:space="preserve"> Examples include: Steve Hedley, “</w:t>
      </w:r>
      <w:r w:rsidRPr="001C38A4">
        <w:t>The Rise</w:t>
      </w:r>
      <w:r>
        <w:t xml:space="preserve"> and Fall of Private Law Theory”</w:t>
      </w:r>
      <w:r w:rsidRPr="001C38A4">
        <w:t xml:space="preserve"> (2018) 134 </w:t>
      </w:r>
      <w:r>
        <w:t>L.Q.R.</w:t>
      </w:r>
      <w:r w:rsidRPr="001C38A4">
        <w:t xml:space="preserve"> 214</w:t>
      </w:r>
      <w:r>
        <w:t xml:space="preserve"> (deontological theories show a distrust of collective action)</w:t>
      </w:r>
      <w:r w:rsidR="00ED1232">
        <w:t>;</w:t>
      </w:r>
      <w:r>
        <w:t xml:space="preserve"> </w:t>
      </w:r>
      <w:r w:rsidRPr="0047078B">
        <w:t xml:space="preserve">Dan Priel, </w:t>
      </w:r>
      <w:r>
        <w:t>“</w:t>
      </w:r>
      <w:r w:rsidRPr="0047078B">
        <w:t>Torts,</w:t>
      </w:r>
      <w:r>
        <w:t xml:space="preserve"> Rights and Right-Wing Ideology” (2011) 19</w:t>
      </w:r>
      <w:r w:rsidRPr="0047078B">
        <w:t xml:space="preserve"> Torts L</w:t>
      </w:r>
      <w:r>
        <w:t>.</w:t>
      </w:r>
      <w:r w:rsidRPr="0047078B">
        <w:t>J</w:t>
      </w:r>
      <w:r>
        <w:t>.</w:t>
      </w:r>
      <w:r w:rsidRPr="0047078B">
        <w:t xml:space="preserve"> 1</w:t>
      </w:r>
      <w:r>
        <w:t xml:space="preserve"> (they mask a</w:t>
      </w:r>
      <w:r w:rsidR="00ED1232">
        <w:t xml:space="preserve"> right-wing political ideology);</w:t>
      </w:r>
      <w:r>
        <w:t xml:space="preserve"> </w:t>
      </w:r>
      <w:r w:rsidRPr="0047078B">
        <w:t xml:space="preserve">Tsachi Keren-Paz, </w:t>
      </w:r>
      <w:r w:rsidRPr="0047078B">
        <w:rPr>
          <w:i/>
        </w:rPr>
        <w:t>Torts, Egalitarianism and Distributive Justice</w:t>
      </w:r>
      <w:r>
        <w:t xml:space="preserve"> (Aldershot: Ashgate,</w:t>
      </w:r>
      <w:r w:rsidRPr="0047078B">
        <w:t xml:space="preserve"> 2007)</w:t>
      </w:r>
      <w:r>
        <w:t xml:space="preserve"> (they wrongly deprecate distributive justice).</w:t>
      </w:r>
    </w:p>
  </w:footnote>
  <w:footnote w:id="11">
    <w:p w14:paraId="1EFBDB5F" w14:textId="1EE49549" w:rsidR="00213BB7" w:rsidRPr="00045689" w:rsidRDefault="00213BB7" w:rsidP="000A2E77">
      <w:pPr>
        <w:pStyle w:val="FootnoteText"/>
      </w:pPr>
      <w:r>
        <w:rPr>
          <w:rStyle w:val="FootnoteReference"/>
        </w:rPr>
        <w:footnoteRef/>
      </w:r>
      <w:r>
        <w:t xml:space="preserve"> See Ronald Dworkin, </w:t>
      </w:r>
      <w:r>
        <w:rPr>
          <w:i/>
        </w:rPr>
        <w:t>Law’s Empire</w:t>
      </w:r>
      <w:r>
        <w:t xml:space="preserve"> (Cambridge, </w:t>
      </w:r>
      <w:r w:rsidRPr="00E11B82">
        <w:t>Massachusetts</w:t>
      </w:r>
      <w:r>
        <w:t>: Belknap Press, 1986).</w:t>
      </w:r>
    </w:p>
  </w:footnote>
  <w:footnote w:id="12">
    <w:p w14:paraId="3F1B89A1" w14:textId="1E623392" w:rsidR="00213BB7" w:rsidRPr="00BD49A0" w:rsidRDefault="00213BB7" w:rsidP="000A2E77">
      <w:pPr>
        <w:pStyle w:val="FootnoteText"/>
      </w:pPr>
      <w:r>
        <w:rPr>
          <w:rStyle w:val="FootnoteReference"/>
        </w:rPr>
        <w:footnoteRef/>
      </w:r>
      <w:r>
        <w:t xml:space="preserve"> Jason Varuhas, “Mapping Doctrinal Methods” in Paul Daly and Joe Tomlinson (eds.), </w:t>
      </w:r>
      <w:r>
        <w:rPr>
          <w:i/>
        </w:rPr>
        <w:t>Researching Public Law in Common Law Systems</w:t>
      </w:r>
      <w:r>
        <w:t xml:space="preserve"> (Cheltenham: Edward Elgar, forthcoming in 2023).</w:t>
      </w:r>
    </w:p>
  </w:footnote>
  <w:footnote w:id="13">
    <w:p w14:paraId="4005A27C" w14:textId="23E4F2A6" w:rsidR="00213BB7" w:rsidRDefault="00213BB7" w:rsidP="00E7045C">
      <w:pPr>
        <w:pStyle w:val="FootnoteText"/>
      </w:pPr>
      <w:r>
        <w:rPr>
          <w:rStyle w:val="FootnoteReference"/>
        </w:rPr>
        <w:footnoteRef/>
      </w:r>
      <w:r>
        <w:t xml:space="preserve"> To borrow John Murphy’s phrasing in </w:t>
      </w:r>
      <w:r>
        <w:rPr>
          <w:i/>
        </w:rPr>
        <w:t>The Province and Politics of the Economic Torts</w:t>
      </w:r>
      <w:r>
        <w:t xml:space="preserve"> (Oxford: Hart, 2022), at p. 45.</w:t>
      </w:r>
    </w:p>
  </w:footnote>
  <w:footnote w:id="14">
    <w:p w14:paraId="33373BD9" w14:textId="1398EF45" w:rsidR="00213BB7" w:rsidRDefault="00213BB7" w:rsidP="00E7045C">
      <w:pPr>
        <w:pStyle w:val="FootnoteText"/>
      </w:pPr>
      <w:r>
        <w:rPr>
          <w:rStyle w:val="FootnoteReference"/>
        </w:rPr>
        <w:footnoteRef/>
      </w:r>
      <w:r>
        <w:t xml:space="preserve"> See Cane, “Rights in Private Law” in Nolan and Robertson (eds.), </w:t>
      </w:r>
      <w:r>
        <w:rPr>
          <w:i/>
        </w:rPr>
        <w:t>Rights and Private Law</w:t>
      </w:r>
      <w:r>
        <w:t xml:space="preserve"> (2012), at p. 40; Andrew Robertson, “On the Function of the Law of Ne</w:t>
      </w:r>
      <w:r w:rsidR="00ED1232">
        <w:t>gligence” (2013) 33 O.J.L.S. 31</w:t>
      </w:r>
      <w:r>
        <w:t xml:space="preserve"> at 46; Dan Priel, “Land Use Priorities and the Law of N</w:t>
      </w:r>
      <w:r w:rsidR="00ED1232">
        <w:t>uisance” (2015) 39 M.U.L.R. 346</w:t>
      </w:r>
      <w:r>
        <w:t xml:space="preserve"> at 352; Duncan Sheehan and T.T. Arvind, “Private Law Theory and Taxonomy: Reframing</w:t>
      </w:r>
      <w:r w:rsidR="00ED1232">
        <w:t xml:space="preserve"> the Debate” (2015) 35 L.S. 480</w:t>
      </w:r>
      <w:r>
        <w:t xml:space="preserve"> at 486; James Goudkamp and John Murphy, “The Failure of Universal Tort Theories” (2015) 21 L.T. 47 at 84-85; Steve Hedley, “Corrective Justice: An Idea Whose Time Has Gone?” in </w:t>
      </w:r>
      <w:r w:rsidRPr="004C5A04">
        <w:t>Maksymilian Del Mar</w:t>
      </w:r>
      <w:r>
        <w:t xml:space="preserve"> and Michael Lobban (eds.), </w:t>
      </w:r>
      <w:r>
        <w:rPr>
          <w:i/>
        </w:rPr>
        <w:t>Law in Theory and History: New Essays on a Neglected Dialogue</w:t>
      </w:r>
      <w:r>
        <w:t xml:space="preserve"> (Oxford: Hart, 2016), at p. 315; Stapleton, </w:t>
      </w:r>
      <w:r>
        <w:rPr>
          <w:i/>
        </w:rPr>
        <w:t>Three Essays on Torts</w:t>
      </w:r>
      <w:r>
        <w:t xml:space="preserve"> (2021), at</w:t>
      </w:r>
      <w:r>
        <w:rPr>
          <w:i/>
        </w:rPr>
        <w:t xml:space="preserve"> </w:t>
      </w:r>
      <w:r>
        <w:t xml:space="preserve">p. 25; Murphy, </w:t>
      </w:r>
      <w:r>
        <w:rPr>
          <w:i/>
        </w:rPr>
        <w:t>The Province and Politics of the Economic Torts</w:t>
      </w:r>
      <w:r>
        <w:t xml:space="preserve"> (2022)</w:t>
      </w:r>
      <w:r>
        <w:rPr>
          <w:i/>
        </w:rPr>
        <w:t>,</w:t>
      </w:r>
      <w:r>
        <w:t xml:space="preserve"> at p. 45; Varuhas, “Mapping Doctrinal Methods” in Daly and Tomlinson (eds.), </w:t>
      </w:r>
      <w:r>
        <w:rPr>
          <w:i/>
        </w:rPr>
        <w:t>Researching Public Law in Common Law Systems</w:t>
      </w:r>
      <w:r>
        <w:t xml:space="preserve"> (forthcoming in 2023). For a defence see Martin Allcock, “</w:t>
      </w:r>
      <w:r w:rsidRPr="00DF6DE2">
        <w:t xml:space="preserve">In </w:t>
      </w:r>
      <w:r>
        <w:t>D</w:t>
      </w:r>
      <w:r w:rsidRPr="00DF6DE2">
        <w:t>ef</w:t>
      </w:r>
      <w:r>
        <w:t>ence of Weinrib's and Beever's Interpretive Theories of N</w:t>
      </w:r>
      <w:r w:rsidRPr="00DF6DE2">
        <w:t>egligence</w:t>
      </w:r>
      <w:r>
        <w:t>” (2017) 24 Torts L.J. 125.</w:t>
      </w:r>
    </w:p>
  </w:footnote>
  <w:footnote w:id="15">
    <w:p w14:paraId="41F19C16" w14:textId="091E0BC7" w:rsidR="00213BB7" w:rsidRPr="00C22E7E" w:rsidRDefault="00213BB7">
      <w:pPr>
        <w:pStyle w:val="FootnoteText"/>
      </w:pPr>
      <w:r>
        <w:rPr>
          <w:rStyle w:val="FootnoteReference"/>
        </w:rPr>
        <w:footnoteRef/>
      </w:r>
      <w:r>
        <w:t xml:space="preserve"> John Rawls, </w:t>
      </w:r>
      <w:r>
        <w:rPr>
          <w:i/>
        </w:rPr>
        <w:t>A Theory of Justice</w:t>
      </w:r>
      <w:r>
        <w:t xml:space="preserve"> (Cambridge, </w:t>
      </w:r>
      <w:r w:rsidRPr="00E11B82">
        <w:t>Massachusetts</w:t>
      </w:r>
      <w:r>
        <w:t xml:space="preserve">: Belknap Press, 1971), ch. 9. </w:t>
      </w:r>
    </w:p>
  </w:footnote>
  <w:footnote w:id="16">
    <w:p w14:paraId="528C819C" w14:textId="073FD735" w:rsidR="00213BB7" w:rsidRDefault="00213BB7" w:rsidP="005C3953">
      <w:pPr>
        <w:pStyle w:val="FootnoteText"/>
      </w:pPr>
      <w:r>
        <w:rPr>
          <w:rStyle w:val="FootnoteReference"/>
        </w:rPr>
        <w:footnoteRef/>
      </w:r>
      <w:r>
        <w:t xml:space="preserve"> </w:t>
      </w:r>
      <w:r w:rsidRPr="00B06C6D">
        <w:t>S</w:t>
      </w:r>
      <w:r>
        <w:t>teve Hedley, “The Shock of the Old: Interpretivism in O</w:t>
      </w:r>
      <w:r w:rsidRPr="00B06C6D">
        <w:t>bligations</w:t>
      </w:r>
      <w:r>
        <w:t>”</w:t>
      </w:r>
      <w:r w:rsidRPr="00B06C6D">
        <w:t xml:space="preserve"> in C</w:t>
      </w:r>
      <w:r>
        <w:t>harles</w:t>
      </w:r>
      <w:r w:rsidRPr="00B06C6D">
        <w:t xml:space="preserve"> Rickett and R</w:t>
      </w:r>
      <w:r>
        <w:t>oss</w:t>
      </w:r>
      <w:r w:rsidRPr="00B06C6D">
        <w:t xml:space="preserve"> Grantham (eds</w:t>
      </w:r>
      <w:r>
        <w:t>.</w:t>
      </w:r>
      <w:r w:rsidRPr="00B06C6D">
        <w:t>)</w:t>
      </w:r>
      <w:r>
        <w:t>,</w:t>
      </w:r>
      <w:r w:rsidRPr="00B06C6D">
        <w:t xml:space="preserve"> </w:t>
      </w:r>
      <w:r w:rsidRPr="00B06C6D">
        <w:rPr>
          <w:i/>
        </w:rPr>
        <w:t>Structure and Justification in Private Law</w:t>
      </w:r>
      <w:r>
        <w:rPr>
          <w:i/>
        </w:rPr>
        <w:t>: Essays for Peter Birks</w:t>
      </w:r>
      <w:r w:rsidRPr="00B06C6D">
        <w:t xml:space="preserve"> (</w:t>
      </w:r>
      <w:r>
        <w:t xml:space="preserve">Oxford: Hart, </w:t>
      </w:r>
      <w:r w:rsidRPr="00B06C6D">
        <w:t>2008)</w:t>
      </w:r>
      <w:r>
        <w:t>, at p. 213.</w:t>
      </w:r>
    </w:p>
  </w:footnote>
  <w:footnote w:id="17">
    <w:p w14:paraId="7355126A" w14:textId="5E440767" w:rsidR="00213BB7" w:rsidRDefault="00213BB7" w:rsidP="005C3953">
      <w:pPr>
        <w:pStyle w:val="FootnoteText"/>
      </w:pPr>
      <w:r>
        <w:rPr>
          <w:rStyle w:val="FootnoteReference"/>
        </w:rPr>
        <w:footnoteRef/>
      </w:r>
      <w:r>
        <w:t xml:space="preserve"> Allan Beever and Charles Rickett, “Interpretive Legal Theory and the Academic Lawyer” (2005) 69 M.L.R. 320; Allan Beever, </w:t>
      </w:r>
      <w:r>
        <w:rPr>
          <w:i/>
        </w:rPr>
        <w:t xml:space="preserve">Rediscovering the Law of Negligence </w:t>
      </w:r>
      <w:r>
        <w:t xml:space="preserve">(Oxford: Hart, 2007). </w:t>
      </w:r>
    </w:p>
  </w:footnote>
  <w:footnote w:id="18">
    <w:p w14:paraId="21B0570F" w14:textId="623AF216" w:rsidR="00213BB7" w:rsidRDefault="00213BB7" w:rsidP="005C3953">
      <w:pPr>
        <w:pStyle w:val="FootnoteText"/>
      </w:pPr>
      <w:r>
        <w:rPr>
          <w:rStyle w:val="FootnoteReference"/>
        </w:rPr>
        <w:footnoteRef/>
      </w:r>
      <w:r>
        <w:t xml:space="preserve"> Hedley, “The Shock of the Old: Interpretivism in O</w:t>
      </w:r>
      <w:r w:rsidRPr="00B06C6D">
        <w:t>bligations</w:t>
      </w:r>
      <w:r>
        <w:t>”</w:t>
      </w:r>
      <w:r w:rsidRPr="00095910">
        <w:t xml:space="preserve"> </w:t>
      </w:r>
      <w:r w:rsidRPr="00B06C6D">
        <w:t xml:space="preserve">in </w:t>
      </w:r>
      <w:r>
        <w:t>Rickett and</w:t>
      </w:r>
      <w:r w:rsidRPr="00B06C6D">
        <w:t xml:space="preserve"> Grantham (eds</w:t>
      </w:r>
      <w:r>
        <w:t>.</w:t>
      </w:r>
      <w:r w:rsidRPr="00B06C6D">
        <w:t>)</w:t>
      </w:r>
      <w:r>
        <w:t>,</w:t>
      </w:r>
      <w:r w:rsidRPr="00B06C6D">
        <w:t xml:space="preserve"> </w:t>
      </w:r>
      <w:r w:rsidRPr="00B06C6D">
        <w:rPr>
          <w:i/>
        </w:rPr>
        <w:t>Structure and Justification in Private Law</w:t>
      </w:r>
      <w:r>
        <w:rPr>
          <w:i/>
        </w:rPr>
        <w:t>: Essays for Peter Birks</w:t>
      </w:r>
      <w:r w:rsidRPr="00B06C6D">
        <w:t xml:space="preserve"> (2008)</w:t>
      </w:r>
      <w:r>
        <w:t>, at p. 208.</w:t>
      </w:r>
    </w:p>
  </w:footnote>
  <w:footnote w:id="19">
    <w:p w14:paraId="79C77B43" w14:textId="3AF8A038" w:rsidR="00213BB7" w:rsidRDefault="00213BB7" w:rsidP="0010495B">
      <w:pPr>
        <w:pStyle w:val="FootnoteText"/>
      </w:pPr>
      <w:r>
        <w:rPr>
          <w:rStyle w:val="FootnoteReference"/>
        </w:rPr>
        <w:footnoteRef/>
      </w:r>
      <w:r>
        <w:t xml:space="preserve"> Goldberg and Zipursky, </w:t>
      </w:r>
      <w:r w:rsidRPr="00DE3C33">
        <w:rPr>
          <w:i/>
        </w:rPr>
        <w:t>Recognizing Wrongs</w:t>
      </w:r>
      <w:r>
        <w:t xml:space="preserve"> (2020)</w:t>
      </w:r>
      <w:r>
        <w:rPr>
          <w:i/>
        </w:rPr>
        <w:t xml:space="preserve">, </w:t>
      </w:r>
      <w:r>
        <w:t>at</w:t>
      </w:r>
      <w:r>
        <w:rPr>
          <w:i/>
        </w:rPr>
        <w:t xml:space="preserve"> </w:t>
      </w:r>
      <w:r>
        <w:t>p. 10. For criticism of their interpretive approach see Emily Sherwin, “Interpreting Tort Law” (2011) 39 Florida St. U.L.R. 227.</w:t>
      </w:r>
    </w:p>
  </w:footnote>
  <w:footnote w:id="20">
    <w:p w14:paraId="549B1841" w14:textId="16D65DC8" w:rsidR="00213BB7" w:rsidRDefault="00213BB7">
      <w:pPr>
        <w:pStyle w:val="FootnoteText"/>
      </w:pPr>
      <w:r>
        <w:rPr>
          <w:rStyle w:val="FootnoteReference"/>
        </w:rPr>
        <w:footnoteRef/>
      </w:r>
      <w:r>
        <w:t xml:space="preserve">  See Ernest Weinrib, </w:t>
      </w:r>
      <w:r>
        <w:rPr>
          <w:i/>
        </w:rPr>
        <w:t xml:space="preserve">The Idea of Private Law, </w:t>
      </w:r>
      <w:r>
        <w:t>revised edn</w:t>
      </w:r>
      <w:r>
        <w:rPr>
          <w:i/>
        </w:rPr>
        <w:t xml:space="preserve"> </w:t>
      </w:r>
      <w:r>
        <w:t>(Oxford: Oxford University Press, 2012), which is described as interpretive in Beever and Rickett, “Interpretive Legal Theory and the Academic Lawyer” (2005) 69 M.L.R. 320 and in Allcock, “</w:t>
      </w:r>
      <w:r w:rsidRPr="00DF6DE2">
        <w:t xml:space="preserve">In </w:t>
      </w:r>
      <w:r>
        <w:t>D</w:t>
      </w:r>
      <w:r w:rsidRPr="00DF6DE2">
        <w:t>ef</w:t>
      </w:r>
      <w:r>
        <w:t>ence of Weinrib's and Beever's Interpretive Theories of N</w:t>
      </w:r>
      <w:r w:rsidRPr="00DF6DE2">
        <w:t>egligence</w:t>
      </w:r>
      <w:r>
        <w:t xml:space="preserve">” (2017) 24 Torts L.J. 125. </w:t>
      </w:r>
    </w:p>
  </w:footnote>
  <w:footnote w:id="21">
    <w:p w14:paraId="71543816" w14:textId="1545114F" w:rsidR="00213BB7" w:rsidRDefault="00213BB7">
      <w:pPr>
        <w:pStyle w:val="FootnoteText"/>
      </w:pPr>
      <w:r>
        <w:rPr>
          <w:rStyle w:val="FootnoteReference"/>
        </w:rPr>
        <w:footnoteRef/>
      </w:r>
      <w:r>
        <w:t xml:space="preserve"> He describes his Kantian account as historical, descriptive, normative and interpretive in Arthur Ripstein, </w:t>
      </w:r>
      <w:r>
        <w:rPr>
          <w:i/>
        </w:rPr>
        <w:t xml:space="preserve">Private Wrongs </w:t>
      </w:r>
      <w:r>
        <w:t xml:space="preserve">(Cambridge, </w:t>
      </w:r>
      <w:r w:rsidRPr="00E11B82">
        <w:t>Massachusetts</w:t>
      </w:r>
      <w:r>
        <w:t>: Harvard University Press, 2016),</w:t>
      </w:r>
      <w:r>
        <w:rPr>
          <w:i/>
        </w:rPr>
        <w:t xml:space="preserve"> </w:t>
      </w:r>
      <w:r>
        <w:t>at pp. 19-22.</w:t>
      </w:r>
    </w:p>
  </w:footnote>
  <w:footnote w:id="22">
    <w:p w14:paraId="1AA75119" w14:textId="277728B8" w:rsidR="00213BB7" w:rsidRDefault="00213BB7" w:rsidP="008F3710">
      <w:pPr>
        <w:pStyle w:val="FootnoteText"/>
      </w:pPr>
      <w:r>
        <w:rPr>
          <w:rStyle w:val="FootnoteReference"/>
        </w:rPr>
        <w:footnoteRef/>
      </w:r>
      <w:r>
        <w:t xml:space="preserve"> </w:t>
      </w:r>
      <w:r w:rsidRPr="008102E6">
        <w:rPr>
          <w:rFonts w:cs="Times New Roman"/>
        </w:rPr>
        <w:t xml:space="preserve">An example of a theorist who would be able to deflect, to a certain extent, the arguments </w:t>
      </w:r>
      <w:r>
        <w:rPr>
          <w:rFonts w:cs="Times New Roman"/>
        </w:rPr>
        <w:t xml:space="preserve">that follow </w:t>
      </w:r>
      <w:r w:rsidRPr="008102E6">
        <w:rPr>
          <w:rFonts w:cs="Times New Roman"/>
        </w:rPr>
        <w:t>would be Nicholas McBride. Despite rights playing a significant role in his theory of tort law based on human flourishing, he at least attempts to make a clear demarcation between the explanatory and the normative</w:t>
      </w:r>
      <w:r>
        <w:rPr>
          <w:rFonts w:cs="Times New Roman"/>
        </w:rPr>
        <w:t xml:space="preserve">. </w:t>
      </w:r>
      <w:r>
        <w:t xml:space="preserve">Nicholas McBride, </w:t>
      </w:r>
      <w:r>
        <w:rPr>
          <w:i/>
        </w:rPr>
        <w:t xml:space="preserve">The Humanity of Private Law Part 1: Explanation </w:t>
      </w:r>
      <w:r>
        <w:t xml:space="preserve">(Oxford: Hart, 2018) and </w:t>
      </w:r>
      <w:r>
        <w:rPr>
          <w:i/>
        </w:rPr>
        <w:t xml:space="preserve">The Humanity of Private Law Part 2: Evaluation </w:t>
      </w:r>
      <w:r>
        <w:t>(Oxford: Hart, 2020). C.f. Craig Purshouse, “</w:t>
      </w:r>
      <w:r w:rsidRPr="00203AA0">
        <w:t>Flourishing Under Private Law? A Critique of McBride’s Explanatory Theory</w:t>
      </w:r>
      <w:r>
        <w:t>” (2021) XXXIV C.J.L.J. 239.</w:t>
      </w:r>
    </w:p>
  </w:footnote>
  <w:footnote w:id="23">
    <w:p w14:paraId="0919557B" w14:textId="6742BB29" w:rsidR="00213BB7" w:rsidRDefault="00213BB7" w:rsidP="009E5DB3">
      <w:pPr>
        <w:pStyle w:val="FootnoteText"/>
      </w:pPr>
      <w:r>
        <w:rPr>
          <w:rStyle w:val="FootnoteReference"/>
        </w:rPr>
        <w:footnoteRef/>
      </w:r>
      <w:r>
        <w:t xml:space="preserve"> Jules Coleman, </w:t>
      </w:r>
      <w:r>
        <w:rPr>
          <w:i/>
        </w:rPr>
        <w:t>Risks and Wrongs</w:t>
      </w:r>
      <w:r>
        <w:t xml:space="preserve"> (Cambridge: Cambridge University Press, 1992), at p. 198.</w:t>
      </w:r>
    </w:p>
  </w:footnote>
  <w:footnote w:id="24">
    <w:p w14:paraId="5B2F49BE" w14:textId="33D9C775" w:rsidR="00213BB7" w:rsidRDefault="00213BB7" w:rsidP="009E5DB3">
      <w:pPr>
        <w:pStyle w:val="FootnoteText"/>
      </w:pPr>
      <w:r>
        <w:rPr>
          <w:rStyle w:val="FootnoteReference"/>
        </w:rPr>
        <w:footnoteRef/>
      </w:r>
      <w:r>
        <w:t xml:space="preserve"> Weinrib, </w:t>
      </w:r>
      <w:r>
        <w:rPr>
          <w:i/>
        </w:rPr>
        <w:t>The Idea of Private Law,</w:t>
      </w:r>
      <w:r>
        <w:t xml:space="preserve"> revised edn (2012), at pp. 5-6, and at p. 22.</w:t>
      </w:r>
    </w:p>
  </w:footnote>
  <w:footnote w:id="25">
    <w:p w14:paraId="402CE0C7" w14:textId="38329210" w:rsidR="00213BB7" w:rsidRPr="00BC30FB" w:rsidRDefault="00213BB7" w:rsidP="009E5DB3">
      <w:pPr>
        <w:pStyle w:val="FootnoteText"/>
      </w:pPr>
      <w:r>
        <w:rPr>
          <w:rStyle w:val="FootnoteReference"/>
        </w:rPr>
        <w:footnoteRef/>
      </w:r>
      <w:r>
        <w:t xml:space="preserve"> Weinrib, </w:t>
      </w:r>
      <w:r>
        <w:rPr>
          <w:i/>
        </w:rPr>
        <w:t xml:space="preserve">The Idea of Private Law, </w:t>
      </w:r>
      <w:r>
        <w:t>revised edn (2012), at</w:t>
      </w:r>
      <w:r>
        <w:rPr>
          <w:i/>
        </w:rPr>
        <w:t xml:space="preserve"> </w:t>
      </w:r>
      <w:r>
        <w:t xml:space="preserve">p. 19. Hedley, “Corrective Justice: An Idea Whose Time Has Gone?” in </w:t>
      </w:r>
      <w:r w:rsidRPr="004C5A04">
        <w:t>Del Mar</w:t>
      </w:r>
      <w:r>
        <w:t xml:space="preserve"> and Lobban (eds.), </w:t>
      </w:r>
      <w:r>
        <w:rPr>
          <w:i/>
        </w:rPr>
        <w:t>Law in Theory and History: New Essays on a Neglected Dialogue</w:t>
      </w:r>
      <w:r>
        <w:t xml:space="preserve"> (2016), at p. 307.</w:t>
      </w:r>
    </w:p>
  </w:footnote>
  <w:footnote w:id="26">
    <w:p w14:paraId="6F52630B" w14:textId="671EB254" w:rsidR="00213BB7" w:rsidRPr="009215A0" w:rsidRDefault="00213BB7" w:rsidP="009E5DB3">
      <w:pPr>
        <w:pStyle w:val="FootnoteText"/>
      </w:pPr>
      <w:r>
        <w:rPr>
          <w:rStyle w:val="FootnoteReference"/>
        </w:rPr>
        <w:footnoteRef/>
      </w:r>
      <w:r>
        <w:t xml:space="preserve"> Immanuel Kant, </w:t>
      </w:r>
      <w:r>
        <w:rPr>
          <w:i/>
        </w:rPr>
        <w:t>The Metaphysic of Morals</w:t>
      </w:r>
      <w:r>
        <w:t>, Lara Denis (ed.) and Mary Gregor (tr.) (Cambridge: Cambridge University Press, 2017), at p.</w:t>
      </w:r>
      <w:r w:rsidR="00ED1232">
        <w:t xml:space="preserve"> 27;</w:t>
      </w:r>
      <w:r>
        <w:t xml:space="preserve"> Weinrib, </w:t>
      </w:r>
      <w:r>
        <w:rPr>
          <w:i/>
        </w:rPr>
        <w:t>The Idea of Private Law</w:t>
      </w:r>
      <w:r>
        <w:t xml:space="preserve"> revised edn (2012), at p. 19.</w:t>
      </w:r>
    </w:p>
  </w:footnote>
  <w:footnote w:id="27">
    <w:p w14:paraId="46AE921C" w14:textId="76EF04F2" w:rsidR="00213BB7" w:rsidRPr="00F2572C" w:rsidRDefault="00213BB7" w:rsidP="009E5DB3">
      <w:pPr>
        <w:pStyle w:val="FootnoteText"/>
      </w:pPr>
      <w:r>
        <w:rPr>
          <w:rStyle w:val="FootnoteReference"/>
        </w:rPr>
        <w:footnoteRef/>
      </w:r>
      <w:r>
        <w:t xml:space="preserve"> Allan Beever, </w:t>
      </w:r>
      <w:r>
        <w:rPr>
          <w:i/>
        </w:rPr>
        <w:t xml:space="preserve">A Theory of Tort Liability </w:t>
      </w:r>
      <w:r>
        <w:t>(Oxford: Hart, 2016), at p. 23.</w:t>
      </w:r>
    </w:p>
  </w:footnote>
  <w:footnote w:id="28">
    <w:p w14:paraId="58BA2748" w14:textId="20C9BBEB" w:rsidR="00213BB7" w:rsidRDefault="00213BB7" w:rsidP="009E5DB3">
      <w:pPr>
        <w:pStyle w:val="FootnoteText"/>
      </w:pPr>
      <w:r>
        <w:rPr>
          <w:rStyle w:val="FootnoteReference"/>
        </w:rPr>
        <w:footnoteRef/>
      </w:r>
      <w:r>
        <w:t xml:space="preserve"> Beever, </w:t>
      </w:r>
      <w:r>
        <w:rPr>
          <w:i/>
        </w:rPr>
        <w:t>A Theory of Tort Liability</w:t>
      </w:r>
      <w:r>
        <w:t xml:space="preserve"> (2016)</w:t>
      </w:r>
      <w:r>
        <w:rPr>
          <w:i/>
        </w:rPr>
        <w:t>,</w:t>
      </w:r>
      <w:r>
        <w:t xml:space="preserve"> at</w:t>
      </w:r>
      <w:r>
        <w:rPr>
          <w:i/>
        </w:rPr>
        <w:t xml:space="preserve"> </w:t>
      </w:r>
      <w:r>
        <w:t>p. 27.</w:t>
      </w:r>
    </w:p>
  </w:footnote>
  <w:footnote w:id="29">
    <w:p w14:paraId="435A28AB" w14:textId="4CAD53BA" w:rsidR="00213BB7" w:rsidRPr="0083623D" w:rsidRDefault="00213BB7">
      <w:pPr>
        <w:pStyle w:val="FootnoteText"/>
      </w:pPr>
      <w:r>
        <w:rPr>
          <w:rStyle w:val="FootnoteReference"/>
        </w:rPr>
        <w:footnoteRef/>
      </w:r>
      <w:r>
        <w:t xml:space="preserve"> Allan Beever, </w:t>
      </w:r>
      <w:r>
        <w:rPr>
          <w:i/>
        </w:rPr>
        <w:t xml:space="preserve">The Law of Private Nuisance </w:t>
      </w:r>
      <w:r>
        <w:t>(Oxford: Hart, 2013).</w:t>
      </w:r>
    </w:p>
  </w:footnote>
  <w:footnote w:id="30">
    <w:p w14:paraId="1D47688B" w14:textId="1FAC3841" w:rsidR="00213BB7" w:rsidRPr="009C0F58" w:rsidRDefault="00213BB7" w:rsidP="005E7AB0">
      <w:pPr>
        <w:pStyle w:val="FootnoteText"/>
      </w:pPr>
      <w:r>
        <w:rPr>
          <w:rStyle w:val="FootnoteReference"/>
        </w:rPr>
        <w:footnoteRef/>
      </w:r>
      <w:r>
        <w:t xml:space="preserve"> His theory of nuisance law, which prioritises certain uses of land,</w:t>
      </w:r>
      <w:r>
        <w:rPr>
          <w:i/>
        </w:rPr>
        <w:t xml:space="preserve"> </w:t>
      </w:r>
      <w:r>
        <w:t xml:space="preserve">appears to have influenced the majority of the Supreme Court in </w:t>
      </w:r>
      <w:r>
        <w:rPr>
          <w:i/>
        </w:rPr>
        <w:t>Fearn v Board of Trustees of the Tate Gallery</w:t>
      </w:r>
      <w:r>
        <w:t xml:space="preserve"> [2023] UKSC 4; </w:t>
      </w:r>
      <w:r w:rsidRPr="00647157">
        <w:t>[2023] 2 W.L.R. 339</w:t>
      </w:r>
      <w:r>
        <w:t xml:space="preserve"> and he was cited with approval at [18] (Lord Leggatt).</w:t>
      </w:r>
    </w:p>
  </w:footnote>
  <w:footnote w:id="31">
    <w:p w14:paraId="73ADCF89" w14:textId="763AF558" w:rsidR="00213BB7" w:rsidRDefault="00213BB7">
      <w:pPr>
        <w:pStyle w:val="FootnoteText"/>
      </w:pPr>
      <w:r>
        <w:rPr>
          <w:rStyle w:val="FootnoteReference"/>
        </w:rPr>
        <w:footnoteRef/>
      </w:r>
      <w:r>
        <w:t xml:space="preserve"> Robert Stevens, </w:t>
      </w:r>
      <w:r>
        <w:rPr>
          <w:i/>
        </w:rPr>
        <w:t xml:space="preserve">Torts and Rights </w:t>
      </w:r>
      <w:r>
        <w:t>(Oxford: Oxford University Press, 2007), at p 2.</w:t>
      </w:r>
    </w:p>
  </w:footnote>
  <w:footnote w:id="32">
    <w:p w14:paraId="19926CCA" w14:textId="0B71534B" w:rsidR="00213BB7" w:rsidRDefault="00213BB7" w:rsidP="002B59CD">
      <w:pPr>
        <w:pStyle w:val="FootnoteText"/>
      </w:pPr>
      <w:r>
        <w:rPr>
          <w:rStyle w:val="FootnoteReference"/>
        </w:rPr>
        <w:footnoteRef/>
      </w:r>
      <w:r>
        <w:t xml:space="preserve"> Stevens, “The Conflict of Rights”</w:t>
      </w:r>
      <w:r w:rsidRPr="00E83859">
        <w:t xml:space="preserve"> </w:t>
      </w:r>
      <w:r>
        <w:t xml:space="preserve">in Robertson and Tang (eds.), </w:t>
      </w:r>
      <w:r>
        <w:rPr>
          <w:i/>
        </w:rPr>
        <w:t>The Goals of Private Law</w:t>
      </w:r>
      <w:r>
        <w:t xml:space="preserve"> (2009), at p. 141. See also Stevens, </w:t>
      </w:r>
      <w:r w:rsidRPr="007702F5">
        <w:rPr>
          <w:i/>
        </w:rPr>
        <w:t>Torts and Rights</w:t>
      </w:r>
      <w:r>
        <w:t xml:space="preserve"> (2007), at p. 306.</w:t>
      </w:r>
    </w:p>
  </w:footnote>
  <w:footnote w:id="33">
    <w:p w14:paraId="17FBEE09" w14:textId="15951614" w:rsidR="00213BB7" w:rsidRDefault="00213BB7" w:rsidP="00A72EE0">
      <w:pPr>
        <w:pStyle w:val="FootnoteText"/>
      </w:pPr>
      <w:r>
        <w:rPr>
          <w:rStyle w:val="FootnoteReference"/>
        </w:rPr>
        <w:footnoteRef/>
      </w:r>
      <w:r>
        <w:t xml:space="preserve"> Dworkin, </w:t>
      </w:r>
      <w:r w:rsidRPr="00A521CC">
        <w:rPr>
          <w:i/>
        </w:rPr>
        <w:t>Law’s Empire</w:t>
      </w:r>
      <w:r>
        <w:t xml:space="preserve"> (1986), at p 52. </w:t>
      </w:r>
    </w:p>
  </w:footnote>
  <w:footnote w:id="34">
    <w:p w14:paraId="71BF0C5B" w14:textId="2D8B55C1" w:rsidR="00213BB7" w:rsidRDefault="00213BB7" w:rsidP="006108B8">
      <w:pPr>
        <w:pStyle w:val="FootnoteText"/>
      </w:pPr>
      <w:r>
        <w:rPr>
          <w:rStyle w:val="FootnoteReference"/>
        </w:rPr>
        <w:footnoteRef/>
      </w:r>
      <w:r>
        <w:t xml:space="preserve"> Dworkin, </w:t>
      </w:r>
      <w:r>
        <w:rPr>
          <w:i/>
        </w:rPr>
        <w:t xml:space="preserve">Law’s Empire </w:t>
      </w:r>
      <w:r>
        <w:t>(1986), at p. 91, p. 239.</w:t>
      </w:r>
    </w:p>
  </w:footnote>
  <w:footnote w:id="35">
    <w:p w14:paraId="4373EB1A" w14:textId="29D02F8D" w:rsidR="00213BB7" w:rsidRDefault="00213BB7" w:rsidP="006108B8">
      <w:pPr>
        <w:pStyle w:val="FootnoteText"/>
      </w:pPr>
      <w:r>
        <w:rPr>
          <w:rStyle w:val="FootnoteReference"/>
        </w:rPr>
        <w:footnoteRef/>
      </w:r>
      <w:r>
        <w:t xml:space="preserve"> Hedley, “The Shock of the Old: Interpretivism in O</w:t>
      </w:r>
      <w:r w:rsidRPr="00B06C6D">
        <w:t>bligations</w:t>
      </w:r>
      <w:r>
        <w:t>”</w:t>
      </w:r>
      <w:r w:rsidRPr="00095910">
        <w:t xml:space="preserve"> </w:t>
      </w:r>
      <w:r w:rsidRPr="00B06C6D">
        <w:t xml:space="preserve">in </w:t>
      </w:r>
      <w:r>
        <w:t>Rickett and</w:t>
      </w:r>
      <w:r w:rsidRPr="00B06C6D">
        <w:t xml:space="preserve"> Grantham (eds</w:t>
      </w:r>
      <w:r>
        <w:t>.</w:t>
      </w:r>
      <w:r w:rsidRPr="00B06C6D">
        <w:t>)</w:t>
      </w:r>
      <w:r>
        <w:t>,</w:t>
      </w:r>
      <w:r w:rsidRPr="00B06C6D">
        <w:t xml:space="preserve"> </w:t>
      </w:r>
      <w:r w:rsidRPr="00B06C6D">
        <w:rPr>
          <w:i/>
        </w:rPr>
        <w:t>Structure and Justification in Private Law</w:t>
      </w:r>
      <w:r>
        <w:rPr>
          <w:i/>
        </w:rPr>
        <w:t>: Essays for Peter Birks</w:t>
      </w:r>
      <w:r w:rsidRPr="00B06C6D">
        <w:t xml:space="preserve"> (2008)</w:t>
      </w:r>
      <w:r>
        <w:t>, at p. 206.</w:t>
      </w:r>
    </w:p>
  </w:footnote>
  <w:footnote w:id="36">
    <w:p w14:paraId="4862BCDF" w14:textId="48F33FA6" w:rsidR="00213BB7" w:rsidRDefault="00213BB7" w:rsidP="007D41D8">
      <w:pPr>
        <w:pStyle w:val="FootnoteText"/>
      </w:pPr>
      <w:r>
        <w:rPr>
          <w:rStyle w:val="FootnoteReference"/>
        </w:rPr>
        <w:footnoteRef/>
      </w:r>
      <w:r>
        <w:t xml:space="preserve"> Dworkin, </w:t>
      </w:r>
      <w:r w:rsidRPr="00A521CC">
        <w:rPr>
          <w:i/>
        </w:rPr>
        <w:t>Law’s Empire</w:t>
      </w:r>
      <w:r>
        <w:rPr>
          <w:i/>
        </w:rPr>
        <w:t xml:space="preserve"> </w:t>
      </w:r>
      <w:r>
        <w:t>(1986)</w:t>
      </w:r>
      <w:r>
        <w:rPr>
          <w:i/>
        </w:rPr>
        <w:t xml:space="preserve">, </w:t>
      </w:r>
      <w:r>
        <w:t>at p. 228.</w:t>
      </w:r>
    </w:p>
  </w:footnote>
  <w:footnote w:id="37">
    <w:p w14:paraId="49D83B33" w14:textId="43B9C625" w:rsidR="00213BB7" w:rsidRDefault="00213BB7">
      <w:pPr>
        <w:pStyle w:val="FootnoteText"/>
      </w:pPr>
      <w:r>
        <w:rPr>
          <w:rStyle w:val="FootnoteReference"/>
        </w:rPr>
        <w:footnoteRef/>
      </w:r>
      <w:r>
        <w:t xml:space="preserve"> Stevens, </w:t>
      </w:r>
      <w:r w:rsidRPr="00A521CC">
        <w:rPr>
          <w:i/>
        </w:rPr>
        <w:t>Torts and Rights</w:t>
      </w:r>
      <w:r>
        <w:rPr>
          <w:i/>
        </w:rPr>
        <w:t xml:space="preserve"> </w:t>
      </w:r>
      <w:r>
        <w:t>(2007), at p. 315.</w:t>
      </w:r>
    </w:p>
  </w:footnote>
  <w:footnote w:id="38">
    <w:p w14:paraId="60C8C6F4" w14:textId="19E0D9F4" w:rsidR="00213BB7" w:rsidRDefault="00213BB7">
      <w:pPr>
        <w:pStyle w:val="FootnoteText"/>
      </w:pPr>
      <w:r>
        <w:rPr>
          <w:rStyle w:val="FootnoteReference"/>
        </w:rPr>
        <w:footnoteRef/>
      </w:r>
      <w:r>
        <w:t xml:space="preserve"> Stevens, </w:t>
      </w:r>
      <w:r w:rsidRPr="00A521CC">
        <w:rPr>
          <w:i/>
        </w:rPr>
        <w:t>Torts and Rights</w:t>
      </w:r>
      <w:r>
        <w:rPr>
          <w:i/>
        </w:rPr>
        <w:t xml:space="preserve"> </w:t>
      </w:r>
      <w:r>
        <w:t>(2007), at p. 315.</w:t>
      </w:r>
    </w:p>
  </w:footnote>
  <w:footnote w:id="39">
    <w:p w14:paraId="33275E2B" w14:textId="621634EA" w:rsidR="00213BB7" w:rsidRPr="009D7887" w:rsidRDefault="00213BB7" w:rsidP="004F2CB3">
      <w:pPr>
        <w:pStyle w:val="FootnoteText"/>
      </w:pPr>
      <w:r>
        <w:rPr>
          <w:rStyle w:val="FootnoteReference"/>
        </w:rPr>
        <w:footnoteRef/>
      </w:r>
      <w:r>
        <w:t xml:space="preserve"> Stephen A. Smith, </w:t>
      </w:r>
      <w:r>
        <w:rPr>
          <w:i/>
        </w:rPr>
        <w:t>Contract Theory</w:t>
      </w:r>
      <w:r>
        <w:t xml:space="preserve"> (Oxford: Oxford University Press, 2004), at pp. 7-32.</w:t>
      </w:r>
    </w:p>
  </w:footnote>
  <w:footnote w:id="40">
    <w:p w14:paraId="08545D15" w14:textId="00CBECEB" w:rsidR="00213BB7" w:rsidRDefault="00213BB7" w:rsidP="004F2CB3">
      <w:pPr>
        <w:pStyle w:val="FootnoteText"/>
      </w:pPr>
      <w:r>
        <w:rPr>
          <w:rStyle w:val="FootnoteReference"/>
        </w:rPr>
        <w:footnoteRef/>
      </w:r>
      <w:r>
        <w:t xml:space="preserve"> Smith, </w:t>
      </w:r>
      <w:r>
        <w:rPr>
          <w:i/>
        </w:rPr>
        <w:t xml:space="preserve">Contract Theory </w:t>
      </w:r>
      <w:r>
        <w:t>(2004), at p. 11.</w:t>
      </w:r>
    </w:p>
  </w:footnote>
  <w:footnote w:id="41">
    <w:p w14:paraId="1F6A99E8" w14:textId="60D5D3DE" w:rsidR="00213BB7" w:rsidRDefault="00213BB7" w:rsidP="00164EC8">
      <w:pPr>
        <w:pStyle w:val="FootnoteText"/>
      </w:pPr>
      <w:r>
        <w:rPr>
          <w:rStyle w:val="FootnoteReference"/>
        </w:rPr>
        <w:footnoteRef/>
      </w:r>
      <w:r>
        <w:t xml:space="preserve"> Beever, </w:t>
      </w:r>
      <w:r>
        <w:rPr>
          <w:i/>
        </w:rPr>
        <w:t xml:space="preserve">Rediscovering the Law of Negligence </w:t>
      </w:r>
      <w:r>
        <w:t>(2007)</w:t>
      </w:r>
      <w:r>
        <w:rPr>
          <w:i/>
        </w:rPr>
        <w:t xml:space="preserve">, </w:t>
      </w:r>
      <w:r>
        <w:t>at</w:t>
      </w:r>
      <w:r>
        <w:rPr>
          <w:i/>
        </w:rPr>
        <w:t xml:space="preserve"> </w:t>
      </w:r>
      <w:r>
        <w:t xml:space="preserve">p. 30.  </w:t>
      </w:r>
    </w:p>
  </w:footnote>
  <w:footnote w:id="42">
    <w:p w14:paraId="37BFD352" w14:textId="39D5FC46" w:rsidR="00213BB7" w:rsidRDefault="00213BB7" w:rsidP="00164EC8">
      <w:pPr>
        <w:pStyle w:val="FootnoteText"/>
      </w:pPr>
      <w:r>
        <w:rPr>
          <w:rStyle w:val="FootnoteReference"/>
        </w:rPr>
        <w:footnoteRef/>
      </w:r>
      <w:r>
        <w:t xml:space="preserve"> Stevens, </w:t>
      </w:r>
      <w:r w:rsidRPr="00A521CC">
        <w:rPr>
          <w:i/>
        </w:rPr>
        <w:t>Torts and Rights</w:t>
      </w:r>
      <w:r>
        <w:rPr>
          <w:i/>
        </w:rPr>
        <w:t xml:space="preserve"> </w:t>
      </w:r>
      <w:r>
        <w:t>(2007), at p 2.</w:t>
      </w:r>
    </w:p>
  </w:footnote>
  <w:footnote w:id="43">
    <w:p w14:paraId="0B7E2881" w14:textId="65C6026E" w:rsidR="00213BB7" w:rsidRDefault="00213BB7" w:rsidP="00030691">
      <w:pPr>
        <w:pStyle w:val="FootnoteText"/>
      </w:pPr>
      <w:r>
        <w:rPr>
          <w:rStyle w:val="FootnoteReference"/>
        </w:rPr>
        <w:footnoteRef/>
      </w:r>
      <w:r>
        <w:t xml:space="preserve"> Hedley, “The Shock of the Old: Interpretivism in O</w:t>
      </w:r>
      <w:r w:rsidRPr="00B06C6D">
        <w:t>bligations</w:t>
      </w:r>
      <w:r>
        <w:t>”</w:t>
      </w:r>
      <w:r w:rsidRPr="00095910">
        <w:t xml:space="preserve"> </w:t>
      </w:r>
      <w:r w:rsidRPr="00B06C6D">
        <w:t xml:space="preserve">in </w:t>
      </w:r>
      <w:r>
        <w:t>Rickett and</w:t>
      </w:r>
      <w:r w:rsidRPr="00B06C6D">
        <w:t xml:space="preserve"> Grantham (eds</w:t>
      </w:r>
      <w:r>
        <w:t>.</w:t>
      </w:r>
      <w:r w:rsidRPr="00B06C6D">
        <w:t>)</w:t>
      </w:r>
      <w:r>
        <w:t>,</w:t>
      </w:r>
      <w:r w:rsidRPr="00B06C6D">
        <w:t xml:space="preserve"> </w:t>
      </w:r>
      <w:r w:rsidRPr="00B06C6D">
        <w:rPr>
          <w:i/>
        </w:rPr>
        <w:t>Structure and Justification in Private Law</w:t>
      </w:r>
      <w:r>
        <w:rPr>
          <w:i/>
        </w:rPr>
        <w:t>: Essays for Peter Birks</w:t>
      </w:r>
      <w:r w:rsidRPr="00B06C6D">
        <w:t xml:space="preserve"> (2008)</w:t>
      </w:r>
      <w:r>
        <w:t>, at p. 39. For criticisms of the idea that tort theories should focus on coherence see Steve Hedley, “Coherence as a Tool, Not an Ambition” available at &lt;</w:t>
      </w:r>
      <w:r w:rsidRPr="00015B29">
        <w:t>http://www.stevehedley.com/coherence.pdf</w:t>
      </w:r>
      <w:r>
        <w:t xml:space="preserve">&gt;, John Murphy, “Anomalies in Tort Law: A Cause for Concern?” (2022) M.L.R. online first </w:t>
      </w:r>
      <w:r w:rsidRPr="00827BD8">
        <w:t>doi.org/10.1111/1468-2230.12777</w:t>
      </w:r>
      <w:r>
        <w:t xml:space="preserve"> at 21-22.</w:t>
      </w:r>
    </w:p>
  </w:footnote>
  <w:footnote w:id="44">
    <w:p w14:paraId="3322024C" w14:textId="3E7630F6" w:rsidR="00213BB7" w:rsidRDefault="00213BB7" w:rsidP="00441C81">
      <w:pPr>
        <w:pStyle w:val="FootnoteText"/>
      </w:pPr>
      <w:r>
        <w:rPr>
          <w:rStyle w:val="FootnoteReference"/>
        </w:rPr>
        <w:footnoteRef/>
      </w:r>
      <w:r>
        <w:t xml:space="preserve"> Priel, “Land Use Priorities and the Law of Nuisance” (2015) 39 M.U.L.R. 346 at 350. See also Christian Witting, “The House that Dr Beever Built: Corrective Justice, Principle and the Law of Negligence” (2008) 71 M.L.R. 621 at 628 and Stapleton, </w:t>
      </w:r>
      <w:r>
        <w:rPr>
          <w:i/>
        </w:rPr>
        <w:t>Three Essays on Torts</w:t>
      </w:r>
      <w:r>
        <w:t xml:space="preserve"> (2021)</w:t>
      </w:r>
      <w:r>
        <w:rPr>
          <w:i/>
        </w:rPr>
        <w:t xml:space="preserve">, </w:t>
      </w:r>
      <w:r>
        <w:t>at</w:t>
      </w:r>
      <w:r>
        <w:rPr>
          <w:i/>
        </w:rPr>
        <w:t xml:space="preserve"> </w:t>
      </w:r>
      <w:r>
        <w:t>p 26.</w:t>
      </w:r>
    </w:p>
  </w:footnote>
  <w:footnote w:id="45">
    <w:p w14:paraId="437FD451" w14:textId="0E9EC313" w:rsidR="00213BB7" w:rsidRPr="00FE71EC" w:rsidRDefault="00213BB7">
      <w:pPr>
        <w:pStyle w:val="FootnoteText"/>
      </w:pPr>
      <w:r>
        <w:rPr>
          <w:rStyle w:val="FootnoteReference"/>
        </w:rPr>
        <w:footnoteRef/>
      </w:r>
      <w:r>
        <w:t xml:space="preserve"> </w:t>
      </w:r>
      <w:r>
        <w:rPr>
          <w:i/>
        </w:rPr>
        <w:t>McFarlane v Tayside Health Board</w:t>
      </w:r>
      <w:r>
        <w:t xml:space="preserve"> </w:t>
      </w:r>
      <w:r w:rsidRPr="00FE71EC">
        <w:t>[2000] 2 A.C. 59</w:t>
      </w:r>
      <w:r>
        <w:t xml:space="preserve">; </w:t>
      </w:r>
      <w:r w:rsidRPr="00C92CAE">
        <w:t>[1999] 4 All E.R. 961</w:t>
      </w:r>
      <w:r w:rsidR="00AF2FA3">
        <w:t xml:space="preserve"> at </w:t>
      </w:r>
      <w:r>
        <w:t xml:space="preserve">977 (Lord Steyn); </w:t>
      </w:r>
      <w:r>
        <w:rPr>
          <w:i/>
        </w:rPr>
        <w:t xml:space="preserve">White v Chief Constable of South Yorkshire Police </w:t>
      </w:r>
      <w:r w:rsidRPr="008F0D30">
        <w:t>[1999] 2 A.C. 455</w:t>
      </w:r>
      <w:r>
        <w:t xml:space="preserve">; </w:t>
      </w:r>
      <w:r w:rsidRPr="00416D71">
        <w:t>[1999] 1 All E.R. 1</w:t>
      </w:r>
      <w:r>
        <w:t xml:space="preserve"> at 48 (Lord Hoffmann).</w:t>
      </w:r>
    </w:p>
  </w:footnote>
  <w:footnote w:id="46">
    <w:p w14:paraId="479A0F46" w14:textId="0DDD5A36" w:rsidR="00213BB7" w:rsidRDefault="00213BB7" w:rsidP="002D5075">
      <w:pPr>
        <w:pStyle w:val="FootnoteText"/>
      </w:pPr>
      <w:r>
        <w:rPr>
          <w:rStyle w:val="FootnoteReference"/>
        </w:rPr>
        <w:footnoteRef/>
      </w:r>
      <w:r>
        <w:t xml:space="preserve"> Beever, </w:t>
      </w:r>
      <w:r>
        <w:rPr>
          <w:i/>
        </w:rPr>
        <w:t>Rediscovering the Law of Negligence</w:t>
      </w:r>
      <w:r>
        <w:t xml:space="preserve"> (2007), at p. 28.</w:t>
      </w:r>
    </w:p>
  </w:footnote>
  <w:footnote w:id="47">
    <w:p w14:paraId="0D465D42" w14:textId="6A8F2446" w:rsidR="00213BB7" w:rsidRPr="0073702C" w:rsidRDefault="00213BB7">
      <w:pPr>
        <w:pStyle w:val="FootnoteText"/>
      </w:pPr>
      <w:r>
        <w:rPr>
          <w:rStyle w:val="FootnoteReference"/>
        </w:rPr>
        <w:footnoteRef/>
      </w:r>
      <w:r>
        <w:t xml:space="preserve"> John Murphy, “Rights, Reductionism and Tort Law” (2008) 28 O.J.L.S. 393; John Murphy, “Misfeasance in Public Office” (2012) 32 O.J.L.S. 51; James Goudkamp and John Murphy, “Tort Statutes and Tort Theories” (2015) 131 L.Q.R. 133; Goudkamp and Murphy, “The Failure of Universal Tort Theories” (2015) 21 L.T. 47; James Goudkamp and John Murphy, “Divergent Evolution in the Law of Torts: Jurisdictional Isolation, Jurisprudential Divergence and Explanatory Theories” in Andrew Robertson and Michael Tilbury (eds.), </w:t>
      </w:r>
      <w:r>
        <w:rPr>
          <w:i/>
        </w:rPr>
        <w:t>The Common Law of Obligations: Divergence and Unity</w:t>
      </w:r>
      <w:r>
        <w:t xml:space="preserve"> (Oxford: Hart, 2015) p 281; John Murphy, “Hybrid Torts and Contemporary Tort Theory” (2018) 64 McGill L.J. 1; John Murphy, “Contemporary Tort Theory and Tort Law’s Evolution” (2019) 32 </w:t>
      </w:r>
      <w:r w:rsidR="00AF2FA3">
        <w:t>C.J.L.J.</w:t>
      </w:r>
      <w:r>
        <w:t xml:space="preserve"> 413; John Murphy, “The Heterogeneity of Tort Law” (2019) 39 O.J.L.S. 455; Murphy, </w:t>
      </w:r>
      <w:r>
        <w:rPr>
          <w:i/>
        </w:rPr>
        <w:t>The Province and Politics of the Economic Torts</w:t>
      </w:r>
      <w:r>
        <w:t xml:space="preserve"> (2022).</w:t>
      </w:r>
    </w:p>
  </w:footnote>
  <w:footnote w:id="48">
    <w:p w14:paraId="0AA3DC64" w14:textId="71C06B59" w:rsidR="00213BB7" w:rsidRDefault="00213BB7">
      <w:pPr>
        <w:pStyle w:val="FootnoteText"/>
      </w:pPr>
      <w:r>
        <w:rPr>
          <w:rStyle w:val="FootnoteReference"/>
        </w:rPr>
        <w:footnoteRef/>
      </w:r>
      <w:r>
        <w:t xml:space="preserve"> See </w:t>
      </w:r>
      <w:r w:rsidRPr="00AD7AEE">
        <w:rPr>
          <w:i/>
        </w:rPr>
        <w:t>Transco plc v Stockport MBC</w:t>
      </w:r>
      <w:r>
        <w:t xml:space="preserve"> </w:t>
      </w:r>
      <w:r w:rsidRPr="000961C3">
        <w:t>[2003] UKHL 61</w:t>
      </w:r>
      <w:r>
        <w:t>;</w:t>
      </w:r>
      <w:r w:rsidRPr="000961C3">
        <w:t xml:space="preserve"> [2004] 2 A.C. 1</w:t>
      </w:r>
      <w:r>
        <w:t>.</w:t>
      </w:r>
    </w:p>
  </w:footnote>
  <w:footnote w:id="49">
    <w:p w14:paraId="50EEC837" w14:textId="70466D42" w:rsidR="00213BB7" w:rsidRDefault="00213BB7">
      <w:pPr>
        <w:pStyle w:val="FootnoteText"/>
      </w:pPr>
      <w:r>
        <w:rPr>
          <w:rStyle w:val="FootnoteReference"/>
        </w:rPr>
        <w:footnoteRef/>
      </w:r>
      <w:r>
        <w:t xml:space="preserve"> Stevens, </w:t>
      </w:r>
      <w:r w:rsidRPr="00AD7AEE">
        <w:rPr>
          <w:i/>
        </w:rPr>
        <w:t>Torts and Rights</w:t>
      </w:r>
      <w:r>
        <w:rPr>
          <w:i/>
        </w:rPr>
        <w:t xml:space="preserve"> </w:t>
      </w:r>
      <w:r>
        <w:t>(2007), at p 2</w:t>
      </w:r>
    </w:p>
  </w:footnote>
  <w:footnote w:id="50">
    <w:p w14:paraId="58D189D5" w14:textId="663E0686" w:rsidR="00213BB7" w:rsidRDefault="00213BB7">
      <w:pPr>
        <w:pStyle w:val="FootnoteText"/>
      </w:pPr>
      <w:r>
        <w:rPr>
          <w:rStyle w:val="FootnoteReference"/>
        </w:rPr>
        <w:footnoteRef/>
      </w:r>
      <w:r>
        <w:t xml:space="preserve"> Murphy,</w:t>
      </w:r>
      <w:r w:rsidRPr="00C64E42">
        <w:t xml:space="preserve"> </w:t>
      </w:r>
      <w:r>
        <w:t>“Rights, Reductionism and Tort Law” (2008) 28 O.J.L.S. 393 at 400. See also Goudkamp and Murphy “The Failure of Universal Tort Theories”</w:t>
      </w:r>
      <w:r w:rsidRPr="00C64E42">
        <w:t xml:space="preserve"> </w:t>
      </w:r>
      <w:r>
        <w:t>(2015) 21 L.T. 47 at 80.</w:t>
      </w:r>
    </w:p>
  </w:footnote>
  <w:footnote w:id="51">
    <w:p w14:paraId="13720751" w14:textId="51F57925" w:rsidR="00213BB7" w:rsidRPr="001005E2" w:rsidRDefault="00213BB7">
      <w:pPr>
        <w:pStyle w:val="FootnoteText"/>
      </w:pPr>
      <w:r>
        <w:rPr>
          <w:rStyle w:val="FootnoteReference"/>
        </w:rPr>
        <w:footnoteRef/>
      </w:r>
      <w:r>
        <w:t xml:space="preserve"> Goudkamp and Murphy “The Failure of Universal Tort Theories”</w:t>
      </w:r>
      <w:r w:rsidRPr="00C64E42">
        <w:t xml:space="preserve"> </w:t>
      </w:r>
      <w:r>
        <w:t xml:space="preserve">(2015) 21 L.T. 47 at 78. </w:t>
      </w:r>
    </w:p>
  </w:footnote>
  <w:footnote w:id="52">
    <w:p w14:paraId="5C8F985F" w14:textId="48107EFB" w:rsidR="00213BB7" w:rsidRDefault="00213BB7">
      <w:pPr>
        <w:pStyle w:val="FootnoteText"/>
      </w:pPr>
      <w:r>
        <w:rPr>
          <w:rStyle w:val="FootnoteReference"/>
        </w:rPr>
        <w:footnoteRef/>
      </w:r>
      <w:r>
        <w:t xml:space="preserve"> Beever, </w:t>
      </w:r>
      <w:r>
        <w:rPr>
          <w:i/>
        </w:rPr>
        <w:t xml:space="preserve">The Law of Private Nuisance </w:t>
      </w:r>
      <w:r>
        <w:t>(2013), at</w:t>
      </w:r>
      <w:r>
        <w:rPr>
          <w:i/>
        </w:rPr>
        <w:t xml:space="preserve"> </w:t>
      </w:r>
      <w:r>
        <w:t>p 117</w:t>
      </w:r>
    </w:p>
  </w:footnote>
  <w:footnote w:id="53">
    <w:p w14:paraId="213984B9" w14:textId="70F7FD92" w:rsidR="00213BB7" w:rsidRPr="003F4468" w:rsidRDefault="00213BB7">
      <w:pPr>
        <w:pStyle w:val="FootnoteText"/>
      </w:pPr>
      <w:r>
        <w:rPr>
          <w:rStyle w:val="FootnoteReference"/>
        </w:rPr>
        <w:footnoteRef/>
      </w:r>
      <w:r>
        <w:t xml:space="preserve"> See </w:t>
      </w:r>
      <w:r>
        <w:rPr>
          <w:i/>
        </w:rPr>
        <w:t>OBG Ltd. v Allen</w:t>
      </w:r>
      <w:r>
        <w:t xml:space="preserve"> </w:t>
      </w:r>
      <w:r w:rsidRPr="003F4468">
        <w:t>[2007] UKHL 21</w:t>
      </w:r>
      <w:r>
        <w:t xml:space="preserve">; </w:t>
      </w:r>
      <w:r w:rsidRPr="003F4468">
        <w:t>[2008] 1 A.C. 1</w:t>
      </w:r>
      <w:r>
        <w:t>.</w:t>
      </w:r>
    </w:p>
  </w:footnote>
  <w:footnote w:id="54">
    <w:p w14:paraId="3997FF15" w14:textId="1A558F76" w:rsidR="00213BB7" w:rsidRDefault="00213BB7" w:rsidP="007B4B1E">
      <w:pPr>
        <w:pStyle w:val="FootnoteText"/>
      </w:pPr>
      <w:r>
        <w:rPr>
          <w:rStyle w:val="FootnoteReference"/>
        </w:rPr>
        <w:footnoteRef/>
      </w:r>
      <w:r>
        <w:t xml:space="preserve"> Both examples are taken from Murphy, “The Heterogeneity of Tort Law” (2019) 39 O.J.L.S. 455, 465-467.</w:t>
      </w:r>
    </w:p>
  </w:footnote>
  <w:footnote w:id="55">
    <w:p w14:paraId="0009DF5D" w14:textId="19FC1BC6" w:rsidR="00213BB7" w:rsidRDefault="00213BB7" w:rsidP="00EC4511">
      <w:pPr>
        <w:pStyle w:val="FootnoteText"/>
      </w:pPr>
      <w:r>
        <w:rPr>
          <w:rStyle w:val="FootnoteReference"/>
        </w:rPr>
        <w:footnoteRef/>
      </w:r>
      <w:r>
        <w:t xml:space="preserve"> Priel, “Land Use Priorities and the Law of Nuisance” (2015) 39 M.U.L.R. 346 at 360-361.</w:t>
      </w:r>
    </w:p>
  </w:footnote>
  <w:footnote w:id="56">
    <w:p w14:paraId="1B813CB2" w14:textId="04BCBEC1" w:rsidR="00213BB7" w:rsidRDefault="00213BB7" w:rsidP="00EC4511">
      <w:pPr>
        <w:pStyle w:val="FootnoteText"/>
      </w:pPr>
      <w:r>
        <w:rPr>
          <w:rStyle w:val="FootnoteReference"/>
        </w:rPr>
        <w:footnoteRef/>
      </w:r>
      <w:r>
        <w:t xml:space="preserve"> Beever, </w:t>
      </w:r>
      <w:r>
        <w:rPr>
          <w:i/>
        </w:rPr>
        <w:t xml:space="preserve">A </w:t>
      </w:r>
      <w:r w:rsidRPr="00C12D92">
        <w:rPr>
          <w:i/>
        </w:rPr>
        <w:t>Theory of Tort Liability</w:t>
      </w:r>
      <w:r>
        <w:t xml:space="preserve"> (2016), at p. 5.</w:t>
      </w:r>
    </w:p>
  </w:footnote>
  <w:footnote w:id="57">
    <w:p w14:paraId="49551428" w14:textId="0A6CB1C2" w:rsidR="00213BB7" w:rsidRDefault="00213BB7" w:rsidP="00FC22FE">
      <w:pPr>
        <w:pStyle w:val="FootnoteText"/>
      </w:pPr>
      <w:r>
        <w:rPr>
          <w:rStyle w:val="FootnoteReference"/>
        </w:rPr>
        <w:footnoteRef/>
      </w:r>
      <w:r>
        <w:t xml:space="preserve"> Ronald Dworkin, </w:t>
      </w:r>
      <w:r w:rsidRPr="006F45F0">
        <w:rPr>
          <w:i/>
        </w:rPr>
        <w:t>Taking Rights Seriously</w:t>
      </w:r>
      <w:r>
        <w:t xml:space="preserve"> (Cambridge, Massachusetts: Harvard University Press 1977), at p. 22.</w:t>
      </w:r>
    </w:p>
  </w:footnote>
  <w:footnote w:id="58">
    <w:p w14:paraId="7B7F7B48" w14:textId="0C41C90B" w:rsidR="00213BB7" w:rsidRDefault="00213BB7" w:rsidP="0026629B">
      <w:pPr>
        <w:pStyle w:val="FootnoteText"/>
      </w:pPr>
      <w:r>
        <w:rPr>
          <w:rStyle w:val="FootnoteReference"/>
        </w:rPr>
        <w:footnoteRef/>
      </w:r>
      <w:r>
        <w:t xml:space="preserve"> See Andrew Robertson, “Rights, Pluralism and the Duty of Care” in Donal Nolan and Andrew Robertson (eds.), </w:t>
      </w:r>
      <w:r>
        <w:rPr>
          <w:i/>
        </w:rPr>
        <w:t>Rights and Private Law</w:t>
      </w:r>
      <w:r>
        <w:t xml:space="preserve"> (Oxford: Hart 2012), at p. 442 and James Plunkett, “Principle and Policy in Private Law Reasoning” (2016) 75 C.L.J. 366 at 373 for a detailed discussion.</w:t>
      </w:r>
    </w:p>
  </w:footnote>
  <w:footnote w:id="59">
    <w:p w14:paraId="43C59B3A" w14:textId="3783260C" w:rsidR="00213BB7" w:rsidRDefault="00213BB7">
      <w:pPr>
        <w:pStyle w:val="FootnoteText"/>
      </w:pPr>
      <w:r>
        <w:rPr>
          <w:rStyle w:val="FootnoteReference"/>
        </w:rPr>
        <w:footnoteRef/>
      </w:r>
      <w:r>
        <w:t xml:space="preserve"> Robert Stevens, “Torts” in Louis Blom-Cooper QC and others (eds.), </w:t>
      </w:r>
      <w:r>
        <w:rPr>
          <w:i/>
        </w:rPr>
        <w:t xml:space="preserve">The Judicial House of Lords 1976-2009 </w:t>
      </w:r>
      <w:r>
        <w:t>(Oxford: Oxford University Press, 2009), at p 629, p. 643.</w:t>
      </w:r>
    </w:p>
  </w:footnote>
  <w:footnote w:id="60">
    <w:p w14:paraId="7C8D317F" w14:textId="1B4119EF" w:rsidR="00213BB7" w:rsidRDefault="00213BB7">
      <w:pPr>
        <w:pStyle w:val="FootnoteText"/>
      </w:pPr>
      <w:r>
        <w:rPr>
          <w:rStyle w:val="FootnoteReference"/>
        </w:rPr>
        <w:footnoteRef/>
      </w:r>
      <w:r>
        <w:t xml:space="preserve"> Beever, </w:t>
      </w:r>
      <w:r>
        <w:rPr>
          <w:i/>
        </w:rPr>
        <w:t>Rediscovering the Law of Negligence</w:t>
      </w:r>
      <w:r>
        <w:t xml:space="preserve"> (2007), at p 51 (my emphasis). For criticism, see Witting, “The House that Dr Beever Built: Corrective Justice, Principle and the Law of Negligence” (2008) 71 M.L.R. 621 at 630.</w:t>
      </w:r>
    </w:p>
  </w:footnote>
  <w:footnote w:id="61">
    <w:p w14:paraId="3DB29C99" w14:textId="4CE784E0" w:rsidR="00213BB7" w:rsidRDefault="00213BB7" w:rsidP="00463078">
      <w:pPr>
        <w:pStyle w:val="FootnoteText"/>
      </w:pPr>
      <w:r>
        <w:rPr>
          <w:rStyle w:val="FootnoteReference"/>
        </w:rPr>
        <w:footnoteRef/>
      </w:r>
      <w:r>
        <w:t xml:space="preserve"> Stevens, </w:t>
      </w:r>
      <w:r>
        <w:rPr>
          <w:i/>
        </w:rPr>
        <w:t>Torts and Rights</w:t>
      </w:r>
      <w:r>
        <w:t xml:space="preserve"> (2007), at p. 314.</w:t>
      </w:r>
    </w:p>
  </w:footnote>
  <w:footnote w:id="62">
    <w:p w14:paraId="2B99F818" w14:textId="1DD9D82B" w:rsidR="00213BB7" w:rsidRDefault="00213BB7">
      <w:pPr>
        <w:pStyle w:val="FootnoteText"/>
      </w:pPr>
      <w:r>
        <w:rPr>
          <w:rStyle w:val="FootnoteReference"/>
        </w:rPr>
        <w:footnoteRef/>
      </w:r>
      <w:r>
        <w:t xml:space="preserve"> See s. 1 of the 2003 Act and s. 2 of the 2015 Act. This argument was developed by Goudkamp and Murphy in “Tort Statutes and Tort Theories” (2015) 131 L.Q.R. 133 at 145.</w:t>
      </w:r>
    </w:p>
  </w:footnote>
  <w:footnote w:id="63">
    <w:p w14:paraId="205ED2C0" w14:textId="0D8F2AF6" w:rsidR="00213BB7" w:rsidRPr="003056C5" w:rsidRDefault="00213BB7">
      <w:pPr>
        <w:pStyle w:val="FootnoteText"/>
      </w:pPr>
      <w:r>
        <w:rPr>
          <w:rStyle w:val="FootnoteReference"/>
        </w:rPr>
        <w:footnoteRef/>
      </w:r>
      <w:r>
        <w:t xml:space="preserve"> </w:t>
      </w:r>
      <w:r w:rsidRPr="009D4A1E">
        <w:t>[2018] UKSC 4</w:t>
      </w:r>
      <w:r>
        <w:t xml:space="preserve">; </w:t>
      </w:r>
      <w:r w:rsidRPr="009D4A1E">
        <w:t>[2018] A.C. 736</w:t>
      </w:r>
      <w:r>
        <w:t xml:space="preserve"> at [42] (Lord Reed). For the use of policy in a novel case see </w:t>
      </w:r>
      <w:r>
        <w:rPr>
          <w:i/>
        </w:rPr>
        <w:t>James-Bowen and others v Commissioner of Police of the Metropolis</w:t>
      </w:r>
      <w:r>
        <w:t xml:space="preserve"> [2018] UKSC 40; </w:t>
      </w:r>
      <w:r w:rsidRPr="003056C5">
        <w:t>[2018] 1 W.L.R. 4021</w:t>
      </w:r>
      <w:r>
        <w:t xml:space="preserve"> at [27] (Lord Lloyd-Jones).</w:t>
      </w:r>
    </w:p>
  </w:footnote>
  <w:footnote w:id="64">
    <w:p w14:paraId="4A3C2DAD" w14:textId="52C5C2AC" w:rsidR="00213BB7" w:rsidRDefault="00213BB7" w:rsidP="006A2F57">
      <w:pPr>
        <w:pStyle w:val="FootnoteText"/>
      </w:pPr>
      <w:r>
        <w:rPr>
          <w:rStyle w:val="FootnoteReference"/>
        </w:rPr>
        <w:footnoteRef/>
      </w:r>
      <w:r>
        <w:t xml:space="preserve"> Lord Neuberger, “</w:t>
      </w:r>
      <w:r w:rsidRPr="00EA45B7">
        <w:t>Some Thoughts on Principles Governing the Law of Torts</w:t>
      </w:r>
      <w:r>
        <w:t>”</w:t>
      </w:r>
      <w:r w:rsidRPr="00EA45B7">
        <w:t xml:space="preserve"> Singapore Conference on Protecting Business and Economic Interests: Contemporary Issues in Tort Law</w:t>
      </w:r>
      <w:r>
        <w:t>, 19 August 2016, at [4]. Available at &lt;</w:t>
      </w:r>
      <w:r w:rsidRPr="00EA45B7">
        <w:t>https://www.supremecourt.uk/docs/speech-160819-03.pdf</w:t>
      </w:r>
      <w:r>
        <w:t>&gt;.</w:t>
      </w:r>
    </w:p>
  </w:footnote>
  <w:footnote w:id="65">
    <w:p w14:paraId="01B12948" w14:textId="5D4D8287" w:rsidR="00213BB7" w:rsidRDefault="00213BB7" w:rsidP="006A2F57">
      <w:pPr>
        <w:pStyle w:val="FootnoteText"/>
      </w:pPr>
      <w:r>
        <w:rPr>
          <w:rStyle w:val="FootnoteReference"/>
        </w:rPr>
        <w:footnoteRef/>
      </w:r>
      <w:r>
        <w:t xml:space="preserve"> See William Lucy, “Method and Fit: Two Problems for Contemporary Philosophies of Tort Law” (2007) 52 McGill L.J. 605 at 652 and Sherwin, “Interpreting Tort Law” (2011) 39 Florida St. U.L.R. 227 at 239.</w:t>
      </w:r>
    </w:p>
  </w:footnote>
  <w:footnote w:id="66">
    <w:p w14:paraId="0489640F" w14:textId="5C942A13" w:rsidR="00213BB7" w:rsidRDefault="00213BB7" w:rsidP="006A2F57">
      <w:pPr>
        <w:pStyle w:val="FootnoteText"/>
      </w:pPr>
      <w:r>
        <w:rPr>
          <w:rStyle w:val="FootnoteReference"/>
        </w:rPr>
        <w:footnoteRef/>
      </w:r>
      <w:r>
        <w:t xml:space="preserve"> Beever, </w:t>
      </w:r>
      <w:r>
        <w:rPr>
          <w:i/>
        </w:rPr>
        <w:t>Rediscovering the Law of Negligence</w:t>
      </w:r>
      <w:r>
        <w:t xml:space="preserve"> (2007), at p. 28.</w:t>
      </w:r>
    </w:p>
  </w:footnote>
  <w:footnote w:id="67">
    <w:p w14:paraId="25D05012" w14:textId="3513BB92" w:rsidR="00213BB7" w:rsidRDefault="00213BB7" w:rsidP="006A2F57">
      <w:pPr>
        <w:pStyle w:val="FootnoteText"/>
      </w:pPr>
      <w:r>
        <w:rPr>
          <w:rStyle w:val="FootnoteReference"/>
        </w:rPr>
        <w:footnoteRef/>
      </w:r>
      <w:r>
        <w:t xml:space="preserve"> Beever, </w:t>
      </w:r>
      <w:r>
        <w:rPr>
          <w:i/>
        </w:rPr>
        <w:t>Rediscovering the Law of Negligence</w:t>
      </w:r>
      <w:r>
        <w:t xml:space="preserve"> (2007), at p. 67.</w:t>
      </w:r>
    </w:p>
  </w:footnote>
  <w:footnote w:id="68">
    <w:p w14:paraId="439C8AFC" w14:textId="1F44FFBD" w:rsidR="00213BB7" w:rsidRDefault="00213BB7" w:rsidP="006A2F57">
      <w:pPr>
        <w:pStyle w:val="FootnoteText"/>
      </w:pPr>
      <w:r>
        <w:rPr>
          <w:rStyle w:val="FootnoteReference"/>
        </w:rPr>
        <w:footnoteRef/>
      </w:r>
      <w:r>
        <w:t xml:space="preserve"> </w:t>
      </w:r>
      <w:r w:rsidRPr="007621AE">
        <w:t>[1978] A.C. 728</w:t>
      </w:r>
      <w:r>
        <w:t xml:space="preserve">; </w:t>
      </w:r>
      <w:r w:rsidRPr="00B62FA0">
        <w:t>[1977] 2 All E.R. 492</w:t>
      </w:r>
      <w:r>
        <w:t xml:space="preserve">; Beever, </w:t>
      </w:r>
      <w:r>
        <w:rPr>
          <w:i/>
        </w:rPr>
        <w:t xml:space="preserve">Rediscovering the Law of Negligence </w:t>
      </w:r>
      <w:r>
        <w:t>(2007), p. 173.</w:t>
      </w:r>
    </w:p>
  </w:footnote>
  <w:footnote w:id="69">
    <w:p w14:paraId="678CC8F0" w14:textId="72E0F329" w:rsidR="00213BB7" w:rsidRDefault="00213BB7" w:rsidP="006A2F57">
      <w:pPr>
        <w:pStyle w:val="FootnoteText"/>
      </w:pPr>
      <w:r>
        <w:rPr>
          <w:rStyle w:val="FootnoteReference"/>
        </w:rPr>
        <w:footnoteRef/>
      </w:r>
      <w:r>
        <w:t xml:space="preserve"> Beever, </w:t>
      </w:r>
      <w:r>
        <w:rPr>
          <w:i/>
        </w:rPr>
        <w:t>Rediscovering the Law of Negligence</w:t>
      </w:r>
      <w:r>
        <w:t xml:space="preserve"> (2007)</w:t>
      </w:r>
      <w:r>
        <w:rPr>
          <w:i/>
        </w:rPr>
        <w:t xml:space="preserve">, </w:t>
      </w:r>
      <w:r>
        <w:t>at</w:t>
      </w:r>
      <w:r>
        <w:rPr>
          <w:i/>
        </w:rPr>
        <w:t xml:space="preserve"> </w:t>
      </w:r>
      <w:r>
        <w:t xml:space="preserve">p. 174. </w:t>
      </w:r>
    </w:p>
  </w:footnote>
  <w:footnote w:id="70">
    <w:p w14:paraId="364A1EC7" w14:textId="5BD38977" w:rsidR="00213BB7" w:rsidRDefault="00213BB7" w:rsidP="000B59FC">
      <w:pPr>
        <w:pStyle w:val="FootnoteText"/>
      </w:pPr>
      <w:r>
        <w:rPr>
          <w:rStyle w:val="FootnoteReference"/>
        </w:rPr>
        <w:footnoteRef/>
      </w:r>
      <w:r>
        <w:t xml:space="preserve"> Stevens, </w:t>
      </w:r>
      <w:r>
        <w:rPr>
          <w:i/>
        </w:rPr>
        <w:t>Torts and Rights</w:t>
      </w:r>
      <w:r>
        <w:t xml:space="preserve"> (2007), at p. 310. </w:t>
      </w:r>
    </w:p>
  </w:footnote>
  <w:footnote w:id="71">
    <w:p w14:paraId="6E75A038" w14:textId="23F5B76C" w:rsidR="00213BB7" w:rsidRDefault="00213BB7" w:rsidP="00F51700">
      <w:pPr>
        <w:pStyle w:val="FootnoteText"/>
      </w:pPr>
      <w:r>
        <w:rPr>
          <w:rStyle w:val="FootnoteReference"/>
        </w:rPr>
        <w:footnoteRef/>
      </w:r>
      <w:r>
        <w:t xml:space="preserve"> Stevens, </w:t>
      </w:r>
      <w:r>
        <w:rPr>
          <w:i/>
        </w:rPr>
        <w:t xml:space="preserve">Torts and Rights </w:t>
      </w:r>
      <w:r>
        <w:t xml:space="preserve">(2007), at pp. 308-309, Beever, </w:t>
      </w:r>
      <w:r>
        <w:rPr>
          <w:i/>
        </w:rPr>
        <w:t xml:space="preserve">Rediscovering the Law of Negligence </w:t>
      </w:r>
      <w:r>
        <w:t>(2007)</w:t>
      </w:r>
      <w:r>
        <w:rPr>
          <w:i/>
        </w:rPr>
        <w:t xml:space="preserve">, </w:t>
      </w:r>
      <w:r>
        <w:t>at</w:t>
      </w:r>
      <w:r>
        <w:rPr>
          <w:i/>
        </w:rPr>
        <w:t xml:space="preserve"> </w:t>
      </w:r>
      <w:r>
        <w:t>pp. 52-53.</w:t>
      </w:r>
    </w:p>
  </w:footnote>
  <w:footnote w:id="72">
    <w:p w14:paraId="669EA8D8" w14:textId="166E521D" w:rsidR="00213BB7" w:rsidRDefault="00213BB7">
      <w:pPr>
        <w:pStyle w:val="FootnoteText"/>
      </w:pPr>
      <w:r>
        <w:rPr>
          <w:rStyle w:val="FootnoteReference"/>
        </w:rPr>
        <w:footnoteRef/>
      </w:r>
      <w:r>
        <w:t xml:space="preserve"> Beever, </w:t>
      </w:r>
      <w:r>
        <w:rPr>
          <w:i/>
        </w:rPr>
        <w:t xml:space="preserve">Rediscovering the Law of Negligence </w:t>
      </w:r>
      <w:r>
        <w:t>(2007)</w:t>
      </w:r>
      <w:r>
        <w:rPr>
          <w:i/>
        </w:rPr>
        <w:t xml:space="preserve">, </w:t>
      </w:r>
      <w:r>
        <w:t>at</w:t>
      </w:r>
      <w:r>
        <w:rPr>
          <w:i/>
        </w:rPr>
        <w:t xml:space="preserve"> </w:t>
      </w:r>
      <w:r>
        <w:t>p. 55</w:t>
      </w:r>
    </w:p>
  </w:footnote>
  <w:footnote w:id="73">
    <w:p w14:paraId="5313F31C" w14:textId="48BDC58C" w:rsidR="00213BB7" w:rsidRDefault="00213BB7">
      <w:pPr>
        <w:pStyle w:val="FootnoteText"/>
      </w:pPr>
      <w:r>
        <w:rPr>
          <w:rStyle w:val="FootnoteReference"/>
        </w:rPr>
        <w:footnoteRef/>
      </w:r>
      <w:r>
        <w:t xml:space="preserve"> See </w:t>
      </w:r>
      <w:r>
        <w:rPr>
          <w:rFonts w:cs="Times New Roman"/>
        </w:rPr>
        <w:t>Jonathan Morgan, “</w:t>
      </w:r>
      <w:r w:rsidRPr="00D31EC6">
        <w:rPr>
          <w:rFonts w:cs="Times New Roman"/>
        </w:rPr>
        <w:t xml:space="preserve">Policy </w:t>
      </w:r>
      <w:r>
        <w:rPr>
          <w:rFonts w:cs="Times New Roman"/>
        </w:rPr>
        <w:t>R</w:t>
      </w:r>
      <w:r w:rsidRPr="00D31EC6">
        <w:rPr>
          <w:rFonts w:cs="Times New Roman"/>
        </w:rPr>
        <w:t>easoning</w:t>
      </w:r>
      <w:r w:rsidR="00633EC9">
        <w:rPr>
          <w:rFonts w:cs="Times New Roman"/>
        </w:rPr>
        <w:t xml:space="preserve"> </w:t>
      </w:r>
      <w:r w:rsidRPr="00D31EC6">
        <w:rPr>
          <w:rFonts w:cs="Times New Roman"/>
        </w:rPr>
        <w:t xml:space="preserve">in </w:t>
      </w:r>
      <w:r>
        <w:rPr>
          <w:rFonts w:cs="Times New Roman"/>
        </w:rPr>
        <w:t>Tort Law: The C</w:t>
      </w:r>
      <w:r w:rsidRPr="00D31EC6">
        <w:rPr>
          <w:rFonts w:cs="Times New Roman"/>
        </w:rPr>
        <w:t>our</w:t>
      </w:r>
      <w:r>
        <w:rPr>
          <w:rFonts w:cs="Times New Roman"/>
        </w:rPr>
        <w:t>ts, the Law Commission and the C</w:t>
      </w:r>
      <w:r w:rsidRPr="00D31EC6">
        <w:rPr>
          <w:rFonts w:cs="Times New Roman"/>
        </w:rPr>
        <w:t>ritics</w:t>
      </w:r>
      <w:r>
        <w:rPr>
          <w:rFonts w:cs="Times New Roman"/>
        </w:rPr>
        <w:t>” (2009) 125 L</w:t>
      </w:r>
      <w:r w:rsidR="00B40323">
        <w:rPr>
          <w:rFonts w:cs="Times New Roman"/>
        </w:rPr>
        <w:t>.</w:t>
      </w:r>
      <w:r>
        <w:rPr>
          <w:rFonts w:cs="Times New Roman"/>
        </w:rPr>
        <w:t>Q</w:t>
      </w:r>
      <w:r w:rsidR="00B40323">
        <w:rPr>
          <w:rFonts w:cs="Times New Roman"/>
        </w:rPr>
        <w:t>.</w:t>
      </w:r>
      <w:r>
        <w:rPr>
          <w:rFonts w:cs="Times New Roman"/>
        </w:rPr>
        <w:t>R</w:t>
      </w:r>
      <w:r w:rsidR="00B40323">
        <w:rPr>
          <w:rFonts w:cs="Times New Roman"/>
        </w:rPr>
        <w:t>.</w:t>
      </w:r>
      <w:r>
        <w:rPr>
          <w:rFonts w:cs="Times New Roman"/>
        </w:rPr>
        <w:t xml:space="preserve"> 215 at 221; </w:t>
      </w:r>
      <w:r>
        <w:t xml:space="preserve">Robertson, “Rights, Pluralism and the Duty of Care” in Nolan and Robertson (eds.), </w:t>
      </w:r>
      <w:r>
        <w:rPr>
          <w:i/>
        </w:rPr>
        <w:t>Rights and Private Law</w:t>
      </w:r>
      <w:r>
        <w:t xml:space="preserve"> (2012), at pp. 453-457; Dan Priel, </w:t>
      </w:r>
      <w:r>
        <w:rPr>
          <w:rFonts w:cs="Times New Roman"/>
        </w:rPr>
        <w:t>“Private Law: Commutative or Distributive?” (2014) 77 M.L.R. 308 at</w:t>
      </w:r>
      <w:r w:rsidR="00B40323">
        <w:rPr>
          <w:rFonts w:cs="Times New Roman"/>
        </w:rPr>
        <w:t xml:space="preserve"> 322</w:t>
      </w:r>
      <w:r>
        <w:rPr>
          <w:rFonts w:cs="Times New Roman"/>
        </w:rPr>
        <w:t>-</w:t>
      </w:r>
      <w:r w:rsidR="00B40323">
        <w:rPr>
          <w:rFonts w:cs="Times New Roman"/>
        </w:rPr>
        <w:t>32</w:t>
      </w:r>
      <w:r>
        <w:rPr>
          <w:rFonts w:cs="Times New Roman"/>
        </w:rPr>
        <w:t xml:space="preserve">4; </w:t>
      </w:r>
      <w:r>
        <w:t xml:space="preserve">Plunkett, “Principle and Policy in Private Law Reasoning” (2016) 75 C.L.J. 366 at 380-398; Stapleton, </w:t>
      </w:r>
      <w:r>
        <w:rPr>
          <w:i/>
        </w:rPr>
        <w:t xml:space="preserve">Three Essays on Torts </w:t>
      </w:r>
      <w:r>
        <w:t>(2021)</w:t>
      </w:r>
      <w:r>
        <w:rPr>
          <w:i/>
        </w:rPr>
        <w:t xml:space="preserve">, </w:t>
      </w:r>
      <w:r>
        <w:t>at pp.</w:t>
      </w:r>
      <w:r>
        <w:rPr>
          <w:rFonts w:cs="Times New Roman"/>
        </w:rPr>
        <w:t xml:space="preserve"> 29-31.</w:t>
      </w:r>
    </w:p>
  </w:footnote>
  <w:footnote w:id="74">
    <w:p w14:paraId="78D9AECC" w14:textId="685CB33C" w:rsidR="00213BB7" w:rsidRDefault="00213BB7" w:rsidP="00184BE1">
      <w:pPr>
        <w:pStyle w:val="FootnoteText"/>
      </w:pPr>
      <w:r>
        <w:rPr>
          <w:rStyle w:val="FootnoteReference"/>
        </w:rPr>
        <w:footnoteRef/>
      </w:r>
      <w:r>
        <w:t xml:space="preserve"> Dworkin, </w:t>
      </w:r>
      <w:r w:rsidRPr="00F508AC">
        <w:rPr>
          <w:i/>
        </w:rPr>
        <w:t>Law’s Empire</w:t>
      </w:r>
      <w:r>
        <w:t xml:space="preserve"> (1986), at p. 90 and Goldberg and Zipursky, </w:t>
      </w:r>
      <w:r>
        <w:rPr>
          <w:i/>
        </w:rPr>
        <w:t xml:space="preserve">Recognizing Wrongs </w:t>
      </w:r>
      <w:r>
        <w:t xml:space="preserve">(2020), at p. 12. </w:t>
      </w:r>
    </w:p>
  </w:footnote>
  <w:footnote w:id="75">
    <w:p w14:paraId="604D4944" w14:textId="133852BA" w:rsidR="00213BB7" w:rsidRDefault="00213BB7" w:rsidP="00926245">
      <w:pPr>
        <w:pStyle w:val="FootnoteText"/>
      </w:pPr>
      <w:r>
        <w:rPr>
          <w:rStyle w:val="FootnoteReference"/>
        </w:rPr>
        <w:footnoteRef/>
      </w:r>
      <w:r>
        <w:t xml:space="preserve"> Rawls, </w:t>
      </w:r>
      <w:r>
        <w:rPr>
          <w:i/>
        </w:rPr>
        <w:t xml:space="preserve">A Theory of Justice </w:t>
      </w:r>
      <w:r>
        <w:t>(1971), at p. 20.</w:t>
      </w:r>
    </w:p>
  </w:footnote>
  <w:footnote w:id="76">
    <w:p w14:paraId="1000B289" w14:textId="092B3F94" w:rsidR="00213BB7" w:rsidRPr="005D7909" w:rsidRDefault="00213BB7" w:rsidP="00926245">
      <w:pPr>
        <w:pStyle w:val="FootnoteText"/>
      </w:pPr>
      <w:r>
        <w:rPr>
          <w:rStyle w:val="FootnoteReference"/>
        </w:rPr>
        <w:footnoteRef/>
      </w:r>
      <w:r>
        <w:t xml:space="preserve"> Beever, </w:t>
      </w:r>
      <w:r>
        <w:rPr>
          <w:i/>
        </w:rPr>
        <w:t xml:space="preserve">Rediscovering the Law of Negligence </w:t>
      </w:r>
      <w:r>
        <w:t>(2007)</w:t>
      </w:r>
      <w:r>
        <w:rPr>
          <w:i/>
        </w:rPr>
        <w:t>,</w:t>
      </w:r>
      <w:r>
        <w:t xml:space="preserve"> at</w:t>
      </w:r>
      <w:r>
        <w:rPr>
          <w:i/>
        </w:rPr>
        <w:t xml:space="preserve"> </w:t>
      </w:r>
      <w:r>
        <w:t>pp. 25-26.</w:t>
      </w:r>
    </w:p>
  </w:footnote>
  <w:footnote w:id="77">
    <w:p w14:paraId="05CDFCC7" w14:textId="44437FD8" w:rsidR="00213BB7" w:rsidRDefault="00213BB7" w:rsidP="00926245">
      <w:pPr>
        <w:pStyle w:val="FootnoteText"/>
      </w:pPr>
      <w:r>
        <w:rPr>
          <w:rStyle w:val="FootnoteReference"/>
        </w:rPr>
        <w:footnoteRef/>
      </w:r>
      <w:r>
        <w:t xml:space="preserve"> Rawls, </w:t>
      </w:r>
      <w:r>
        <w:rPr>
          <w:i/>
        </w:rPr>
        <w:t>A Theory of Justice</w:t>
      </w:r>
      <w:r>
        <w:t xml:space="preserve"> (1971), at p. 20.</w:t>
      </w:r>
    </w:p>
  </w:footnote>
  <w:footnote w:id="78">
    <w:p w14:paraId="4A670AF3" w14:textId="158CFD14" w:rsidR="00213BB7" w:rsidRPr="00D0600A" w:rsidRDefault="00213BB7" w:rsidP="00926245">
      <w:pPr>
        <w:pStyle w:val="FootnoteText"/>
      </w:pPr>
      <w:r>
        <w:rPr>
          <w:rStyle w:val="FootnoteReference"/>
        </w:rPr>
        <w:footnoteRef/>
      </w:r>
      <w:r>
        <w:t xml:space="preserve"> Beever, </w:t>
      </w:r>
      <w:r>
        <w:rPr>
          <w:i/>
        </w:rPr>
        <w:t xml:space="preserve">Rediscovering the Law of Negligence </w:t>
      </w:r>
      <w:r>
        <w:t>(2007)</w:t>
      </w:r>
      <w:r>
        <w:rPr>
          <w:i/>
        </w:rPr>
        <w:t xml:space="preserve">, </w:t>
      </w:r>
      <w:r>
        <w:t xml:space="preserve">at p. 27. </w:t>
      </w:r>
    </w:p>
  </w:footnote>
  <w:footnote w:id="79">
    <w:p w14:paraId="6E1BF001" w14:textId="5CD59931" w:rsidR="00213BB7" w:rsidRDefault="00213BB7" w:rsidP="00926245">
      <w:pPr>
        <w:pStyle w:val="FootnoteText"/>
      </w:pPr>
      <w:r>
        <w:rPr>
          <w:rStyle w:val="FootnoteReference"/>
        </w:rPr>
        <w:footnoteRef/>
      </w:r>
      <w:r>
        <w:t xml:space="preserve"> Beever, </w:t>
      </w:r>
      <w:r>
        <w:rPr>
          <w:i/>
        </w:rPr>
        <w:t xml:space="preserve">Rediscovering the Law of Negligence </w:t>
      </w:r>
      <w:r>
        <w:t>(2007)</w:t>
      </w:r>
      <w:r>
        <w:rPr>
          <w:i/>
        </w:rPr>
        <w:t xml:space="preserve">, </w:t>
      </w:r>
      <w:r>
        <w:t>at p. 27.</w:t>
      </w:r>
    </w:p>
  </w:footnote>
  <w:footnote w:id="80">
    <w:p w14:paraId="40D34D80" w14:textId="5D7D0F6A" w:rsidR="00213BB7" w:rsidRDefault="00213BB7" w:rsidP="00926245">
      <w:pPr>
        <w:pStyle w:val="FootnoteText"/>
      </w:pPr>
      <w:r>
        <w:rPr>
          <w:rStyle w:val="FootnoteReference"/>
        </w:rPr>
        <w:footnoteRef/>
      </w:r>
      <w:r>
        <w:t xml:space="preserve"> See R.M. Hare, “Rawls’ Theory of Justice – I” (1973) 23 Philos. Q.144 at 145.</w:t>
      </w:r>
    </w:p>
  </w:footnote>
  <w:footnote w:id="81">
    <w:p w14:paraId="0550FA26" w14:textId="578EDB63" w:rsidR="00213BB7" w:rsidRDefault="00213BB7" w:rsidP="00926245">
      <w:pPr>
        <w:pStyle w:val="FootnoteText"/>
      </w:pPr>
      <w:r>
        <w:rPr>
          <w:rStyle w:val="FootnoteReference"/>
        </w:rPr>
        <w:footnoteRef/>
      </w:r>
      <w:r>
        <w:t xml:space="preserve"> Judith Jarvis Thomson, “A Defense of Abortion” (1971) 1 Philos. Pub. Aff. 47.</w:t>
      </w:r>
    </w:p>
  </w:footnote>
  <w:footnote w:id="82">
    <w:p w14:paraId="0E9944B2" w14:textId="37709E9B" w:rsidR="00213BB7" w:rsidRDefault="00213BB7" w:rsidP="00926245">
      <w:pPr>
        <w:pStyle w:val="FootnoteText"/>
      </w:pPr>
      <w:r>
        <w:rPr>
          <w:rStyle w:val="FootnoteReference"/>
        </w:rPr>
        <w:footnoteRef/>
      </w:r>
      <w:r>
        <w:t xml:space="preserve"> Thomson, “A Defense of Abortion” (1971) 1 Philos. Pub. Aff. 47 at 55.</w:t>
      </w:r>
    </w:p>
  </w:footnote>
  <w:footnote w:id="83">
    <w:p w14:paraId="28ED1FAE" w14:textId="768181CA" w:rsidR="00213BB7" w:rsidRPr="00914ECC" w:rsidRDefault="00213BB7" w:rsidP="00926245">
      <w:pPr>
        <w:pStyle w:val="FootnoteText"/>
      </w:pPr>
      <w:r>
        <w:rPr>
          <w:rStyle w:val="FootnoteReference"/>
        </w:rPr>
        <w:footnoteRef/>
      </w:r>
      <w:r>
        <w:t xml:space="preserve"> Robert Nozick, </w:t>
      </w:r>
      <w:r>
        <w:rPr>
          <w:i/>
        </w:rPr>
        <w:t>Anarchy, State, and Utopia</w:t>
      </w:r>
      <w:r>
        <w:t xml:space="preserve"> (New York: Basic Books, 1974), at pp. 161-162.</w:t>
      </w:r>
    </w:p>
  </w:footnote>
  <w:footnote w:id="84">
    <w:p w14:paraId="2BE526D6" w14:textId="13DC4307" w:rsidR="00213BB7" w:rsidRPr="00450E23" w:rsidRDefault="00213BB7" w:rsidP="00926245">
      <w:pPr>
        <w:pStyle w:val="FootnoteText"/>
      </w:pPr>
      <w:r>
        <w:rPr>
          <w:rStyle w:val="FootnoteReference"/>
        </w:rPr>
        <w:footnoteRef/>
      </w:r>
      <w:r>
        <w:t xml:space="preserve"> Nozick, </w:t>
      </w:r>
      <w:r>
        <w:rPr>
          <w:i/>
        </w:rPr>
        <w:t xml:space="preserve">Anarchy, State, and Utopia </w:t>
      </w:r>
      <w:r>
        <w:t>(1971), at</w:t>
      </w:r>
      <w:r>
        <w:rPr>
          <w:i/>
        </w:rPr>
        <w:t xml:space="preserve"> </w:t>
      </w:r>
      <w:r>
        <w:t>p. 151.</w:t>
      </w:r>
    </w:p>
  </w:footnote>
  <w:footnote w:id="85">
    <w:p w14:paraId="00C0E7B9" w14:textId="2D809AA5" w:rsidR="00213BB7" w:rsidRDefault="00213BB7" w:rsidP="003A5F1E">
      <w:pPr>
        <w:pStyle w:val="FootnoteText"/>
      </w:pPr>
      <w:r>
        <w:rPr>
          <w:rStyle w:val="FootnoteReference"/>
        </w:rPr>
        <w:footnoteRef/>
      </w:r>
      <w:r>
        <w:t xml:space="preserve"> R.M. Hare, “Abortion and the Golden Rule” (1975) 4 Philos. Pub. Aff. 201 at 202.</w:t>
      </w:r>
    </w:p>
  </w:footnote>
  <w:footnote w:id="86">
    <w:p w14:paraId="201EFF88" w14:textId="2DB5ED0D" w:rsidR="00213BB7" w:rsidRPr="00A441C9" w:rsidRDefault="00213BB7" w:rsidP="00926245">
      <w:pPr>
        <w:pStyle w:val="FootnoteText"/>
      </w:pPr>
      <w:r>
        <w:rPr>
          <w:rStyle w:val="FootnoteReference"/>
        </w:rPr>
        <w:footnoteRef/>
      </w:r>
      <w:r>
        <w:t xml:space="preserve"> Peter Singer “Sidgwick and Reflective Equilibrium” (1974) 58 Monist 490 at 516. See also John Harris, </w:t>
      </w:r>
      <w:r>
        <w:rPr>
          <w:i/>
        </w:rPr>
        <w:t>Enhancing Evolution: The Ethical Case for Making People Better</w:t>
      </w:r>
      <w:r>
        <w:t xml:space="preserve"> (Princeton: Princeton University Press, 2007), p.</w:t>
      </w:r>
      <w:r>
        <w:rPr>
          <w:i/>
        </w:rPr>
        <w:t xml:space="preserve"> </w:t>
      </w:r>
      <w:r>
        <w:t>130.</w:t>
      </w:r>
    </w:p>
  </w:footnote>
  <w:footnote w:id="87">
    <w:p w14:paraId="3D9E49ED" w14:textId="44026C70" w:rsidR="00213BB7" w:rsidRDefault="00213BB7" w:rsidP="00926245">
      <w:pPr>
        <w:pStyle w:val="FootnoteText"/>
      </w:pPr>
      <w:r>
        <w:rPr>
          <w:rStyle w:val="FootnoteReference"/>
        </w:rPr>
        <w:footnoteRef/>
      </w:r>
      <w:r>
        <w:t xml:space="preserve"> Norman Daniels, “Wide Reflective Equilibrium and Theory Acceptance in Ethics” (1979) 76 J. Philos. 256.</w:t>
      </w:r>
    </w:p>
  </w:footnote>
  <w:footnote w:id="88">
    <w:p w14:paraId="7C86D78B" w14:textId="49A8F40F" w:rsidR="00213BB7" w:rsidRDefault="00213BB7" w:rsidP="00926245">
      <w:pPr>
        <w:pStyle w:val="FootnoteText"/>
      </w:pPr>
      <w:r>
        <w:rPr>
          <w:rStyle w:val="FootnoteReference"/>
        </w:rPr>
        <w:footnoteRef/>
      </w:r>
      <w:r>
        <w:t xml:space="preserve"> Peter Singer “Sidgwick and Reflective Equilibrium” (1974) 58 Monist 490 at 516.</w:t>
      </w:r>
    </w:p>
  </w:footnote>
  <w:footnote w:id="89">
    <w:p w14:paraId="5C07F684" w14:textId="2AB03CE5" w:rsidR="00213BB7" w:rsidRDefault="00213BB7" w:rsidP="00926245">
      <w:pPr>
        <w:pStyle w:val="FootnoteText"/>
      </w:pPr>
      <w:r>
        <w:rPr>
          <w:rStyle w:val="FootnoteReference"/>
        </w:rPr>
        <w:footnoteRef/>
      </w:r>
      <w:r>
        <w:t xml:space="preserve"> Peter Singer “Sidgwick and Reflective Equilibrium”</w:t>
      </w:r>
      <w:r w:rsidRPr="0004757E">
        <w:t xml:space="preserve"> </w:t>
      </w:r>
      <w:r>
        <w:t>(1974) 58 Monist 490 at 516.</w:t>
      </w:r>
    </w:p>
  </w:footnote>
  <w:footnote w:id="90">
    <w:p w14:paraId="21FD3797" w14:textId="4DE33A7A" w:rsidR="00213BB7" w:rsidRPr="001C204B" w:rsidRDefault="00213BB7">
      <w:pPr>
        <w:pStyle w:val="FootnoteText"/>
      </w:pPr>
      <w:r>
        <w:rPr>
          <w:rStyle w:val="FootnoteReference"/>
        </w:rPr>
        <w:footnoteRef/>
      </w:r>
      <w:r>
        <w:t xml:space="preserve"> Beever, </w:t>
      </w:r>
      <w:r>
        <w:rPr>
          <w:i/>
        </w:rPr>
        <w:t xml:space="preserve">Rediscovering the Law of Negligence </w:t>
      </w:r>
      <w:r>
        <w:t>(2007), at pp. 28-29.</w:t>
      </w:r>
    </w:p>
  </w:footnote>
  <w:footnote w:id="91">
    <w:p w14:paraId="6A828DF9" w14:textId="413668C3" w:rsidR="00213BB7" w:rsidRDefault="00213BB7" w:rsidP="0023219A">
      <w:pPr>
        <w:pStyle w:val="FootnoteText"/>
      </w:pPr>
      <w:r>
        <w:rPr>
          <w:rStyle w:val="FootnoteReference"/>
        </w:rPr>
        <w:footnoteRef/>
      </w:r>
      <w:r>
        <w:t xml:space="preserve"> </w:t>
      </w:r>
      <w:r w:rsidRPr="00E4240D">
        <w:t xml:space="preserve"> [1932] A</w:t>
      </w:r>
      <w:r>
        <w:t>.</w:t>
      </w:r>
      <w:r w:rsidRPr="00E4240D">
        <w:t>C</w:t>
      </w:r>
      <w:r>
        <w:t>.</w:t>
      </w:r>
      <w:r w:rsidRPr="00E4240D">
        <w:t xml:space="preserve"> 562</w:t>
      </w:r>
      <w:r>
        <w:t xml:space="preserve">; </w:t>
      </w:r>
      <w:r w:rsidRPr="003F575C">
        <w:t>[1932] 5 WLUK 41</w:t>
      </w:r>
      <w:r>
        <w:t>.</w:t>
      </w:r>
    </w:p>
  </w:footnote>
  <w:footnote w:id="92">
    <w:p w14:paraId="2D8D7B0D" w14:textId="424E3A0D" w:rsidR="00213BB7" w:rsidRDefault="00213BB7" w:rsidP="0023219A">
      <w:pPr>
        <w:pStyle w:val="FootnoteText"/>
      </w:pPr>
      <w:r>
        <w:rPr>
          <w:rStyle w:val="FootnoteReference"/>
        </w:rPr>
        <w:footnoteRef/>
      </w:r>
      <w:r>
        <w:t xml:space="preserve"> (1928) 248 N.Y.</w:t>
      </w:r>
      <w:r w:rsidRPr="00AF00D2">
        <w:t xml:space="preserve"> 339</w:t>
      </w:r>
      <w:r>
        <w:t xml:space="preserve">; (1928) </w:t>
      </w:r>
      <w:r w:rsidRPr="003F575C">
        <w:t>162 N.E. 99</w:t>
      </w:r>
      <w:r>
        <w:t>. The choice of a US case might reflect the fact that Beever’s theory is a “universal” theory of tort law in the common law world</w:t>
      </w:r>
      <w:r w:rsidR="00B40323">
        <w:t>. S</w:t>
      </w:r>
      <w:r>
        <w:t>ee Goudkamp and Murphy, “The Failure of Universal Tort Theories” (2015) 21 L.T. 47.</w:t>
      </w:r>
    </w:p>
  </w:footnote>
  <w:footnote w:id="93">
    <w:p w14:paraId="27B66349" w14:textId="7EC7661B" w:rsidR="00213BB7" w:rsidRDefault="00213BB7" w:rsidP="0023219A">
      <w:pPr>
        <w:pStyle w:val="FootnoteText"/>
      </w:pPr>
      <w:r>
        <w:rPr>
          <w:rStyle w:val="FootnoteReference"/>
        </w:rPr>
        <w:footnoteRef/>
      </w:r>
      <w:r>
        <w:t xml:space="preserve"> </w:t>
      </w:r>
      <w:r w:rsidRPr="00AF00D2">
        <w:t>[1951] A</w:t>
      </w:r>
      <w:r>
        <w:t>.</w:t>
      </w:r>
      <w:r w:rsidRPr="00AF00D2">
        <w:t>C</w:t>
      </w:r>
      <w:r>
        <w:t>.</w:t>
      </w:r>
      <w:r w:rsidRPr="00AF00D2">
        <w:t xml:space="preserve"> 850</w:t>
      </w:r>
      <w:r>
        <w:t xml:space="preserve">; </w:t>
      </w:r>
      <w:r w:rsidRPr="006B4CE0">
        <w:t>[1951] 1 All E.R. 1078</w:t>
      </w:r>
      <w:r>
        <w:t>.</w:t>
      </w:r>
    </w:p>
  </w:footnote>
  <w:footnote w:id="94">
    <w:p w14:paraId="1B0BBEE3" w14:textId="014B5641" w:rsidR="00213BB7" w:rsidRDefault="00213BB7" w:rsidP="0023219A">
      <w:pPr>
        <w:pStyle w:val="FootnoteText"/>
      </w:pPr>
      <w:r>
        <w:rPr>
          <w:rStyle w:val="FootnoteReference"/>
        </w:rPr>
        <w:footnoteRef/>
      </w:r>
      <w:r>
        <w:t xml:space="preserve">  [1967] 1 A.C. 617; </w:t>
      </w:r>
      <w:r w:rsidRPr="003F575C">
        <w:t>[1966] 2 All E.R. 709</w:t>
      </w:r>
      <w:r>
        <w:t>.</w:t>
      </w:r>
    </w:p>
  </w:footnote>
  <w:footnote w:id="95">
    <w:p w14:paraId="2CA6DC5D" w14:textId="20ACB641" w:rsidR="00213BB7" w:rsidRDefault="00213BB7" w:rsidP="0023219A">
      <w:pPr>
        <w:pStyle w:val="FootnoteText"/>
      </w:pPr>
      <w:r>
        <w:rPr>
          <w:rStyle w:val="FootnoteReference"/>
        </w:rPr>
        <w:footnoteRef/>
      </w:r>
      <w:r>
        <w:t xml:space="preserve"> </w:t>
      </w:r>
      <w:r w:rsidRPr="00AF00D2">
        <w:t>[1961] A</w:t>
      </w:r>
      <w:r>
        <w:t>.</w:t>
      </w:r>
      <w:r w:rsidRPr="00AF00D2">
        <w:t>C</w:t>
      </w:r>
      <w:r>
        <w:t>.</w:t>
      </w:r>
      <w:r w:rsidRPr="00AF00D2">
        <w:t xml:space="preserve"> 388</w:t>
      </w:r>
      <w:r>
        <w:t xml:space="preserve">; </w:t>
      </w:r>
      <w:r w:rsidRPr="003F575C">
        <w:t>[1961] 1 All E.R. 404</w:t>
      </w:r>
      <w:r>
        <w:t>.</w:t>
      </w:r>
    </w:p>
  </w:footnote>
  <w:footnote w:id="96">
    <w:p w14:paraId="4E758BB5" w14:textId="4042F9FC" w:rsidR="00213BB7" w:rsidRPr="00AF00D2" w:rsidRDefault="00213BB7" w:rsidP="0023219A">
      <w:pPr>
        <w:pStyle w:val="FootnoteText"/>
      </w:pPr>
      <w:r>
        <w:rPr>
          <w:rStyle w:val="FootnoteReference"/>
        </w:rPr>
        <w:footnoteRef/>
      </w:r>
      <w:r>
        <w:t xml:space="preserve"> Beever, </w:t>
      </w:r>
      <w:r>
        <w:rPr>
          <w:i/>
        </w:rPr>
        <w:t>Rediscovering the Law of Negligence</w:t>
      </w:r>
      <w:r>
        <w:t xml:space="preserve"> (2007)</w:t>
      </w:r>
      <w:r>
        <w:rPr>
          <w:i/>
        </w:rPr>
        <w:t>,</w:t>
      </w:r>
      <w:r>
        <w:t xml:space="preserve"> at</w:t>
      </w:r>
      <w:r>
        <w:rPr>
          <w:i/>
        </w:rPr>
        <w:t xml:space="preserve"> </w:t>
      </w:r>
      <w:r>
        <w:t>p. 29.</w:t>
      </w:r>
    </w:p>
  </w:footnote>
  <w:footnote w:id="97">
    <w:p w14:paraId="38687AC6" w14:textId="38D87DD3" w:rsidR="00213BB7" w:rsidRDefault="00213BB7">
      <w:pPr>
        <w:pStyle w:val="FootnoteText"/>
      </w:pPr>
      <w:r>
        <w:rPr>
          <w:rStyle w:val="FootnoteReference"/>
        </w:rPr>
        <w:footnoteRef/>
      </w:r>
      <w:r>
        <w:t xml:space="preserve"> C.f. Peter Cane’s discussion of distributive justice and </w:t>
      </w:r>
      <w:r w:rsidRPr="00EA619B">
        <w:rPr>
          <w:i/>
        </w:rPr>
        <w:t>Donoghue</w:t>
      </w:r>
      <w:r>
        <w:rPr>
          <w:i/>
        </w:rPr>
        <w:t xml:space="preserve"> </w:t>
      </w:r>
      <w:r>
        <w:t xml:space="preserve">in “Corrective Justice and Correlativity in Private Law” (1996) 16 O.J.L.S. 471 at </w:t>
      </w:r>
      <w:r w:rsidRPr="00EA619B">
        <w:t>480</w:t>
      </w:r>
      <w:r>
        <w:t xml:space="preserve">-481. See also William Lucy, </w:t>
      </w:r>
      <w:r>
        <w:rPr>
          <w:i/>
        </w:rPr>
        <w:t>The Philosophy of Private Law</w:t>
      </w:r>
      <w:r>
        <w:t xml:space="preserve"> (Oxford: Hart 2007), ch. 9 for a similar point.</w:t>
      </w:r>
    </w:p>
  </w:footnote>
  <w:footnote w:id="98">
    <w:p w14:paraId="7C96E743" w14:textId="0A70FA66" w:rsidR="00213BB7" w:rsidRDefault="00213BB7" w:rsidP="0023219A">
      <w:pPr>
        <w:pStyle w:val="FootnoteText"/>
      </w:pPr>
      <w:r>
        <w:rPr>
          <w:rStyle w:val="FootnoteReference"/>
        </w:rPr>
        <w:footnoteRef/>
      </w:r>
      <w:r>
        <w:t xml:space="preserve"> Beever, </w:t>
      </w:r>
      <w:r>
        <w:rPr>
          <w:i/>
        </w:rPr>
        <w:t xml:space="preserve">Rediscovering the Law of Negligence </w:t>
      </w:r>
      <w:r>
        <w:t>(2007)</w:t>
      </w:r>
      <w:r>
        <w:rPr>
          <w:i/>
        </w:rPr>
        <w:t>,</w:t>
      </w:r>
      <w:r>
        <w:t xml:space="preserve"> at p. 30.</w:t>
      </w:r>
    </w:p>
  </w:footnote>
  <w:footnote w:id="99">
    <w:p w14:paraId="6F8D237D" w14:textId="0C4FDB4E" w:rsidR="00213BB7" w:rsidRDefault="00213BB7" w:rsidP="0023219A">
      <w:pPr>
        <w:pStyle w:val="FootnoteText"/>
      </w:pPr>
      <w:r>
        <w:rPr>
          <w:rStyle w:val="FootnoteReference"/>
        </w:rPr>
        <w:footnoteRef/>
      </w:r>
      <w:r>
        <w:t xml:space="preserve"> Beever, </w:t>
      </w:r>
      <w:r>
        <w:rPr>
          <w:i/>
        </w:rPr>
        <w:t xml:space="preserve">Rediscovering the Law of Negligence </w:t>
      </w:r>
      <w:r>
        <w:t>(2007)</w:t>
      </w:r>
      <w:r>
        <w:rPr>
          <w:i/>
        </w:rPr>
        <w:t>,</w:t>
      </w:r>
      <w:r>
        <w:t xml:space="preserve"> at p. 30.</w:t>
      </w:r>
    </w:p>
  </w:footnote>
  <w:footnote w:id="100">
    <w:p w14:paraId="14975FF5" w14:textId="14F6B46E" w:rsidR="00213BB7" w:rsidRDefault="00213BB7" w:rsidP="0023219A">
      <w:pPr>
        <w:pStyle w:val="FootnoteText"/>
      </w:pPr>
      <w:r>
        <w:rPr>
          <w:rStyle w:val="FootnoteReference"/>
        </w:rPr>
        <w:footnoteRef/>
      </w:r>
      <w:r>
        <w:t xml:space="preserve"> Beever, </w:t>
      </w:r>
      <w:r>
        <w:rPr>
          <w:i/>
        </w:rPr>
        <w:t xml:space="preserve">Rediscovering the Law of Negligence </w:t>
      </w:r>
      <w:r>
        <w:t>(2007)</w:t>
      </w:r>
      <w:r>
        <w:rPr>
          <w:i/>
        </w:rPr>
        <w:t>,</w:t>
      </w:r>
      <w:r>
        <w:t xml:space="preserve"> at p. 31.</w:t>
      </w:r>
    </w:p>
  </w:footnote>
  <w:footnote w:id="101">
    <w:p w14:paraId="0E490310" w14:textId="2DF884FB" w:rsidR="00213BB7" w:rsidRDefault="00213BB7" w:rsidP="0023219A">
      <w:pPr>
        <w:pStyle w:val="FootnoteText"/>
      </w:pPr>
      <w:r>
        <w:rPr>
          <w:rStyle w:val="FootnoteReference"/>
        </w:rPr>
        <w:footnoteRef/>
      </w:r>
      <w:r>
        <w:t xml:space="preserve"> Beever, </w:t>
      </w:r>
      <w:r>
        <w:rPr>
          <w:i/>
        </w:rPr>
        <w:t xml:space="preserve">Rediscovering the Law of Negligence </w:t>
      </w:r>
      <w:r>
        <w:t>(2007)</w:t>
      </w:r>
      <w:r>
        <w:rPr>
          <w:i/>
        </w:rPr>
        <w:t>,</w:t>
      </w:r>
      <w:r>
        <w:t xml:space="preserve"> at, p. 31.</w:t>
      </w:r>
    </w:p>
  </w:footnote>
  <w:footnote w:id="102">
    <w:p w14:paraId="2207341D" w14:textId="079AD71D" w:rsidR="00213BB7" w:rsidRDefault="00213BB7" w:rsidP="0023219A">
      <w:pPr>
        <w:pStyle w:val="FootnoteText"/>
      </w:pPr>
      <w:r>
        <w:rPr>
          <w:rStyle w:val="FootnoteReference"/>
        </w:rPr>
        <w:footnoteRef/>
      </w:r>
      <w:r>
        <w:t xml:space="preserve"> Beever, </w:t>
      </w:r>
      <w:r>
        <w:rPr>
          <w:i/>
        </w:rPr>
        <w:t xml:space="preserve">Rediscovering the Law of Negligence </w:t>
      </w:r>
      <w:r>
        <w:t>(2007)</w:t>
      </w:r>
      <w:r>
        <w:rPr>
          <w:i/>
        </w:rPr>
        <w:t>,</w:t>
      </w:r>
      <w:r>
        <w:t xml:space="preserve"> at p. 31.</w:t>
      </w:r>
    </w:p>
  </w:footnote>
  <w:footnote w:id="103">
    <w:p w14:paraId="4D5D3166" w14:textId="2B7F6250" w:rsidR="00213BB7" w:rsidRDefault="00213BB7" w:rsidP="0023219A">
      <w:pPr>
        <w:pStyle w:val="FootnoteText"/>
      </w:pPr>
      <w:r>
        <w:rPr>
          <w:rStyle w:val="FootnoteReference"/>
        </w:rPr>
        <w:footnoteRef/>
      </w:r>
      <w:r>
        <w:t xml:space="preserve"> Beever, </w:t>
      </w:r>
      <w:r>
        <w:rPr>
          <w:i/>
        </w:rPr>
        <w:t xml:space="preserve">Rediscovering the Law of Negligence </w:t>
      </w:r>
      <w:r>
        <w:t>(2007)</w:t>
      </w:r>
      <w:r>
        <w:rPr>
          <w:i/>
        </w:rPr>
        <w:t>,</w:t>
      </w:r>
      <w:r>
        <w:t xml:space="preserve"> at pp. 32-33.</w:t>
      </w:r>
    </w:p>
  </w:footnote>
  <w:footnote w:id="104">
    <w:p w14:paraId="111CCEEC" w14:textId="7248EBBE" w:rsidR="00213BB7" w:rsidRDefault="00213BB7" w:rsidP="00730387">
      <w:pPr>
        <w:pStyle w:val="FootnoteText"/>
      </w:pPr>
      <w:r>
        <w:rPr>
          <w:rStyle w:val="FootnoteReference"/>
        </w:rPr>
        <w:footnoteRef/>
      </w:r>
      <w:r>
        <w:t xml:space="preserve"> Beever, </w:t>
      </w:r>
      <w:r>
        <w:rPr>
          <w:i/>
        </w:rPr>
        <w:t xml:space="preserve">Rediscovering the Law of Negligence </w:t>
      </w:r>
      <w:r>
        <w:t>(2007)</w:t>
      </w:r>
      <w:r>
        <w:rPr>
          <w:i/>
        </w:rPr>
        <w:t>,</w:t>
      </w:r>
      <w:r>
        <w:t xml:space="preserve"> at p. 32.</w:t>
      </w:r>
    </w:p>
  </w:footnote>
  <w:footnote w:id="105">
    <w:p w14:paraId="2E2555BE" w14:textId="7A6B4EEF" w:rsidR="00213BB7" w:rsidRDefault="00213BB7" w:rsidP="0023219A">
      <w:pPr>
        <w:pStyle w:val="FootnoteText"/>
      </w:pPr>
      <w:r>
        <w:rPr>
          <w:rStyle w:val="FootnoteReference"/>
        </w:rPr>
        <w:footnoteRef/>
      </w:r>
      <w:r>
        <w:t xml:space="preserve"> See Craig Purshouse, “Utilitarianism as Tort Theory: Countering the Caricature” (2018) 38 L.S. 24.</w:t>
      </w:r>
    </w:p>
  </w:footnote>
  <w:footnote w:id="106">
    <w:p w14:paraId="69572759" w14:textId="46E80446" w:rsidR="00213BB7" w:rsidRDefault="00213BB7" w:rsidP="0023219A">
      <w:pPr>
        <w:pStyle w:val="FootnoteText"/>
      </w:pPr>
      <w:r>
        <w:rPr>
          <w:rStyle w:val="FootnoteReference"/>
        </w:rPr>
        <w:footnoteRef/>
      </w:r>
      <w:r>
        <w:t xml:space="preserve"> </w:t>
      </w:r>
      <w:r w:rsidRPr="009D4A1E">
        <w:t>[2018] UKSC 4</w:t>
      </w:r>
      <w:r>
        <w:t xml:space="preserve">; </w:t>
      </w:r>
      <w:r w:rsidRPr="009D4A1E">
        <w:t>[2018] A.C. 736</w:t>
      </w:r>
      <w:r>
        <w:t>.</w:t>
      </w:r>
    </w:p>
  </w:footnote>
  <w:footnote w:id="107">
    <w:p w14:paraId="4F8D6C8E" w14:textId="3C44AB44" w:rsidR="00213BB7" w:rsidRDefault="00213BB7" w:rsidP="0023219A">
      <w:pPr>
        <w:pStyle w:val="FootnoteText"/>
      </w:pPr>
      <w:r>
        <w:rPr>
          <w:rStyle w:val="FootnoteReference"/>
        </w:rPr>
        <w:footnoteRef/>
      </w:r>
      <w:r>
        <w:t xml:space="preserve"> [1992] 1 A.C. 310; </w:t>
      </w:r>
      <w:r w:rsidRPr="005C73EE">
        <w:t>[1991] 4 All E.R. 907</w:t>
      </w:r>
      <w:r>
        <w:t>.</w:t>
      </w:r>
    </w:p>
  </w:footnote>
  <w:footnote w:id="108">
    <w:p w14:paraId="7F8A5AA6" w14:textId="7C69F022" w:rsidR="00213BB7" w:rsidRDefault="00213BB7" w:rsidP="0023219A">
      <w:pPr>
        <w:pStyle w:val="FootnoteText"/>
      </w:pPr>
      <w:r>
        <w:rPr>
          <w:rStyle w:val="FootnoteReference"/>
        </w:rPr>
        <w:footnoteRef/>
      </w:r>
      <w:r>
        <w:t xml:space="preserve"> </w:t>
      </w:r>
      <w:r w:rsidRPr="002043D8">
        <w:t>[2003] UKHL 47</w:t>
      </w:r>
      <w:r>
        <w:t>;</w:t>
      </w:r>
      <w:r w:rsidRPr="002043D8">
        <w:t xml:space="preserve"> </w:t>
      </w:r>
      <w:r>
        <w:t>[2004] 1 A.C. 46.</w:t>
      </w:r>
    </w:p>
  </w:footnote>
  <w:footnote w:id="109">
    <w:p w14:paraId="79C4950D" w14:textId="35DC5932" w:rsidR="00213BB7" w:rsidRDefault="00213BB7" w:rsidP="0023219A">
      <w:pPr>
        <w:pStyle w:val="FootnoteText"/>
      </w:pPr>
      <w:r>
        <w:rPr>
          <w:rStyle w:val="FootnoteReference"/>
        </w:rPr>
        <w:footnoteRef/>
      </w:r>
      <w:r>
        <w:t xml:space="preserve"> </w:t>
      </w:r>
      <w:r w:rsidRPr="00A45393">
        <w:t>[2002] UKHL 22</w:t>
      </w:r>
      <w:r>
        <w:t>;</w:t>
      </w:r>
      <w:r w:rsidRPr="00A45393">
        <w:t xml:space="preserve"> </w:t>
      </w:r>
      <w:r w:rsidRPr="00B20816">
        <w:t>[2003] 1 A</w:t>
      </w:r>
      <w:r>
        <w:t>.</w:t>
      </w:r>
      <w:r w:rsidRPr="00B20816">
        <w:t>C</w:t>
      </w:r>
      <w:r>
        <w:t>.</w:t>
      </w:r>
      <w:r w:rsidRPr="00B20816">
        <w:t xml:space="preserve"> 32</w:t>
      </w:r>
      <w:r>
        <w:t>.</w:t>
      </w:r>
    </w:p>
  </w:footnote>
  <w:footnote w:id="110">
    <w:p w14:paraId="05971295" w14:textId="5986C37E" w:rsidR="00213BB7" w:rsidRDefault="00213BB7" w:rsidP="0023219A">
      <w:pPr>
        <w:pStyle w:val="FootnoteText"/>
      </w:pPr>
      <w:r>
        <w:rPr>
          <w:rStyle w:val="FootnoteReference"/>
        </w:rPr>
        <w:footnoteRef/>
      </w:r>
      <w:r>
        <w:t xml:space="preserve"> </w:t>
      </w:r>
      <w:r w:rsidRPr="00244915">
        <w:t>[2020] UKSC 43</w:t>
      </w:r>
      <w:r>
        <w:t xml:space="preserve">; </w:t>
      </w:r>
      <w:r w:rsidRPr="00A45393">
        <w:t>[2021] A.C. 563</w:t>
      </w:r>
      <w:r>
        <w:t>.</w:t>
      </w:r>
    </w:p>
  </w:footnote>
  <w:footnote w:id="111">
    <w:p w14:paraId="010B98CC" w14:textId="5342F51D" w:rsidR="00213BB7" w:rsidRDefault="00213BB7" w:rsidP="0023219A">
      <w:pPr>
        <w:pStyle w:val="FootnoteText"/>
      </w:pPr>
      <w:r>
        <w:rPr>
          <w:rStyle w:val="FootnoteReference"/>
        </w:rPr>
        <w:footnoteRef/>
      </w:r>
      <w:r>
        <w:t xml:space="preserve"> </w:t>
      </w:r>
      <w:r>
        <w:rPr>
          <w:i/>
        </w:rPr>
        <w:t>Robinson</w:t>
      </w:r>
      <w:r>
        <w:t xml:space="preserve"> </w:t>
      </w:r>
      <w:r w:rsidRPr="009D4A1E">
        <w:t>[2018] A.C. 736</w:t>
      </w:r>
      <w:r>
        <w:t xml:space="preserve"> at [42] (Lord Reed).</w:t>
      </w:r>
    </w:p>
  </w:footnote>
  <w:footnote w:id="112">
    <w:p w14:paraId="34F18D79" w14:textId="1F9D2903" w:rsidR="00213BB7" w:rsidRDefault="00213BB7" w:rsidP="0023219A">
      <w:pPr>
        <w:pStyle w:val="FootnoteText"/>
      </w:pPr>
      <w:r>
        <w:rPr>
          <w:rStyle w:val="FootnoteReference"/>
        </w:rPr>
        <w:footnoteRef/>
      </w:r>
      <w:r>
        <w:t xml:space="preserve"> </w:t>
      </w:r>
      <w:r>
        <w:rPr>
          <w:i/>
        </w:rPr>
        <w:t xml:space="preserve">Alcock </w:t>
      </w:r>
      <w:r>
        <w:t xml:space="preserve">[1992] 1 A.C. 310 </w:t>
      </w:r>
      <w:r w:rsidRPr="00A45393">
        <w:t>at</w:t>
      </w:r>
      <w:r>
        <w:t xml:space="preserve"> 418.</w:t>
      </w:r>
    </w:p>
  </w:footnote>
  <w:footnote w:id="113">
    <w:p w14:paraId="31CD19C0" w14:textId="6B3B1CA6" w:rsidR="00213BB7" w:rsidRPr="006E5ECB" w:rsidRDefault="00213BB7" w:rsidP="0023219A">
      <w:pPr>
        <w:pStyle w:val="FootnoteText"/>
      </w:pPr>
      <w:r>
        <w:rPr>
          <w:rStyle w:val="FootnoteReference"/>
        </w:rPr>
        <w:footnoteRef/>
      </w:r>
      <w:r>
        <w:t xml:space="preserve"> Donal Nolan, “</w:t>
      </w:r>
      <w:r>
        <w:rPr>
          <w:i/>
        </w:rPr>
        <w:t>Alcock v Chief Constable of South Yorkshire Police</w:t>
      </w:r>
      <w:r>
        <w:t xml:space="preserve">” in Charles Mitchell and Paul Mitchell (eds.), </w:t>
      </w:r>
      <w:r>
        <w:rPr>
          <w:i/>
        </w:rPr>
        <w:t>Landmark Cases in the Law of Tort</w:t>
      </w:r>
      <w:r>
        <w:t xml:space="preserve"> (Oxford: Hart 2010), at p. 273.</w:t>
      </w:r>
    </w:p>
  </w:footnote>
  <w:footnote w:id="114">
    <w:p w14:paraId="2461A1F9" w14:textId="6378ECAA" w:rsidR="00213BB7" w:rsidRDefault="00213BB7" w:rsidP="0023219A">
      <w:pPr>
        <w:pStyle w:val="FootnoteText"/>
      </w:pPr>
      <w:r>
        <w:rPr>
          <w:rStyle w:val="FootnoteReference"/>
        </w:rPr>
        <w:footnoteRef/>
      </w:r>
      <w:r>
        <w:t xml:space="preserve"> [1983] 1 A.C. 410; </w:t>
      </w:r>
      <w:r w:rsidRPr="00A14234">
        <w:t>[1982] 2 All E.R. 298</w:t>
      </w:r>
      <w:r>
        <w:t>.</w:t>
      </w:r>
    </w:p>
  </w:footnote>
  <w:footnote w:id="115">
    <w:p w14:paraId="508F86AA" w14:textId="17AFD21E" w:rsidR="00213BB7" w:rsidRDefault="00213BB7" w:rsidP="0023219A">
      <w:pPr>
        <w:pStyle w:val="FootnoteText"/>
      </w:pPr>
      <w:r>
        <w:rPr>
          <w:rStyle w:val="FootnoteReference"/>
        </w:rPr>
        <w:footnoteRef/>
      </w:r>
      <w:r>
        <w:t xml:space="preserve"> </w:t>
      </w:r>
      <w:r>
        <w:rPr>
          <w:i/>
        </w:rPr>
        <w:t xml:space="preserve">Tomlinson </w:t>
      </w:r>
      <w:r>
        <w:t>[2004] 1 AC 46 at [34].</w:t>
      </w:r>
    </w:p>
  </w:footnote>
  <w:footnote w:id="116">
    <w:p w14:paraId="2D2E089B" w14:textId="6EB603B0" w:rsidR="00213BB7" w:rsidRPr="00DF0FFD" w:rsidRDefault="00213BB7" w:rsidP="0023219A">
      <w:pPr>
        <w:pStyle w:val="FootnoteText"/>
      </w:pPr>
      <w:r>
        <w:rPr>
          <w:rStyle w:val="FootnoteReference"/>
        </w:rPr>
        <w:footnoteRef/>
      </w:r>
      <w:r>
        <w:t xml:space="preserve"> See</w:t>
      </w:r>
      <w:r>
        <w:rPr>
          <w:bCs/>
        </w:rPr>
        <w:t xml:space="preserve"> </w:t>
      </w:r>
      <w:r>
        <w:rPr>
          <w:i/>
        </w:rPr>
        <w:t>Scout Association v Barnes</w:t>
      </w:r>
      <w:r>
        <w:t xml:space="preserve"> [2010] EWCA Civ 1476; </w:t>
      </w:r>
      <w:r w:rsidRPr="00266118">
        <w:t xml:space="preserve">[2010] 12 WLUK 743 </w:t>
      </w:r>
      <w:r>
        <w:t xml:space="preserve">at [46] (Smith LJ), </w:t>
      </w:r>
      <w:r w:rsidRPr="00786F46">
        <w:rPr>
          <w:i/>
        </w:rPr>
        <w:t>Uren v Corporate Leisure (UK) Ltd, Ministry of Defence</w:t>
      </w:r>
      <w:r>
        <w:t xml:space="preserve"> </w:t>
      </w:r>
      <w:r w:rsidRPr="00AD6154">
        <w:rPr>
          <w:bCs/>
        </w:rPr>
        <w:t>[2011] EWCA Civ 66</w:t>
      </w:r>
      <w:r>
        <w:rPr>
          <w:bCs/>
        </w:rPr>
        <w:t xml:space="preserve">; </w:t>
      </w:r>
      <w:r w:rsidRPr="00266118">
        <w:rPr>
          <w:bCs/>
        </w:rPr>
        <w:t>[2011] 2 WLUK 107</w:t>
      </w:r>
      <w:r>
        <w:rPr>
          <w:bCs/>
        </w:rPr>
        <w:t xml:space="preserve"> at [69] (Smith LJ), </w:t>
      </w:r>
      <w:r w:rsidRPr="007B5770">
        <w:rPr>
          <w:i/>
        </w:rPr>
        <w:t>Humphrey v Aegis Defence Services Ltd</w:t>
      </w:r>
      <w:r>
        <w:t xml:space="preserve"> [2016] EWCA Civ 11; </w:t>
      </w:r>
      <w:r w:rsidRPr="00266118">
        <w:t>[2017] 2 All E.R. 235</w:t>
      </w:r>
      <w:r>
        <w:t xml:space="preserve"> at [10] (Moore-Bick LJ).</w:t>
      </w:r>
    </w:p>
  </w:footnote>
  <w:footnote w:id="117">
    <w:p w14:paraId="5A0CE033" w14:textId="48BEDF35" w:rsidR="00213BB7" w:rsidRDefault="00213BB7" w:rsidP="0023219A">
      <w:pPr>
        <w:pStyle w:val="FootnoteText"/>
      </w:pPr>
      <w:r>
        <w:rPr>
          <w:rStyle w:val="FootnoteReference"/>
        </w:rPr>
        <w:footnoteRef/>
      </w:r>
      <w:r>
        <w:t xml:space="preserve"> [1973] 1 W.L.R. 1; </w:t>
      </w:r>
      <w:r w:rsidRPr="00457C71">
        <w:t>[1972] 3 All E.R. 1008</w:t>
      </w:r>
    </w:p>
  </w:footnote>
  <w:footnote w:id="118">
    <w:p w14:paraId="3B01DFB7" w14:textId="77C9DFD1" w:rsidR="00213BB7" w:rsidRDefault="00213BB7" w:rsidP="0023219A">
      <w:pPr>
        <w:pStyle w:val="FootnoteText"/>
      </w:pPr>
      <w:r>
        <w:rPr>
          <w:rStyle w:val="FootnoteReference"/>
        </w:rPr>
        <w:footnoteRef/>
      </w:r>
      <w:r>
        <w:t xml:space="preserve"> </w:t>
      </w:r>
      <w:r>
        <w:rPr>
          <w:i/>
        </w:rPr>
        <w:t xml:space="preserve">Fairchild </w:t>
      </w:r>
      <w:r w:rsidRPr="00B20816">
        <w:t>[2003] 1 A</w:t>
      </w:r>
      <w:r>
        <w:t>.</w:t>
      </w:r>
      <w:r w:rsidRPr="00B20816">
        <w:t>C</w:t>
      </w:r>
      <w:r>
        <w:t>.</w:t>
      </w:r>
      <w:r w:rsidRPr="00B20816">
        <w:t xml:space="preserve"> 32</w:t>
      </w:r>
      <w:r>
        <w:t xml:space="preserve"> at [33].</w:t>
      </w:r>
    </w:p>
  </w:footnote>
  <w:footnote w:id="119">
    <w:p w14:paraId="51F04B7E" w14:textId="299578D5" w:rsidR="00213BB7" w:rsidRDefault="00213BB7" w:rsidP="0023219A">
      <w:pPr>
        <w:pStyle w:val="FootnoteText"/>
      </w:pPr>
      <w:r>
        <w:rPr>
          <w:rStyle w:val="FootnoteReference"/>
        </w:rPr>
        <w:footnoteRef/>
      </w:r>
      <w:r>
        <w:t xml:space="preserve"> </w:t>
      </w:r>
      <w:r w:rsidRPr="0035610E">
        <w:t>[2016] UKSC 42</w:t>
      </w:r>
      <w:r>
        <w:t xml:space="preserve">; </w:t>
      </w:r>
      <w:r w:rsidRPr="00457C71">
        <w:t>[2017] A.C. 467</w:t>
      </w:r>
      <w:r>
        <w:t>.</w:t>
      </w:r>
    </w:p>
  </w:footnote>
  <w:footnote w:id="120">
    <w:p w14:paraId="0A8CFCB7" w14:textId="7D4386E0" w:rsidR="00213BB7" w:rsidRDefault="00213BB7" w:rsidP="0023219A">
      <w:pPr>
        <w:pStyle w:val="FootnoteText"/>
      </w:pPr>
      <w:r>
        <w:rPr>
          <w:rStyle w:val="FootnoteReference"/>
        </w:rPr>
        <w:footnoteRef/>
      </w:r>
      <w:r>
        <w:t xml:space="preserve"> </w:t>
      </w:r>
      <w:r>
        <w:rPr>
          <w:i/>
        </w:rPr>
        <w:t xml:space="preserve">Henderson </w:t>
      </w:r>
      <w:r w:rsidRPr="00A45393">
        <w:t>[2021] A.C. 563</w:t>
      </w:r>
      <w:r>
        <w:t xml:space="preserve"> at [77] (Lord Hamblen).</w:t>
      </w:r>
    </w:p>
  </w:footnote>
  <w:footnote w:id="121">
    <w:p w14:paraId="5DC7A716" w14:textId="0F97A458" w:rsidR="00213BB7" w:rsidRDefault="00213BB7" w:rsidP="0023219A">
      <w:pPr>
        <w:pStyle w:val="FootnoteText"/>
      </w:pPr>
      <w:r>
        <w:rPr>
          <w:rStyle w:val="FootnoteReference"/>
        </w:rPr>
        <w:footnoteRef/>
      </w:r>
      <w:r>
        <w:t xml:space="preserve"> </w:t>
      </w:r>
      <w:r>
        <w:rPr>
          <w:i/>
        </w:rPr>
        <w:t xml:space="preserve">McLoughlin </w:t>
      </w:r>
      <w:r>
        <w:t>[1983] 1 A.C. 410 at 431.</w:t>
      </w:r>
    </w:p>
  </w:footnote>
  <w:footnote w:id="122">
    <w:p w14:paraId="4F61D015" w14:textId="1257EC44" w:rsidR="00213BB7" w:rsidRPr="00D110B2" w:rsidRDefault="00213BB7" w:rsidP="0023219A">
      <w:pPr>
        <w:spacing w:line="240" w:lineRule="auto"/>
        <w:rPr>
          <w:rFonts w:eastAsia="Times New Roman" w:cs="Times New Roman"/>
          <w:lang w:eastAsia="en-GB"/>
        </w:rPr>
      </w:pPr>
      <w:r>
        <w:rPr>
          <w:rStyle w:val="FootnoteReference"/>
        </w:rPr>
        <w:footnoteRef/>
      </w:r>
      <w:r>
        <w:t xml:space="preserve"> An example would be the </w:t>
      </w:r>
      <w:r w:rsidRPr="00633938">
        <w:t xml:space="preserve">Court of Appeal decision in </w:t>
      </w:r>
      <w:r w:rsidRPr="00633938">
        <w:rPr>
          <w:i/>
        </w:rPr>
        <w:t>Robinson</w:t>
      </w:r>
      <w:r>
        <w:rPr>
          <w:i/>
        </w:rPr>
        <w:t xml:space="preserve"> v Chief Constable of West Yorkshire </w:t>
      </w:r>
      <w:r w:rsidRPr="00D110B2">
        <w:rPr>
          <w:rFonts w:eastAsia="Times New Roman" w:cs="Times New Roman"/>
          <w:lang w:eastAsia="en-GB"/>
        </w:rPr>
        <w:t>[2014] EWCA Civ 15</w:t>
      </w:r>
      <w:r>
        <w:rPr>
          <w:rFonts w:eastAsia="Times New Roman" w:cs="Times New Roman"/>
          <w:lang w:eastAsia="en-GB"/>
        </w:rPr>
        <w:t xml:space="preserve">; </w:t>
      </w:r>
      <w:r w:rsidRPr="002D287C">
        <w:rPr>
          <w:rFonts w:eastAsia="Times New Roman" w:cs="Times New Roman"/>
          <w:lang w:eastAsia="en-GB"/>
        </w:rPr>
        <w:t>[2014] P.I.Q.R. P14</w:t>
      </w:r>
      <w:r>
        <w:rPr>
          <w:rFonts w:eastAsia="Times New Roman" w:cs="Times New Roman"/>
          <w:lang w:eastAsia="en-GB"/>
        </w:rPr>
        <w:t xml:space="preserve">, which I criticised in Craig Purshouse, “Arrested Development: Police Negligence and the </w:t>
      </w:r>
      <w:r>
        <w:rPr>
          <w:rFonts w:eastAsia="Times New Roman" w:cs="Times New Roman"/>
          <w:i/>
          <w:lang w:eastAsia="en-GB"/>
        </w:rPr>
        <w:t>Caparo</w:t>
      </w:r>
      <w:r>
        <w:rPr>
          <w:rFonts w:eastAsia="Times New Roman" w:cs="Times New Roman"/>
          <w:lang w:eastAsia="en-GB"/>
        </w:rPr>
        <w:t xml:space="preserve"> ‘Test’ for Duty of Care” (2016) 23 Torts L.J. 1. One could also say that </w:t>
      </w:r>
      <w:r>
        <w:rPr>
          <w:rFonts w:eastAsia="Times New Roman" w:cs="Times New Roman"/>
          <w:i/>
          <w:lang w:eastAsia="en-GB"/>
        </w:rPr>
        <w:t xml:space="preserve">Patel </w:t>
      </w:r>
      <w:r>
        <w:rPr>
          <w:rFonts w:eastAsia="Times New Roman" w:cs="Times New Roman"/>
          <w:lang w:eastAsia="en-GB"/>
        </w:rPr>
        <w:t xml:space="preserve">would be too policy-focused if it was not interpreted in manner adopted by Lord Hamblen in </w:t>
      </w:r>
      <w:r>
        <w:rPr>
          <w:rFonts w:eastAsia="Times New Roman" w:cs="Times New Roman"/>
          <w:i/>
          <w:lang w:eastAsia="en-GB"/>
        </w:rPr>
        <w:t>Henderson</w:t>
      </w:r>
      <w:r>
        <w:rPr>
          <w:rFonts w:eastAsia="Times New Roman" w:cs="Times New Roman"/>
          <w:lang w:eastAsia="en-GB"/>
        </w:rPr>
        <w:t xml:space="preserve"> </w:t>
      </w:r>
      <w:r w:rsidRPr="00A45393">
        <w:t>[2021] A.C. 563</w:t>
      </w:r>
      <w:r>
        <w:rPr>
          <w:rFonts w:eastAsia="Times New Roman" w:cs="Times New Roman"/>
          <w:i/>
          <w:lang w:eastAsia="en-GB"/>
        </w:rPr>
        <w:t>.</w:t>
      </w:r>
      <w:r>
        <w:rPr>
          <w:rFonts w:eastAsia="Times New Roman" w:cs="Times New Roman"/>
          <w:lang w:eastAsia="en-GB"/>
        </w:rPr>
        <w:t xml:space="preserve"> </w:t>
      </w:r>
    </w:p>
  </w:footnote>
  <w:footnote w:id="123">
    <w:p w14:paraId="76788E57" w14:textId="645FDC05" w:rsidR="00213BB7" w:rsidRDefault="00213BB7" w:rsidP="0023219A">
      <w:pPr>
        <w:pStyle w:val="FootnoteText"/>
      </w:pPr>
      <w:r>
        <w:rPr>
          <w:rStyle w:val="FootnoteReference"/>
        </w:rPr>
        <w:footnoteRef/>
      </w:r>
      <w:r>
        <w:t xml:space="preserve"> Some of my cases were decided after Beever authored </w:t>
      </w:r>
      <w:r w:rsidRPr="002D287C">
        <w:rPr>
          <w:i/>
        </w:rPr>
        <w:t>Rediscovering</w:t>
      </w:r>
      <w:r>
        <w:rPr>
          <w:i/>
        </w:rPr>
        <w:t xml:space="preserve"> the Law of Negligence</w:t>
      </w:r>
      <w:r>
        <w:t xml:space="preserve"> (2007) but this does not affect my argument. For a critique of Beever’s habit of relying on older case law at the expense of more recent developments see Priel, “Land Use Priorities and the Law of Nuisance” (2015) 39 M.U.L.R. 346 at 354.</w:t>
      </w:r>
    </w:p>
  </w:footnote>
  <w:footnote w:id="124">
    <w:p w14:paraId="09F9A236" w14:textId="4E490D08" w:rsidR="00213BB7" w:rsidRPr="00D110B2" w:rsidRDefault="00213BB7" w:rsidP="0023219A">
      <w:pPr>
        <w:pStyle w:val="FootnoteText"/>
      </w:pPr>
      <w:r>
        <w:rPr>
          <w:rStyle w:val="FootnoteReference"/>
        </w:rPr>
        <w:footnoteRef/>
      </w:r>
      <w:r>
        <w:t xml:space="preserve"> Stapleton, </w:t>
      </w:r>
      <w:r>
        <w:rPr>
          <w:i/>
        </w:rPr>
        <w:t xml:space="preserve">Three Essays on Torts </w:t>
      </w:r>
      <w:r>
        <w:t>(2021), at p. 31.</w:t>
      </w:r>
    </w:p>
  </w:footnote>
  <w:footnote w:id="125">
    <w:p w14:paraId="4CE64069" w14:textId="54FDC3F0" w:rsidR="00213BB7" w:rsidRDefault="00213BB7" w:rsidP="0023219A">
      <w:pPr>
        <w:pStyle w:val="FootnoteText"/>
      </w:pPr>
      <w:r>
        <w:rPr>
          <w:rStyle w:val="FootnoteReference"/>
        </w:rPr>
        <w:footnoteRef/>
      </w:r>
      <w:r>
        <w:t xml:space="preserve"> See </w:t>
      </w:r>
      <w:r>
        <w:rPr>
          <w:rFonts w:eastAsia="Times New Roman" w:cs="Times New Roman"/>
          <w:lang w:eastAsia="en-GB"/>
        </w:rPr>
        <w:t xml:space="preserve">Purshouse, “Arrested Development: Police Negligence and the </w:t>
      </w:r>
      <w:r>
        <w:rPr>
          <w:rFonts w:eastAsia="Times New Roman" w:cs="Times New Roman"/>
          <w:i/>
          <w:lang w:eastAsia="en-GB"/>
        </w:rPr>
        <w:t>Caparo</w:t>
      </w:r>
      <w:r>
        <w:rPr>
          <w:rFonts w:eastAsia="Times New Roman" w:cs="Times New Roman"/>
          <w:lang w:eastAsia="en-GB"/>
        </w:rPr>
        <w:t xml:space="preserve"> ‘Test’ for Duty of Care” (2016) 23 Torts L.J. 1 and </w:t>
      </w:r>
      <w:r>
        <w:t>Purshouse, “Utilitarianism as Tort Theory: Countering the Caricature” (2018) 38 L.S. 24.</w:t>
      </w:r>
    </w:p>
  </w:footnote>
  <w:footnote w:id="126">
    <w:p w14:paraId="2419C805" w14:textId="6385D720" w:rsidR="00213BB7" w:rsidRPr="00992084" w:rsidRDefault="00213BB7">
      <w:pPr>
        <w:pStyle w:val="FootnoteText"/>
      </w:pPr>
      <w:r>
        <w:rPr>
          <w:rStyle w:val="FootnoteReference"/>
        </w:rPr>
        <w:footnoteRef/>
      </w:r>
      <w:r>
        <w:t xml:space="preserve"> For a scholar who is upfront about valuing coherence above other factors see Gemma Turton, </w:t>
      </w:r>
      <w:r>
        <w:rPr>
          <w:i/>
        </w:rPr>
        <w:t>Evidential Uncertainty in Causation in Negligence</w:t>
      </w:r>
      <w:r>
        <w:t xml:space="preserve"> (Oxford: Hart, 2016), at p. 7.</w:t>
      </w:r>
    </w:p>
  </w:footnote>
  <w:footnote w:id="127">
    <w:p w14:paraId="3CCCC132" w14:textId="0F97ABBC" w:rsidR="00213BB7" w:rsidRDefault="00213BB7" w:rsidP="00FB6E35">
      <w:pPr>
        <w:pStyle w:val="FootnoteText"/>
      </w:pPr>
      <w:r>
        <w:rPr>
          <w:rStyle w:val="FootnoteReference"/>
        </w:rPr>
        <w:footnoteRef/>
      </w:r>
      <w:r>
        <w:t xml:space="preserve"> Murphy, </w:t>
      </w:r>
      <w:r>
        <w:rPr>
          <w:i/>
        </w:rPr>
        <w:t xml:space="preserve">The Province and Politics of the Economic Torts </w:t>
      </w:r>
      <w:r>
        <w:t>(2022), at p. 32.</w:t>
      </w:r>
    </w:p>
  </w:footnote>
  <w:footnote w:id="128">
    <w:p w14:paraId="62767C65" w14:textId="34BB5690" w:rsidR="00213BB7" w:rsidRDefault="00213BB7" w:rsidP="00D14E9F">
      <w:pPr>
        <w:pStyle w:val="FootnoteText"/>
      </w:pPr>
      <w:r>
        <w:rPr>
          <w:rStyle w:val="FootnoteReference"/>
        </w:rPr>
        <w:footnoteRef/>
      </w:r>
      <w:r>
        <w:t xml:space="preserve"> Varuhas, “Mapping Doctrinal Methods” in Daly and Tomlinson (eds.), </w:t>
      </w:r>
      <w:r>
        <w:rPr>
          <w:i/>
        </w:rPr>
        <w:t>Researching Public Law in Common Law Systems</w:t>
      </w:r>
      <w:r>
        <w:t xml:space="preserve"> (forthcoming in 2023).</w:t>
      </w:r>
    </w:p>
  </w:footnote>
  <w:footnote w:id="129">
    <w:p w14:paraId="3CE53262" w14:textId="3784960A" w:rsidR="00213BB7" w:rsidRPr="004807E7" w:rsidRDefault="00213BB7">
      <w:pPr>
        <w:pStyle w:val="FootnoteText"/>
      </w:pPr>
      <w:r>
        <w:rPr>
          <w:rStyle w:val="FootnoteReference"/>
        </w:rPr>
        <w:footnoteRef/>
      </w:r>
      <w:r>
        <w:t xml:space="preserve"> For arguments that the deontologists are, notwithstanding to their assertions to the contrary, engaged in prescriptive projects see Cane, “Rights in Private Law” in Nolan and Robertson (eds.), </w:t>
      </w:r>
      <w:r>
        <w:rPr>
          <w:i/>
        </w:rPr>
        <w:t>Rights and Private Law</w:t>
      </w:r>
      <w:r>
        <w:t xml:space="preserve"> (2012), at p. 51 and Stapleton, </w:t>
      </w:r>
      <w:r>
        <w:rPr>
          <w:i/>
        </w:rPr>
        <w:t xml:space="preserve">Three Essays on Torts </w:t>
      </w:r>
      <w:r>
        <w:t>(2021), at p. 25.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35034"/>
    <w:multiLevelType w:val="hybridMultilevel"/>
    <w:tmpl w:val="4D0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3C55C2"/>
    <w:multiLevelType w:val="hybridMultilevel"/>
    <w:tmpl w:val="8120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CB2072"/>
    <w:multiLevelType w:val="hybridMultilevel"/>
    <w:tmpl w:val="DF5418B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895587"/>
    <w:multiLevelType w:val="hybridMultilevel"/>
    <w:tmpl w:val="DB6C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307853"/>
    <w:multiLevelType w:val="hybridMultilevel"/>
    <w:tmpl w:val="AE98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2C6880"/>
    <w:multiLevelType w:val="hybridMultilevel"/>
    <w:tmpl w:val="7A80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65A287D"/>
    <w:multiLevelType w:val="hybridMultilevel"/>
    <w:tmpl w:val="218C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033F78"/>
    <w:multiLevelType w:val="hybridMultilevel"/>
    <w:tmpl w:val="65F6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77"/>
    <w:rsid w:val="00010332"/>
    <w:rsid w:val="00013E19"/>
    <w:rsid w:val="00015B71"/>
    <w:rsid w:val="00020AA4"/>
    <w:rsid w:val="00021A98"/>
    <w:rsid w:val="00023706"/>
    <w:rsid w:val="00030691"/>
    <w:rsid w:val="00041E07"/>
    <w:rsid w:val="00042D2C"/>
    <w:rsid w:val="000431D2"/>
    <w:rsid w:val="0004757E"/>
    <w:rsid w:val="000564A2"/>
    <w:rsid w:val="00057EF0"/>
    <w:rsid w:val="0008027B"/>
    <w:rsid w:val="00081536"/>
    <w:rsid w:val="00091E18"/>
    <w:rsid w:val="00092ED8"/>
    <w:rsid w:val="00095910"/>
    <w:rsid w:val="000961C3"/>
    <w:rsid w:val="000963BC"/>
    <w:rsid w:val="0009642C"/>
    <w:rsid w:val="000A2E77"/>
    <w:rsid w:val="000A38FC"/>
    <w:rsid w:val="000B0330"/>
    <w:rsid w:val="000B4938"/>
    <w:rsid w:val="000B5532"/>
    <w:rsid w:val="000B59FC"/>
    <w:rsid w:val="000B5B97"/>
    <w:rsid w:val="000B69AC"/>
    <w:rsid w:val="000C1D9E"/>
    <w:rsid w:val="000E1BEE"/>
    <w:rsid w:val="000E6AC0"/>
    <w:rsid w:val="000E7A2D"/>
    <w:rsid w:val="000E7FE6"/>
    <w:rsid w:val="000F6531"/>
    <w:rsid w:val="001005E2"/>
    <w:rsid w:val="00100CBD"/>
    <w:rsid w:val="00103DAC"/>
    <w:rsid w:val="0010495B"/>
    <w:rsid w:val="00112877"/>
    <w:rsid w:val="00114A08"/>
    <w:rsid w:val="0011663B"/>
    <w:rsid w:val="001168C5"/>
    <w:rsid w:val="001224B1"/>
    <w:rsid w:val="00126627"/>
    <w:rsid w:val="0013047D"/>
    <w:rsid w:val="00130FD2"/>
    <w:rsid w:val="00132856"/>
    <w:rsid w:val="00133689"/>
    <w:rsid w:val="00137DD4"/>
    <w:rsid w:val="00141088"/>
    <w:rsid w:val="0014553D"/>
    <w:rsid w:val="001455E9"/>
    <w:rsid w:val="0014581A"/>
    <w:rsid w:val="0014586E"/>
    <w:rsid w:val="001500FD"/>
    <w:rsid w:val="00150C48"/>
    <w:rsid w:val="00151FE5"/>
    <w:rsid w:val="00152F84"/>
    <w:rsid w:val="0015645D"/>
    <w:rsid w:val="0015664B"/>
    <w:rsid w:val="00164943"/>
    <w:rsid w:val="00164EC8"/>
    <w:rsid w:val="00166F59"/>
    <w:rsid w:val="001675C3"/>
    <w:rsid w:val="00167F3D"/>
    <w:rsid w:val="00170593"/>
    <w:rsid w:val="00177EBD"/>
    <w:rsid w:val="0018093D"/>
    <w:rsid w:val="00181FC3"/>
    <w:rsid w:val="001834D8"/>
    <w:rsid w:val="00184792"/>
    <w:rsid w:val="00184BE1"/>
    <w:rsid w:val="00190373"/>
    <w:rsid w:val="00195703"/>
    <w:rsid w:val="00197B14"/>
    <w:rsid w:val="001A0123"/>
    <w:rsid w:val="001A07A9"/>
    <w:rsid w:val="001A1077"/>
    <w:rsid w:val="001A1CC7"/>
    <w:rsid w:val="001B3ED0"/>
    <w:rsid w:val="001B7130"/>
    <w:rsid w:val="001B740E"/>
    <w:rsid w:val="001C0278"/>
    <w:rsid w:val="001C204B"/>
    <w:rsid w:val="001D1C9B"/>
    <w:rsid w:val="001D684E"/>
    <w:rsid w:val="001E7478"/>
    <w:rsid w:val="001F4908"/>
    <w:rsid w:val="00203AA0"/>
    <w:rsid w:val="002043D8"/>
    <w:rsid w:val="00206159"/>
    <w:rsid w:val="00206314"/>
    <w:rsid w:val="00213BB7"/>
    <w:rsid w:val="002143C2"/>
    <w:rsid w:val="00214DE9"/>
    <w:rsid w:val="00216271"/>
    <w:rsid w:val="002178E4"/>
    <w:rsid w:val="00220474"/>
    <w:rsid w:val="00227615"/>
    <w:rsid w:val="00231BB9"/>
    <w:rsid w:val="0023219A"/>
    <w:rsid w:val="00242001"/>
    <w:rsid w:val="0024783D"/>
    <w:rsid w:val="00256B3F"/>
    <w:rsid w:val="002602AC"/>
    <w:rsid w:val="002642A8"/>
    <w:rsid w:val="002644AE"/>
    <w:rsid w:val="00266118"/>
    <w:rsid w:val="0026629B"/>
    <w:rsid w:val="002719A5"/>
    <w:rsid w:val="00272100"/>
    <w:rsid w:val="002722DF"/>
    <w:rsid w:val="00273991"/>
    <w:rsid w:val="00275696"/>
    <w:rsid w:val="00280432"/>
    <w:rsid w:val="002822A3"/>
    <w:rsid w:val="00290364"/>
    <w:rsid w:val="002931D2"/>
    <w:rsid w:val="00294D47"/>
    <w:rsid w:val="00296AC0"/>
    <w:rsid w:val="002A5C87"/>
    <w:rsid w:val="002B4F20"/>
    <w:rsid w:val="002B59CD"/>
    <w:rsid w:val="002C5695"/>
    <w:rsid w:val="002C5C71"/>
    <w:rsid w:val="002D0565"/>
    <w:rsid w:val="002D287C"/>
    <w:rsid w:val="002D4687"/>
    <w:rsid w:val="002D5075"/>
    <w:rsid w:val="002D6741"/>
    <w:rsid w:val="002D6E8A"/>
    <w:rsid w:val="002E1685"/>
    <w:rsid w:val="002E7628"/>
    <w:rsid w:val="002F202E"/>
    <w:rsid w:val="002F2921"/>
    <w:rsid w:val="002F2A45"/>
    <w:rsid w:val="003018FD"/>
    <w:rsid w:val="00301BEC"/>
    <w:rsid w:val="003056C5"/>
    <w:rsid w:val="00321D76"/>
    <w:rsid w:val="003259BE"/>
    <w:rsid w:val="00331B9C"/>
    <w:rsid w:val="0033379A"/>
    <w:rsid w:val="00333BFB"/>
    <w:rsid w:val="00333C7C"/>
    <w:rsid w:val="00335564"/>
    <w:rsid w:val="0034071D"/>
    <w:rsid w:val="00340C75"/>
    <w:rsid w:val="00343470"/>
    <w:rsid w:val="00351123"/>
    <w:rsid w:val="00353CC4"/>
    <w:rsid w:val="0035449B"/>
    <w:rsid w:val="003550B7"/>
    <w:rsid w:val="00356462"/>
    <w:rsid w:val="0036488F"/>
    <w:rsid w:val="00365134"/>
    <w:rsid w:val="00367A3E"/>
    <w:rsid w:val="0037097F"/>
    <w:rsid w:val="003711BF"/>
    <w:rsid w:val="00373418"/>
    <w:rsid w:val="003775A5"/>
    <w:rsid w:val="00381835"/>
    <w:rsid w:val="00381AA9"/>
    <w:rsid w:val="00384020"/>
    <w:rsid w:val="003946E0"/>
    <w:rsid w:val="00394BF6"/>
    <w:rsid w:val="00396292"/>
    <w:rsid w:val="003A10AD"/>
    <w:rsid w:val="003A270F"/>
    <w:rsid w:val="003A3014"/>
    <w:rsid w:val="003A3960"/>
    <w:rsid w:val="003A3E13"/>
    <w:rsid w:val="003A5F1E"/>
    <w:rsid w:val="003A6076"/>
    <w:rsid w:val="003B6B28"/>
    <w:rsid w:val="003D292D"/>
    <w:rsid w:val="003D6F31"/>
    <w:rsid w:val="003E0EDD"/>
    <w:rsid w:val="003E18B8"/>
    <w:rsid w:val="003E4699"/>
    <w:rsid w:val="003E4CB0"/>
    <w:rsid w:val="003E7AB8"/>
    <w:rsid w:val="003F4468"/>
    <w:rsid w:val="003F575C"/>
    <w:rsid w:val="003F6F31"/>
    <w:rsid w:val="00400FC8"/>
    <w:rsid w:val="00401E31"/>
    <w:rsid w:val="0041033E"/>
    <w:rsid w:val="004165B3"/>
    <w:rsid w:val="00416D71"/>
    <w:rsid w:val="00416E5C"/>
    <w:rsid w:val="0042222C"/>
    <w:rsid w:val="00441C81"/>
    <w:rsid w:val="00445C44"/>
    <w:rsid w:val="004467BB"/>
    <w:rsid w:val="00451D15"/>
    <w:rsid w:val="004522F6"/>
    <w:rsid w:val="004552A3"/>
    <w:rsid w:val="004556E9"/>
    <w:rsid w:val="004565EE"/>
    <w:rsid w:val="00457C71"/>
    <w:rsid w:val="00463078"/>
    <w:rsid w:val="00467946"/>
    <w:rsid w:val="00472279"/>
    <w:rsid w:val="00472CB8"/>
    <w:rsid w:val="004807E7"/>
    <w:rsid w:val="004851CC"/>
    <w:rsid w:val="00485ECF"/>
    <w:rsid w:val="00487DAB"/>
    <w:rsid w:val="00490CBA"/>
    <w:rsid w:val="0049156F"/>
    <w:rsid w:val="00493845"/>
    <w:rsid w:val="004A06D8"/>
    <w:rsid w:val="004A30C2"/>
    <w:rsid w:val="004A5B22"/>
    <w:rsid w:val="004B29C5"/>
    <w:rsid w:val="004B656E"/>
    <w:rsid w:val="004C054A"/>
    <w:rsid w:val="004D54E9"/>
    <w:rsid w:val="004E4EE0"/>
    <w:rsid w:val="004F2CB3"/>
    <w:rsid w:val="004F4BFE"/>
    <w:rsid w:val="004F4CEC"/>
    <w:rsid w:val="00500680"/>
    <w:rsid w:val="0050283B"/>
    <w:rsid w:val="00503C2C"/>
    <w:rsid w:val="00503C72"/>
    <w:rsid w:val="00506AB6"/>
    <w:rsid w:val="00513286"/>
    <w:rsid w:val="0051347A"/>
    <w:rsid w:val="00513D71"/>
    <w:rsid w:val="00514A2B"/>
    <w:rsid w:val="00517D1C"/>
    <w:rsid w:val="00525D52"/>
    <w:rsid w:val="005414B7"/>
    <w:rsid w:val="00542BBE"/>
    <w:rsid w:val="00554506"/>
    <w:rsid w:val="00557EA1"/>
    <w:rsid w:val="00571942"/>
    <w:rsid w:val="00575818"/>
    <w:rsid w:val="0058507F"/>
    <w:rsid w:val="00591912"/>
    <w:rsid w:val="00591BB6"/>
    <w:rsid w:val="005A3C08"/>
    <w:rsid w:val="005B0B14"/>
    <w:rsid w:val="005B6742"/>
    <w:rsid w:val="005C164B"/>
    <w:rsid w:val="005C1A4C"/>
    <w:rsid w:val="005C3953"/>
    <w:rsid w:val="005C5C56"/>
    <w:rsid w:val="005C73EE"/>
    <w:rsid w:val="005D25E2"/>
    <w:rsid w:val="005E155B"/>
    <w:rsid w:val="005E2FAF"/>
    <w:rsid w:val="005E3AF7"/>
    <w:rsid w:val="005E56AE"/>
    <w:rsid w:val="005E7AB0"/>
    <w:rsid w:val="005F519F"/>
    <w:rsid w:val="00601886"/>
    <w:rsid w:val="006035F5"/>
    <w:rsid w:val="00603773"/>
    <w:rsid w:val="0060456C"/>
    <w:rsid w:val="00605F94"/>
    <w:rsid w:val="006066CE"/>
    <w:rsid w:val="006108B8"/>
    <w:rsid w:val="00613148"/>
    <w:rsid w:val="0062236F"/>
    <w:rsid w:val="00623B50"/>
    <w:rsid w:val="00625332"/>
    <w:rsid w:val="00630024"/>
    <w:rsid w:val="00633EC9"/>
    <w:rsid w:val="00635415"/>
    <w:rsid w:val="00640A58"/>
    <w:rsid w:val="00641E0A"/>
    <w:rsid w:val="00647157"/>
    <w:rsid w:val="00647BE2"/>
    <w:rsid w:val="00651159"/>
    <w:rsid w:val="00652BE5"/>
    <w:rsid w:val="00654798"/>
    <w:rsid w:val="00657AFD"/>
    <w:rsid w:val="006637A2"/>
    <w:rsid w:val="006727A6"/>
    <w:rsid w:val="006759F7"/>
    <w:rsid w:val="00682BF8"/>
    <w:rsid w:val="00687D4A"/>
    <w:rsid w:val="0069517F"/>
    <w:rsid w:val="006A24BA"/>
    <w:rsid w:val="006A296A"/>
    <w:rsid w:val="006A2F57"/>
    <w:rsid w:val="006A3BF5"/>
    <w:rsid w:val="006A4751"/>
    <w:rsid w:val="006A76B1"/>
    <w:rsid w:val="006B4CE0"/>
    <w:rsid w:val="006C0538"/>
    <w:rsid w:val="006C0825"/>
    <w:rsid w:val="006C1839"/>
    <w:rsid w:val="006C5559"/>
    <w:rsid w:val="006D53F0"/>
    <w:rsid w:val="006D65EF"/>
    <w:rsid w:val="006E1616"/>
    <w:rsid w:val="006E5AE8"/>
    <w:rsid w:val="006E60B2"/>
    <w:rsid w:val="006E6FCC"/>
    <w:rsid w:val="006E7BA7"/>
    <w:rsid w:val="006F45F0"/>
    <w:rsid w:val="006F628C"/>
    <w:rsid w:val="007005AC"/>
    <w:rsid w:val="0070578B"/>
    <w:rsid w:val="00713772"/>
    <w:rsid w:val="0071771A"/>
    <w:rsid w:val="00720E77"/>
    <w:rsid w:val="00730387"/>
    <w:rsid w:val="0073147B"/>
    <w:rsid w:val="00733870"/>
    <w:rsid w:val="0073484B"/>
    <w:rsid w:val="00736F71"/>
    <w:rsid w:val="0073702C"/>
    <w:rsid w:val="00741404"/>
    <w:rsid w:val="00741786"/>
    <w:rsid w:val="00747452"/>
    <w:rsid w:val="00747FD9"/>
    <w:rsid w:val="007527B6"/>
    <w:rsid w:val="007567AA"/>
    <w:rsid w:val="00761DEA"/>
    <w:rsid w:val="007621AE"/>
    <w:rsid w:val="007628E6"/>
    <w:rsid w:val="00763A3D"/>
    <w:rsid w:val="007647D3"/>
    <w:rsid w:val="00765FF3"/>
    <w:rsid w:val="007702F5"/>
    <w:rsid w:val="0077221B"/>
    <w:rsid w:val="00772E80"/>
    <w:rsid w:val="00782A76"/>
    <w:rsid w:val="00791CA2"/>
    <w:rsid w:val="007A00BF"/>
    <w:rsid w:val="007A1526"/>
    <w:rsid w:val="007A1D71"/>
    <w:rsid w:val="007A1F68"/>
    <w:rsid w:val="007A5EEE"/>
    <w:rsid w:val="007A76CE"/>
    <w:rsid w:val="007B4B1E"/>
    <w:rsid w:val="007C48FC"/>
    <w:rsid w:val="007D41D8"/>
    <w:rsid w:val="007E3EF8"/>
    <w:rsid w:val="007F7A92"/>
    <w:rsid w:val="007F7DC2"/>
    <w:rsid w:val="00803619"/>
    <w:rsid w:val="008041B5"/>
    <w:rsid w:val="0081107B"/>
    <w:rsid w:val="00813DF9"/>
    <w:rsid w:val="00815789"/>
    <w:rsid w:val="008278D0"/>
    <w:rsid w:val="0083078A"/>
    <w:rsid w:val="00832DA4"/>
    <w:rsid w:val="00834CAD"/>
    <w:rsid w:val="0083623D"/>
    <w:rsid w:val="00842B85"/>
    <w:rsid w:val="008451C1"/>
    <w:rsid w:val="0085060F"/>
    <w:rsid w:val="008525DF"/>
    <w:rsid w:val="00854C53"/>
    <w:rsid w:val="00856230"/>
    <w:rsid w:val="00860FC1"/>
    <w:rsid w:val="008617EC"/>
    <w:rsid w:val="0086322C"/>
    <w:rsid w:val="0086475B"/>
    <w:rsid w:val="0086531A"/>
    <w:rsid w:val="0086695F"/>
    <w:rsid w:val="00873617"/>
    <w:rsid w:val="00881B81"/>
    <w:rsid w:val="00895742"/>
    <w:rsid w:val="00896071"/>
    <w:rsid w:val="008A23A5"/>
    <w:rsid w:val="008B6417"/>
    <w:rsid w:val="008C4DF9"/>
    <w:rsid w:val="008D2AD0"/>
    <w:rsid w:val="008D6087"/>
    <w:rsid w:val="008D60FD"/>
    <w:rsid w:val="008E0830"/>
    <w:rsid w:val="008F0D30"/>
    <w:rsid w:val="008F2CF1"/>
    <w:rsid w:val="008F3710"/>
    <w:rsid w:val="008F6AA2"/>
    <w:rsid w:val="00902ABA"/>
    <w:rsid w:val="009078DD"/>
    <w:rsid w:val="009153A1"/>
    <w:rsid w:val="009208E6"/>
    <w:rsid w:val="00926245"/>
    <w:rsid w:val="0094308A"/>
    <w:rsid w:val="00960EB8"/>
    <w:rsid w:val="009621F2"/>
    <w:rsid w:val="00964A13"/>
    <w:rsid w:val="00970E2D"/>
    <w:rsid w:val="0097446C"/>
    <w:rsid w:val="00977180"/>
    <w:rsid w:val="00977B71"/>
    <w:rsid w:val="009831DD"/>
    <w:rsid w:val="009863AF"/>
    <w:rsid w:val="009909F4"/>
    <w:rsid w:val="00992084"/>
    <w:rsid w:val="00992CAF"/>
    <w:rsid w:val="00994315"/>
    <w:rsid w:val="00994F28"/>
    <w:rsid w:val="00995ECF"/>
    <w:rsid w:val="00996653"/>
    <w:rsid w:val="0099766F"/>
    <w:rsid w:val="009A18D8"/>
    <w:rsid w:val="009A4B5E"/>
    <w:rsid w:val="009A5443"/>
    <w:rsid w:val="009C0F58"/>
    <w:rsid w:val="009C77D4"/>
    <w:rsid w:val="009D2343"/>
    <w:rsid w:val="009D30FD"/>
    <w:rsid w:val="009D3437"/>
    <w:rsid w:val="009D4A1E"/>
    <w:rsid w:val="009D5BDC"/>
    <w:rsid w:val="009D681A"/>
    <w:rsid w:val="009D798E"/>
    <w:rsid w:val="009E28C1"/>
    <w:rsid w:val="009E3AA3"/>
    <w:rsid w:val="009E5DB3"/>
    <w:rsid w:val="009E7A87"/>
    <w:rsid w:val="009F02C8"/>
    <w:rsid w:val="009F1EA6"/>
    <w:rsid w:val="009F41F4"/>
    <w:rsid w:val="009F4F5C"/>
    <w:rsid w:val="009F784D"/>
    <w:rsid w:val="00A0062B"/>
    <w:rsid w:val="00A03705"/>
    <w:rsid w:val="00A040B3"/>
    <w:rsid w:val="00A059E5"/>
    <w:rsid w:val="00A11194"/>
    <w:rsid w:val="00A1186A"/>
    <w:rsid w:val="00A13E17"/>
    <w:rsid w:val="00A14234"/>
    <w:rsid w:val="00A15720"/>
    <w:rsid w:val="00A33EBD"/>
    <w:rsid w:val="00A41099"/>
    <w:rsid w:val="00A42936"/>
    <w:rsid w:val="00A441C9"/>
    <w:rsid w:val="00A45393"/>
    <w:rsid w:val="00A521CC"/>
    <w:rsid w:val="00A559A6"/>
    <w:rsid w:val="00A569FC"/>
    <w:rsid w:val="00A57698"/>
    <w:rsid w:val="00A617DE"/>
    <w:rsid w:val="00A62050"/>
    <w:rsid w:val="00A704F7"/>
    <w:rsid w:val="00A70DDF"/>
    <w:rsid w:val="00A71135"/>
    <w:rsid w:val="00A72EE0"/>
    <w:rsid w:val="00A76922"/>
    <w:rsid w:val="00A7695A"/>
    <w:rsid w:val="00A7736F"/>
    <w:rsid w:val="00A80387"/>
    <w:rsid w:val="00A804D2"/>
    <w:rsid w:val="00A84217"/>
    <w:rsid w:val="00A875AB"/>
    <w:rsid w:val="00A91109"/>
    <w:rsid w:val="00A97D5F"/>
    <w:rsid w:val="00AA1AC1"/>
    <w:rsid w:val="00AA1B63"/>
    <w:rsid w:val="00AA2038"/>
    <w:rsid w:val="00AA3708"/>
    <w:rsid w:val="00AB1743"/>
    <w:rsid w:val="00AB4B3E"/>
    <w:rsid w:val="00AC2C6C"/>
    <w:rsid w:val="00AC5893"/>
    <w:rsid w:val="00AC5CC8"/>
    <w:rsid w:val="00AD0F2D"/>
    <w:rsid w:val="00AD59B8"/>
    <w:rsid w:val="00AD7AEE"/>
    <w:rsid w:val="00AF2FA3"/>
    <w:rsid w:val="00AF6579"/>
    <w:rsid w:val="00B0773A"/>
    <w:rsid w:val="00B1258E"/>
    <w:rsid w:val="00B1339A"/>
    <w:rsid w:val="00B155F1"/>
    <w:rsid w:val="00B1638C"/>
    <w:rsid w:val="00B27C2A"/>
    <w:rsid w:val="00B306BA"/>
    <w:rsid w:val="00B3477F"/>
    <w:rsid w:val="00B3559E"/>
    <w:rsid w:val="00B35E35"/>
    <w:rsid w:val="00B35F1C"/>
    <w:rsid w:val="00B40323"/>
    <w:rsid w:val="00B41A28"/>
    <w:rsid w:val="00B44670"/>
    <w:rsid w:val="00B4626D"/>
    <w:rsid w:val="00B51964"/>
    <w:rsid w:val="00B52415"/>
    <w:rsid w:val="00B61EF6"/>
    <w:rsid w:val="00B6275F"/>
    <w:rsid w:val="00B62FA0"/>
    <w:rsid w:val="00B66B8B"/>
    <w:rsid w:val="00B80432"/>
    <w:rsid w:val="00B8062D"/>
    <w:rsid w:val="00B82141"/>
    <w:rsid w:val="00B852CC"/>
    <w:rsid w:val="00B9094C"/>
    <w:rsid w:val="00B96230"/>
    <w:rsid w:val="00B96A25"/>
    <w:rsid w:val="00BA50F3"/>
    <w:rsid w:val="00BA769B"/>
    <w:rsid w:val="00BB4949"/>
    <w:rsid w:val="00BC37F7"/>
    <w:rsid w:val="00BC38A5"/>
    <w:rsid w:val="00BC51FD"/>
    <w:rsid w:val="00BC68A1"/>
    <w:rsid w:val="00BC7271"/>
    <w:rsid w:val="00BC7BEB"/>
    <w:rsid w:val="00BD0B7B"/>
    <w:rsid w:val="00BE5604"/>
    <w:rsid w:val="00BE5809"/>
    <w:rsid w:val="00BE680C"/>
    <w:rsid w:val="00BF19FC"/>
    <w:rsid w:val="00BF5AFB"/>
    <w:rsid w:val="00C01178"/>
    <w:rsid w:val="00C039BE"/>
    <w:rsid w:val="00C05BB9"/>
    <w:rsid w:val="00C07DB9"/>
    <w:rsid w:val="00C13887"/>
    <w:rsid w:val="00C15D74"/>
    <w:rsid w:val="00C16282"/>
    <w:rsid w:val="00C203D1"/>
    <w:rsid w:val="00C214CF"/>
    <w:rsid w:val="00C22E7E"/>
    <w:rsid w:val="00C256A9"/>
    <w:rsid w:val="00C33C29"/>
    <w:rsid w:val="00C3482F"/>
    <w:rsid w:val="00C447C9"/>
    <w:rsid w:val="00C46626"/>
    <w:rsid w:val="00C529E4"/>
    <w:rsid w:val="00C53868"/>
    <w:rsid w:val="00C543D8"/>
    <w:rsid w:val="00C562F0"/>
    <w:rsid w:val="00C60D44"/>
    <w:rsid w:val="00C61550"/>
    <w:rsid w:val="00C61A5A"/>
    <w:rsid w:val="00C61E6C"/>
    <w:rsid w:val="00C64E42"/>
    <w:rsid w:val="00C64FB3"/>
    <w:rsid w:val="00C651A1"/>
    <w:rsid w:val="00C65871"/>
    <w:rsid w:val="00C72C53"/>
    <w:rsid w:val="00C81571"/>
    <w:rsid w:val="00C81D9F"/>
    <w:rsid w:val="00C81E46"/>
    <w:rsid w:val="00C92CAE"/>
    <w:rsid w:val="00C94EDC"/>
    <w:rsid w:val="00C9594E"/>
    <w:rsid w:val="00CB5721"/>
    <w:rsid w:val="00CC082C"/>
    <w:rsid w:val="00CC13B7"/>
    <w:rsid w:val="00CC3602"/>
    <w:rsid w:val="00CC76F1"/>
    <w:rsid w:val="00CC7AF0"/>
    <w:rsid w:val="00CD461C"/>
    <w:rsid w:val="00CD471E"/>
    <w:rsid w:val="00CD77AC"/>
    <w:rsid w:val="00CE1725"/>
    <w:rsid w:val="00CE4154"/>
    <w:rsid w:val="00CE4717"/>
    <w:rsid w:val="00CF2B8F"/>
    <w:rsid w:val="00CF4206"/>
    <w:rsid w:val="00D03DD8"/>
    <w:rsid w:val="00D05935"/>
    <w:rsid w:val="00D06B13"/>
    <w:rsid w:val="00D07B41"/>
    <w:rsid w:val="00D112F2"/>
    <w:rsid w:val="00D14E9F"/>
    <w:rsid w:val="00D233FA"/>
    <w:rsid w:val="00D23E10"/>
    <w:rsid w:val="00D2453A"/>
    <w:rsid w:val="00D24977"/>
    <w:rsid w:val="00D31EC6"/>
    <w:rsid w:val="00D32FE8"/>
    <w:rsid w:val="00D33608"/>
    <w:rsid w:val="00D34975"/>
    <w:rsid w:val="00D37C03"/>
    <w:rsid w:val="00D44C57"/>
    <w:rsid w:val="00D53011"/>
    <w:rsid w:val="00D54661"/>
    <w:rsid w:val="00D559FB"/>
    <w:rsid w:val="00D63165"/>
    <w:rsid w:val="00D63ABF"/>
    <w:rsid w:val="00D70FC7"/>
    <w:rsid w:val="00D751E7"/>
    <w:rsid w:val="00D76F16"/>
    <w:rsid w:val="00D84969"/>
    <w:rsid w:val="00D85D58"/>
    <w:rsid w:val="00D94EE0"/>
    <w:rsid w:val="00D9635D"/>
    <w:rsid w:val="00DA1918"/>
    <w:rsid w:val="00DA739A"/>
    <w:rsid w:val="00DA7DB4"/>
    <w:rsid w:val="00DB3FF0"/>
    <w:rsid w:val="00DB4F5F"/>
    <w:rsid w:val="00DC38C3"/>
    <w:rsid w:val="00DC7282"/>
    <w:rsid w:val="00DC75AD"/>
    <w:rsid w:val="00DD2EA0"/>
    <w:rsid w:val="00DE011F"/>
    <w:rsid w:val="00DE02D2"/>
    <w:rsid w:val="00DE0FE3"/>
    <w:rsid w:val="00DE5626"/>
    <w:rsid w:val="00DF000B"/>
    <w:rsid w:val="00DF28A9"/>
    <w:rsid w:val="00DF64D0"/>
    <w:rsid w:val="00DF7230"/>
    <w:rsid w:val="00E004AB"/>
    <w:rsid w:val="00E01A62"/>
    <w:rsid w:val="00E0282E"/>
    <w:rsid w:val="00E03F2E"/>
    <w:rsid w:val="00E06072"/>
    <w:rsid w:val="00E102B5"/>
    <w:rsid w:val="00E11791"/>
    <w:rsid w:val="00E11B82"/>
    <w:rsid w:val="00E15202"/>
    <w:rsid w:val="00E20329"/>
    <w:rsid w:val="00E20B1D"/>
    <w:rsid w:val="00E33976"/>
    <w:rsid w:val="00E33A98"/>
    <w:rsid w:val="00E34543"/>
    <w:rsid w:val="00E35447"/>
    <w:rsid w:val="00E41EC4"/>
    <w:rsid w:val="00E4327A"/>
    <w:rsid w:val="00E434D5"/>
    <w:rsid w:val="00E43897"/>
    <w:rsid w:val="00E46597"/>
    <w:rsid w:val="00E51EA8"/>
    <w:rsid w:val="00E52E62"/>
    <w:rsid w:val="00E57616"/>
    <w:rsid w:val="00E65FDD"/>
    <w:rsid w:val="00E6609A"/>
    <w:rsid w:val="00E7045C"/>
    <w:rsid w:val="00E70B9C"/>
    <w:rsid w:val="00E7261E"/>
    <w:rsid w:val="00E75746"/>
    <w:rsid w:val="00E7656B"/>
    <w:rsid w:val="00E77C03"/>
    <w:rsid w:val="00E80AA9"/>
    <w:rsid w:val="00E82943"/>
    <w:rsid w:val="00E836D3"/>
    <w:rsid w:val="00E83859"/>
    <w:rsid w:val="00E86AB7"/>
    <w:rsid w:val="00E87622"/>
    <w:rsid w:val="00E944FC"/>
    <w:rsid w:val="00EA5081"/>
    <w:rsid w:val="00EA5C66"/>
    <w:rsid w:val="00EA5F2E"/>
    <w:rsid w:val="00EA7495"/>
    <w:rsid w:val="00EB21DF"/>
    <w:rsid w:val="00EB37C9"/>
    <w:rsid w:val="00EB3C60"/>
    <w:rsid w:val="00EB5925"/>
    <w:rsid w:val="00EC09AF"/>
    <w:rsid w:val="00EC4511"/>
    <w:rsid w:val="00EC65D1"/>
    <w:rsid w:val="00ED1232"/>
    <w:rsid w:val="00ED30E4"/>
    <w:rsid w:val="00EE00AE"/>
    <w:rsid w:val="00EE0631"/>
    <w:rsid w:val="00EE0B90"/>
    <w:rsid w:val="00EE2AB9"/>
    <w:rsid w:val="00EE45EC"/>
    <w:rsid w:val="00EF0ADE"/>
    <w:rsid w:val="00EF469C"/>
    <w:rsid w:val="00EF69D6"/>
    <w:rsid w:val="00EF73F5"/>
    <w:rsid w:val="00F020EC"/>
    <w:rsid w:val="00F03747"/>
    <w:rsid w:val="00F04D73"/>
    <w:rsid w:val="00F11123"/>
    <w:rsid w:val="00F15CC0"/>
    <w:rsid w:val="00F2070A"/>
    <w:rsid w:val="00F22845"/>
    <w:rsid w:val="00F22FF3"/>
    <w:rsid w:val="00F27680"/>
    <w:rsid w:val="00F2775C"/>
    <w:rsid w:val="00F4006F"/>
    <w:rsid w:val="00F423C8"/>
    <w:rsid w:val="00F42DBC"/>
    <w:rsid w:val="00F4576E"/>
    <w:rsid w:val="00F5005F"/>
    <w:rsid w:val="00F50856"/>
    <w:rsid w:val="00F508AC"/>
    <w:rsid w:val="00F51700"/>
    <w:rsid w:val="00F537D8"/>
    <w:rsid w:val="00F56EDF"/>
    <w:rsid w:val="00F615AF"/>
    <w:rsid w:val="00F63786"/>
    <w:rsid w:val="00F703D7"/>
    <w:rsid w:val="00F74084"/>
    <w:rsid w:val="00F75E48"/>
    <w:rsid w:val="00F77377"/>
    <w:rsid w:val="00F805F4"/>
    <w:rsid w:val="00F85F96"/>
    <w:rsid w:val="00F90F90"/>
    <w:rsid w:val="00F91A93"/>
    <w:rsid w:val="00F9341D"/>
    <w:rsid w:val="00F942E1"/>
    <w:rsid w:val="00FA0F57"/>
    <w:rsid w:val="00FA2919"/>
    <w:rsid w:val="00FA41DF"/>
    <w:rsid w:val="00FA6BE1"/>
    <w:rsid w:val="00FB13B2"/>
    <w:rsid w:val="00FB2761"/>
    <w:rsid w:val="00FB61DA"/>
    <w:rsid w:val="00FB6E35"/>
    <w:rsid w:val="00FC1D3F"/>
    <w:rsid w:val="00FC22FE"/>
    <w:rsid w:val="00FC514E"/>
    <w:rsid w:val="00FC5815"/>
    <w:rsid w:val="00FD2410"/>
    <w:rsid w:val="00FD3438"/>
    <w:rsid w:val="00FD6508"/>
    <w:rsid w:val="00FD674B"/>
    <w:rsid w:val="00FE358D"/>
    <w:rsid w:val="00FE3AD5"/>
    <w:rsid w:val="00FE4B90"/>
    <w:rsid w:val="00FE71EC"/>
    <w:rsid w:val="00FF2C4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3E0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2E77"/>
    <w:pPr>
      <w:spacing w:line="480" w:lineRule="auto"/>
      <w:jc w:val="both"/>
    </w:pPr>
    <w:rPr>
      <w:sz w:val="24"/>
    </w:rPr>
  </w:style>
  <w:style w:type="paragraph" w:styleId="Heading1">
    <w:name w:val="heading 1"/>
    <w:basedOn w:val="Normal"/>
    <w:next w:val="Normal"/>
    <w:link w:val="Heading1Char"/>
    <w:autoRedefine/>
    <w:uiPriority w:val="9"/>
    <w:qFormat/>
    <w:rsid w:val="00BB4949"/>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autoRedefine/>
    <w:uiPriority w:val="9"/>
    <w:unhideWhenUsed/>
    <w:qFormat/>
    <w:rsid w:val="00BB4949"/>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4949"/>
    <w:rPr>
      <w:rFonts w:ascii="Times New Roman" w:eastAsiaTheme="majorEastAsia" w:hAnsi="Times New Roman" w:cstheme="majorBidi"/>
      <w:color w:val="000000" w:themeColor="text1"/>
      <w:sz w:val="26"/>
      <w:szCs w:val="26"/>
    </w:rPr>
  </w:style>
  <w:style w:type="character" w:customStyle="1" w:styleId="Heading1Char">
    <w:name w:val="Heading 1 Char"/>
    <w:basedOn w:val="DefaultParagraphFont"/>
    <w:link w:val="Heading1"/>
    <w:uiPriority w:val="9"/>
    <w:rsid w:val="00BB4949"/>
    <w:rPr>
      <w:rFonts w:ascii="Times New Roman" w:eastAsiaTheme="majorEastAsia" w:hAnsi="Times New Roman" w:cstheme="majorBidi"/>
      <w:color w:val="000000" w:themeColor="text1"/>
      <w:sz w:val="32"/>
      <w:szCs w:val="32"/>
    </w:rPr>
  </w:style>
  <w:style w:type="character" w:styleId="FootnoteReference">
    <w:name w:val="footnote reference"/>
    <w:basedOn w:val="DefaultParagraphFont"/>
    <w:uiPriority w:val="99"/>
    <w:unhideWhenUsed/>
    <w:qFormat/>
    <w:rsid w:val="00A57698"/>
    <w:rPr>
      <w:sz w:val="20"/>
      <w:vertAlign w:val="superscript"/>
    </w:rPr>
  </w:style>
  <w:style w:type="paragraph" w:styleId="FootnoteText">
    <w:name w:val="footnote text"/>
    <w:basedOn w:val="Normal"/>
    <w:link w:val="FootnoteTextChar"/>
    <w:uiPriority w:val="99"/>
    <w:unhideWhenUsed/>
    <w:rsid w:val="000A2E77"/>
    <w:pPr>
      <w:spacing w:line="240" w:lineRule="auto"/>
    </w:pPr>
  </w:style>
  <w:style w:type="character" w:customStyle="1" w:styleId="FootnoteTextChar">
    <w:name w:val="Footnote Text Char"/>
    <w:basedOn w:val="DefaultParagraphFont"/>
    <w:link w:val="FootnoteText"/>
    <w:uiPriority w:val="99"/>
    <w:rsid w:val="000A2E77"/>
    <w:rPr>
      <w:sz w:val="24"/>
    </w:rPr>
  </w:style>
  <w:style w:type="character" w:styleId="CommentReference">
    <w:name w:val="annotation reference"/>
    <w:basedOn w:val="DefaultParagraphFont"/>
    <w:uiPriority w:val="99"/>
    <w:semiHidden/>
    <w:unhideWhenUsed/>
    <w:rsid w:val="000A2E77"/>
    <w:rPr>
      <w:sz w:val="18"/>
      <w:szCs w:val="18"/>
    </w:rPr>
  </w:style>
  <w:style w:type="paragraph" w:styleId="CommentText">
    <w:name w:val="annotation text"/>
    <w:basedOn w:val="Normal"/>
    <w:link w:val="CommentTextChar"/>
    <w:uiPriority w:val="99"/>
    <w:unhideWhenUsed/>
    <w:rsid w:val="000A2E77"/>
    <w:pPr>
      <w:spacing w:line="240" w:lineRule="auto"/>
    </w:pPr>
  </w:style>
  <w:style w:type="character" w:customStyle="1" w:styleId="CommentTextChar">
    <w:name w:val="Comment Text Char"/>
    <w:basedOn w:val="DefaultParagraphFont"/>
    <w:link w:val="CommentText"/>
    <w:uiPriority w:val="99"/>
    <w:rsid w:val="000A2E77"/>
    <w:rPr>
      <w:sz w:val="24"/>
    </w:rPr>
  </w:style>
  <w:style w:type="paragraph" w:styleId="BalloonText">
    <w:name w:val="Balloon Text"/>
    <w:basedOn w:val="Normal"/>
    <w:link w:val="BalloonTextChar"/>
    <w:uiPriority w:val="99"/>
    <w:semiHidden/>
    <w:unhideWhenUsed/>
    <w:rsid w:val="000A2E77"/>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A2E77"/>
    <w:rPr>
      <w:rFonts w:cs="Times New Roman"/>
      <w:sz w:val="18"/>
      <w:szCs w:val="18"/>
    </w:rPr>
  </w:style>
  <w:style w:type="paragraph" w:styleId="ListParagraph">
    <w:name w:val="List Paragraph"/>
    <w:basedOn w:val="Normal"/>
    <w:uiPriority w:val="34"/>
    <w:qFormat/>
    <w:rsid w:val="0094308A"/>
    <w:pPr>
      <w:ind w:left="720"/>
      <w:contextualSpacing/>
    </w:pPr>
  </w:style>
  <w:style w:type="paragraph" w:styleId="Footer">
    <w:name w:val="footer"/>
    <w:basedOn w:val="Normal"/>
    <w:link w:val="FooterChar"/>
    <w:uiPriority w:val="99"/>
    <w:unhideWhenUsed/>
    <w:rsid w:val="00190373"/>
    <w:pPr>
      <w:tabs>
        <w:tab w:val="center" w:pos="4513"/>
        <w:tab w:val="right" w:pos="9026"/>
      </w:tabs>
      <w:spacing w:line="240" w:lineRule="auto"/>
    </w:pPr>
  </w:style>
  <w:style w:type="character" w:customStyle="1" w:styleId="FooterChar">
    <w:name w:val="Footer Char"/>
    <w:basedOn w:val="DefaultParagraphFont"/>
    <w:link w:val="Footer"/>
    <w:uiPriority w:val="99"/>
    <w:rsid w:val="00190373"/>
    <w:rPr>
      <w:sz w:val="24"/>
    </w:rPr>
  </w:style>
  <w:style w:type="character" w:styleId="PageNumber">
    <w:name w:val="page number"/>
    <w:basedOn w:val="DefaultParagraphFont"/>
    <w:uiPriority w:val="99"/>
    <w:semiHidden/>
    <w:unhideWhenUsed/>
    <w:rsid w:val="00190373"/>
  </w:style>
  <w:style w:type="paragraph" w:styleId="CommentSubject">
    <w:name w:val="annotation subject"/>
    <w:basedOn w:val="CommentText"/>
    <w:next w:val="CommentText"/>
    <w:link w:val="CommentSubjectChar"/>
    <w:uiPriority w:val="99"/>
    <w:semiHidden/>
    <w:unhideWhenUsed/>
    <w:rsid w:val="0070578B"/>
    <w:rPr>
      <w:b/>
      <w:bCs/>
      <w:sz w:val="20"/>
      <w:szCs w:val="20"/>
    </w:rPr>
  </w:style>
  <w:style w:type="character" w:customStyle="1" w:styleId="CommentSubjectChar">
    <w:name w:val="Comment Subject Char"/>
    <w:basedOn w:val="CommentTextChar"/>
    <w:link w:val="CommentSubject"/>
    <w:uiPriority w:val="99"/>
    <w:semiHidden/>
    <w:rsid w:val="0070578B"/>
    <w:rPr>
      <w:b/>
      <w:bCs/>
      <w:sz w:val="24"/>
      <w:szCs w:val="20"/>
    </w:rPr>
  </w:style>
  <w:style w:type="paragraph" w:styleId="EndnoteText">
    <w:name w:val="endnote text"/>
    <w:basedOn w:val="Normal"/>
    <w:link w:val="EndnoteTextChar"/>
    <w:uiPriority w:val="99"/>
    <w:unhideWhenUsed/>
    <w:rsid w:val="0033379A"/>
    <w:pPr>
      <w:spacing w:line="240" w:lineRule="auto"/>
    </w:pPr>
  </w:style>
  <w:style w:type="character" w:customStyle="1" w:styleId="EndnoteTextChar">
    <w:name w:val="Endnote Text Char"/>
    <w:basedOn w:val="DefaultParagraphFont"/>
    <w:link w:val="EndnoteText"/>
    <w:uiPriority w:val="99"/>
    <w:rsid w:val="0033379A"/>
    <w:rPr>
      <w:sz w:val="24"/>
    </w:rPr>
  </w:style>
  <w:style w:type="character" w:styleId="EndnoteReference">
    <w:name w:val="endnote reference"/>
    <w:basedOn w:val="DefaultParagraphFont"/>
    <w:uiPriority w:val="99"/>
    <w:unhideWhenUsed/>
    <w:rsid w:val="0033379A"/>
    <w:rPr>
      <w:vertAlign w:val="superscript"/>
    </w:rPr>
  </w:style>
  <w:style w:type="character" w:styleId="Hyperlink">
    <w:name w:val="Hyperlink"/>
    <w:basedOn w:val="DefaultParagraphFont"/>
    <w:uiPriority w:val="99"/>
    <w:unhideWhenUsed/>
    <w:rsid w:val="007621AE"/>
    <w:rPr>
      <w:color w:val="0563C1" w:themeColor="hyperlink"/>
      <w:u w:val="single"/>
    </w:rPr>
  </w:style>
  <w:style w:type="paragraph" w:styleId="DocumentMap">
    <w:name w:val="Document Map"/>
    <w:basedOn w:val="Normal"/>
    <w:link w:val="DocumentMapChar"/>
    <w:uiPriority w:val="99"/>
    <w:semiHidden/>
    <w:unhideWhenUsed/>
    <w:rsid w:val="0008027B"/>
    <w:pPr>
      <w:spacing w:line="240" w:lineRule="auto"/>
    </w:pPr>
    <w:rPr>
      <w:rFonts w:cs="Times New Roman"/>
    </w:rPr>
  </w:style>
  <w:style w:type="character" w:customStyle="1" w:styleId="DocumentMapChar">
    <w:name w:val="Document Map Char"/>
    <w:basedOn w:val="DefaultParagraphFont"/>
    <w:link w:val="DocumentMap"/>
    <w:uiPriority w:val="99"/>
    <w:semiHidden/>
    <w:rsid w:val="0008027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9204">
      <w:bodyDiv w:val="1"/>
      <w:marLeft w:val="0"/>
      <w:marRight w:val="0"/>
      <w:marTop w:val="0"/>
      <w:marBottom w:val="0"/>
      <w:divBdr>
        <w:top w:val="none" w:sz="0" w:space="0" w:color="auto"/>
        <w:left w:val="none" w:sz="0" w:space="0" w:color="auto"/>
        <w:bottom w:val="none" w:sz="0" w:space="0" w:color="auto"/>
        <w:right w:val="none" w:sz="0" w:space="0" w:color="auto"/>
      </w:divBdr>
    </w:div>
    <w:div w:id="100805257">
      <w:bodyDiv w:val="1"/>
      <w:marLeft w:val="0"/>
      <w:marRight w:val="0"/>
      <w:marTop w:val="0"/>
      <w:marBottom w:val="0"/>
      <w:divBdr>
        <w:top w:val="none" w:sz="0" w:space="0" w:color="auto"/>
        <w:left w:val="none" w:sz="0" w:space="0" w:color="auto"/>
        <w:bottom w:val="none" w:sz="0" w:space="0" w:color="auto"/>
        <w:right w:val="none" w:sz="0" w:space="0" w:color="auto"/>
      </w:divBdr>
    </w:div>
    <w:div w:id="110707659">
      <w:bodyDiv w:val="1"/>
      <w:marLeft w:val="0"/>
      <w:marRight w:val="0"/>
      <w:marTop w:val="0"/>
      <w:marBottom w:val="0"/>
      <w:divBdr>
        <w:top w:val="none" w:sz="0" w:space="0" w:color="auto"/>
        <w:left w:val="none" w:sz="0" w:space="0" w:color="auto"/>
        <w:bottom w:val="none" w:sz="0" w:space="0" w:color="auto"/>
        <w:right w:val="none" w:sz="0" w:space="0" w:color="auto"/>
      </w:divBdr>
    </w:div>
    <w:div w:id="159927625">
      <w:bodyDiv w:val="1"/>
      <w:marLeft w:val="0"/>
      <w:marRight w:val="0"/>
      <w:marTop w:val="0"/>
      <w:marBottom w:val="0"/>
      <w:divBdr>
        <w:top w:val="none" w:sz="0" w:space="0" w:color="auto"/>
        <w:left w:val="none" w:sz="0" w:space="0" w:color="auto"/>
        <w:bottom w:val="none" w:sz="0" w:space="0" w:color="auto"/>
        <w:right w:val="none" w:sz="0" w:space="0" w:color="auto"/>
      </w:divBdr>
    </w:div>
    <w:div w:id="172426958">
      <w:bodyDiv w:val="1"/>
      <w:marLeft w:val="0"/>
      <w:marRight w:val="0"/>
      <w:marTop w:val="0"/>
      <w:marBottom w:val="0"/>
      <w:divBdr>
        <w:top w:val="none" w:sz="0" w:space="0" w:color="auto"/>
        <w:left w:val="none" w:sz="0" w:space="0" w:color="auto"/>
        <w:bottom w:val="none" w:sz="0" w:space="0" w:color="auto"/>
        <w:right w:val="none" w:sz="0" w:space="0" w:color="auto"/>
      </w:divBdr>
    </w:div>
    <w:div w:id="202600225">
      <w:bodyDiv w:val="1"/>
      <w:marLeft w:val="0"/>
      <w:marRight w:val="0"/>
      <w:marTop w:val="0"/>
      <w:marBottom w:val="0"/>
      <w:divBdr>
        <w:top w:val="none" w:sz="0" w:space="0" w:color="auto"/>
        <w:left w:val="none" w:sz="0" w:space="0" w:color="auto"/>
        <w:bottom w:val="none" w:sz="0" w:space="0" w:color="auto"/>
        <w:right w:val="none" w:sz="0" w:space="0" w:color="auto"/>
      </w:divBdr>
    </w:div>
    <w:div w:id="231627887">
      <w:bodyDiv w:val="1"/>
      <w:marLeft w:val="0"/>
      <w:marRight w:val="0"/>
      <w:marTop w:val="0"/>
      <w:marBottom w:val="0"/>
      <w:divBdr>
        <w:top w:val="none" w:sz="0" w:space="0" w:color="auto"/>
        <w:left w:val="none" w:sz="0" w:space="0" w:color="auto"/>
        <w:bottom w:val="none" w:sz="0" w:space="0" w:color="auto"/>
        <w:right w:val="none" w:sz="0" w:space="0" w:color="auto"/>
      </w:divBdr>
    </w:div>
    <w:div w:id="242951304">
      <w:bodyDiv w:val="1"/>
      <w:marLeft w:val="0"/>
      <w:marRight w:val="0"/>
      <w:marTop w:val="0"/>
      <w:marBottom w:val="0"/>
      <w:divBdr>
        <w:top w:val="none" w:sz="0" w:space="0" w:color="auto"/>
        <w:left w:val="none" w:sz="0" w:space="0" w:color="auto"/>
        <w:bottom w:val="none" w:sz="0" w:space="0" w:color="auto"/>
        <w:right w:val="none" w:sz="0" w:space="0" w:color="auto"/>
      </w:divBdr>
    </w:div>
    <w:div w:id="350031215">
      <w:bodyDiv w:val="1"/>
      <w:marLeft w:val="0"/>
      <w:marRight w:val="0"/>
      <w:marTop w:val="0"/>
      <w:marBottom w:val="0"/>
      <w:divBdr>
        <w:top w:val="none" w:sz="0" w:space="0" w:color="auto"/>
        <w:left w:val="none" w:sz="0" w:space="0" w:color="auto"/>
        <w:bottom w:val="none" w:sz="0" w:space="0" w:color="auto"/>
        <w:right w:val="none" w:sz="0" w:space="0" w:color="auto"/>
      </w:divBdr>
    </w:div>
    <w:div w:id="355235604">
      <w:bodyDiv w:val="1"/>
      <w:marLeft w:val="0"/>
      <w:marRight w:val="0"/>
      <w:marTop w:val="0"/>
      <w:marBottom w:val="0"/>
      <w:divBdr>
        <w:top w:val="none" w:sz="0" w:space="0" w:color="auto"/>
        <w:left w:val="none" w:sz="0" w:space="0" w:color="auto"/>
        <w:bottom w:val="none" w:sz="0" w:space="0" w:color="auto"/>
        <w:right w:val="none" w:sz="0" w:space="0" w:color="auto"/>
      </w:divBdr>
    </w:div>
    <w:div w:id="370543981">
      <w:bodyDiv w:val="1"/>
      <w:marLeft w:val="0"/>
      <w:marRight w:val="0"/>
      <w:marTop w:val="0"/>
      <w:marBottom w:val="0"/>
      <w:divBdr>
        <w:top w:val="none" w:sz="0" w:space="0" w:color="auto"/>
        <w:left w:val="none" w:sz="0" w:space="0" w:color="auto"/>
        <w:bottom w:val="none" w:sz="0" w:space="0" w:color="auto"/>
        <w:right w:val="none" w:sz="0" w:space="0" w:color="auto"/>
      </w:divBdr>
    </w:div>
    <w:div w:id="377053631">
      <w:bodyDiv w:val="1"/>
      <w:marLeft w:val="0"/>
      <w:marRight w:val="0"/>
      <w:marTop w:val="0"/>
      <w:marBottom w:val="0"/>
      <w:divBdr>
        <w:top w:val="none" w:sz="0" w:space="0" w:color="auto"/>
        <w:left w:val="none" w:sz="0" w:space="0" w:color="auto"/>
        <w:bottom w:val="none" w:sz="0" w:space="0" w:color="auto"/>
        <w:right w:val="none" w:sz="0" w:space="0" w:color="auto"/>
      </w:divBdr>
    </w:div>
    <w:div w:id="378163176">
      <w:bodyDiv w:val="1"/>
      <w:marLeft w:val="0"/>
      <w:marRight w:val="0"/>
      <w:marTop w:val="0"/>
      <w:marBottom w:val="0"/>
      <w:divBdr>
        <w:top w:val="none" w:sz="0" w:space="0" w:color="auto"/>
        <w:left w:val="none" w:sz="0" w:space="0" w:color="auto"/>
        <w:bottom w:val="none" w:sz="0" w:space="0" w:color="auto"/>
        <w:right w:val="none" w:sz="0" w:space="0" w:color="auto"/>
      </w:divBdr>
    </w:div>
    <w:div w:id="417486678">
      <w:bodyDiv w:val="1"/>
      <w:marLeft w:val="0"/>
      <w:marRight w:val="0"/>
      <w:marTop w:val="0"/>
      <w:marBottom w:val="0"/>
      <w:divBdr>
        <w:top w:val="none" w:sz="0" w:space="0" w:color="auto"/>
        <w:left w:val="none" w:sz="0" w:space="0" w:color="auto"/>
        <w:bottom w:val="none" w:sz="0" w:space="0" w:color="auto"/>
        <w:right w:val="none" w:sz="0" w:space="0" w:color="auto"/>
      </w:divBdr>
    </w:div>
    <w:div w:id="442967059">
      <w:bodyDiv w:val="1"/>
      <w:marLeft w:val="0"/>
      <w:marRight w:val="0"/>
      <w:marTop w:val="0"/>
      <w:marBottom w:val="0"/>
      <w:divBdr>
        <w:top w:val="none" w:sz="0" w:space="0" w:color="auto"/>
        <w:left w:val="none" w:sz="0" w:space="0" w:color="auto"/>
        <w:bottom w:val="none" w:sz="0" w:space="0" w:color="auto"/>
        <w:right w:val="none" w:sz="0" w:space="0" w:color="auto"/>
      </w:divBdr>
    </w:div>
    <w:div w:id="446970324">
      <w:bodyDiv w:val="1"/>
      <w:marLeft w:val="0"/>
      <w:marRight w:val="0"/>
      <w:marTop w:val="0"/>
      <w:marBottom w:val="0"/>
      <w:divBdr>
        <w:top w:val="none" w:sz="0" w:space="0" w:color="auto"/>
        <w:left w:val="none" w:sz="0" w:space="0" w:color="auto"/>
        <w:bottom w:val="none" w:sz="0" w:space="0" w:color="auto"/>
        <w:right w:val="none" w:sz="0" w:space="0" w:color="auto"/>
      </w:divBdr>
    </w:div>
    <w:div w:id="495070248">
      <w:bodyDiv w:val="1"/>
      <w:marLeft w:val="0"/>
      <w:marRight w:val="0"/>
      <w:marTop w:val="0"/>
      <w:marBottom w:val="0"/>
      <w:divBdr>
        <w:top w:val="none" w:sz="0" w:space="0" w:color="auto"/>
        <w:left w:val="none" w:sz="0" w:space="0" w:color="auto"/>
        <w:bottom w:val="none" w:sz="0" w:space="0" w:color="auto"/>
        <w:right w:val="none" w:sz="0" w:space="0" w:color="auto"/>
      </w:divBdr>
    </w:div>
    <w:div w:id="565922829">
      <w:bodyDiv w:val="1"/>
      <w:marLeft w:val="0"/>
      <w:marRight w:val="0"/>
      <w:marTop w:val="0"/>
      <w:marBottom w:val="0"/>
      <w:divBdr>
        <w:top w:val="none" w:sz="0" w:space="0" w:color="auto"/>
        <w:left w:val="none" w:sz="0" w:space="0" w:color="auto"/>
        <w:bottom w:val="none" w:sz="0" w:space="0" w:color="auto"/>
        <w:right w:val="none" w:sz="0" w:space="0" w:color="auto"/>
      </w:divBdr>
    </w:div>
    <w:div w:id="624314350">
      <w:bodyDiv w:val="1"/>
      <w:marLeft w:val="0"/>
      <w:marRight w:val="0"/>
      <w:marTop w:val="0"/>
      <w:marBottom w:val="0"/>
      <w:divBdr>
        <w:top w:val="none" w:sz="0" w:space="0" w:color="auto"/>
        <w:left w:val="none" w:sz="0" w:space="0" w:color="auto"/>
        <w:bottom w:val="none" w:sz="0" w:space="0" w:color="auto"/>
        <w:right w:val="none" w:sz="0" w:space="0" w:color="auto"/>
      </w:divBdr>
    </w:div>
    <w:div w:id="636647443">
      <w:bodyDiv w:val="1"/>
      <w:marLeft w:val="0"/>
      <w:marRight w:val="0"/>
      <w:marTop w:val="0"/>
      <w:marBottom w:val="0"/>
      <w:divBdr>
        <w:top w:val="none" w:sz="0" w:space="0" w:color="auto"/>
        <w:left w:val="none" w:sz="0" w:space="0" w:color="auto"/>
        <w:bottom w:val="none" w:sz="0" w:space="0" w:color="auto"/>
        <w:right w:val="none" w:sz="0" w:space="0" w:color="auto"/>
      </w:divBdr>
    </w:div>
    <w:div w:id="643462813">
      <w:bodyDiv w:val="1"/>
      <w:marLeft w:val="0"/>
      <w:marRight w:val="0"/>
      <w:marTop w:val="0"/>
      <w:marBottom w:val="0"/>
      <w:divBdr>
        <w:top w:val="none" w:sz="0" w:space="0" w:color="auto"/>
        <w:left w:val="none" w:sz="0" w:space="0" w:color="auto"/>
        <w:bottom w:val="none" w:sz="0" w:space="0" w:color="auto"/>
        <w:right w:val="none" w:sz="0" w:space="0" w:color="auto"/>
      </w:divBdr>
    </w:div>
    <w:div w:id="667097398">
      <w:bodyDiv w:val="1"/>
      <w:marLeft w:val="0"/>
      <w:marRight w:val="0"/>
      <w:marTop w:val="0"/>
      <w:marBottom w:val="0"/>
      <w:divBdr>
        <w:top w:val="none" w:sz="0" w:space="0" w:color="auto"/>
        <w:left w:val="none" w:sz="0" w:space="0" w:color="auto"/>
        <w:bottom w:val="none" w:sz="0" w:space="0" w:color="auto"/>
        <w:right w:val="none" w:sz="0" w:space="0" w:color="auto"/>
      </w:divBdr>
    </w:div>
    <w:div w:id="675116261">
      <w:bodyDiv w:val="1"/>
      <w:marLeft w:val="0"/>
      <w:marRight w:val="0"/>
      <w:marTop w:val="0"/>
      <w:marBottom w:val="0"/>
      <w:divBdr>
        <w:top w:val="none" w:sz="0" w:space="0" w:color="auto"/>
        <w:left w:val="none" w:sz="0" w:space="0" w:color="auto"/>
        <w:bottom w:val="none" w:sz="0" w:space="0" w:color="auto"/>
        <w:right w:val="none" w:sz="0" w:space="0" w:color="auto"/>
      </w:divBdr>
    </w:div>
    <w:div w:id="697043511">
      <w:bodyDiv w:val="1"/>
      <w:marLeft w:val="0"/>
      <w:marRight w:val="0"/>
      <w:marTop w:val="0"/>
      <w:marBottom w:val="0"/>
      <w:divBdr>
        <w:top w:val="none" w:sz="0" w:space="0" w:color="auto"/>
        <w:left w:val="none" w:sz="0" w:space="0" w:color="auto"/>
        <w:bottom w:val="none" w:sz="0" w:space="0" w:color="auto"/>
        <w:right w:val="none" w:sz="0" w:space="0" w:color="auto"/>
      </w:divBdr>
    </w:div>
    <w:div w:id="697126272">
      <w:bodyDiv w:val="1"/>
      <w:marLeft w:val="0"/>
      <w:marRight w:val="0"/>
      <w:marTop w:val="0"/>
      <w:marBottom w:val="0"/>
      <w:divBdr>
        <w:top w:val="none" w:sz="0" w:space="0" w:color="auto"/>
        <w:left w:val="none" w:sz="0" w:space="0" w:color="auto"/>
        <w:bottom w:val="none" w:sz="0" w:space="0" w:color="auto"/>
        <w:right w:val="none" w:sz="0" w:space="0" w:color="auto"/>
      </w:divBdr>
    </w:div>
    <w:div w:id="717510069">
      <w:bodyDiv w:val="1"/>
      <w:marLeft w:val="0"/>
      <w:marRight w:val="0"/>
      <w:marTop w:val="0"/>
      <w:marBottom w:val="0"/>
      <w:divBdr>
        <w:top w:val="none" w:sz="0" w:space="0" w:color="auto"/>
        <w:left w:val="none" w:sz="0" w:space="0" w:color="auto"/>
        <w:bottom w:val="none" w:sz="0" w:space="0" w:color="auto"/>
        <w:right w:val="none" w:sz="0" w:space="0" w:color="auto"/>
      </w:divBdr>
    </w:div>
    <w:div w:id="730738135">
      <w:bodyDiv w:val="1"/>
      <w:marLeft w:val="0"/>
      <w:marRight w:val="0"/>
      <w:marTop w:val="0"/>
      <w:marBottom w:val="0"/>
      <w:divBdr>
        <w:top w:val="none" w:sz="0" w:space="0" w:color="auto"/>
        <w:left w:val="none" w:sz="0" w:space="0" w:color="auto"/>
        <w:bottom w:val="none" w:sz="0" w:space="0" w:color="auto"/>
        <w:right w:val="none" w:sz="0" w:space="0" w:color="auto"/>
      </w:divBdr>
    </w:div>
    <w:div w:id="841512089">
      <w:bodyDiv w:val="1"/>
      <w:marLeft w:val="0"/>
      <w:marRight w:val="0"/>
      <w:marTop w:val="0"/>
      <w:marBottom w:val="0"/>
      <w:divBdr>
        <w:top w:val="none" w:sz="0" w:space="0" w:color="auto"/>
        <w:left w:val="none" w:sz="0" w:space="0" w:color="auto"/>
        <w:bottom w:val="none" w:sz="0" w:space="0" w:color="auto"/>
        <w:right w:val="none" w:sz="0" w:space="0" w:color="auto"/>
      </w:divBdr>
    </w:div>
    <w:div w:id="843976026">
      <w:bodyDiv w:val="1"/>
      <w:marLeft w:val="0"/>
      <w:marRight w:val="0"/>
      <w:marTop w:val="0"/>
      <w:marBottom w:val="0"/>
      <w:divBdr>
        <w:top w:val="none" w:sz="0" w:space="0" w:color="auto"/>
        <w:left w:val="none" w:sz="0" w:space="0" w:color="auto"/>
        <w:bottom w:val="none" w:sz="0" w:space="0" w:color="auto"/>
        <w:right w:val="none" w:sz="0" w:space="0" w:color="auto"/>
      </w:divBdr>
    </w:div>
    <w:div w:id="870845314">
      <w:bodyDiv w:val="1"/>
      <w:marLeft w:val="0"/>
      <w:marRight w:val="0"/>
      <w:marTop w:val="0"/>
      <w:marBottom w:val="0"/>
      <w:divBdr>
        <w:top w:val="none" w:sz="0" w:space="0" w:color="auto"/>
        <w:left w:val="none" w:sz="0" w:space="0" w:color="auto"/>
        <w:bottom w:val="none" w:sz="0" w:space="0" w:color="auto"/>
        <w:right w:val="none" w:sz="0" w:space="0" w:color="auto"/>
      </w:divBdr>
    </w:div>
    <w:div w:id="879560913">
      <w:bodyDiv w:val="1"/>
      <w:marLeft w:val="0"/>
      <w:marRight w:val="0"/>
      <w:marTop w:val="0"/>
      <w:marBottom w:val="0"/>
      <w:divBdr>
        <w:top w:val="none" w:sz="0" w:space="0" w:color="auto"/>
        <w:left w:val="none" w:sz="0" w:space="0" w:color="auto"/>
        <w:bottom w:val="none" w:sz="0" w:space="0" w:color="auto"/>
        <w:right w:val="none" w:sz="0" w:space="0" w:color="auto"/>
      </w:divBdr>
    </w:div>
    <w:div w:id="887303929">
      <w:bodyDiv w:val="1"/>
      <w:marLeft w:val="0"/>
      <w:marRight w:val="0"/>
      <w:marTop w:val="0"/>
      <w:marBottom w:val="0"/>
      <w:divBdr>
        <w:top w:val="none" w:sz="0" w:space="0" w:color="auto"/>
        <w:left w:val="none" w:sz="0" w:space="0" w:color="auto"/>
        <w:bottom w:val="none" w:sz="0" w:space="0" w:color="auto"/>
        <w:right w:val="none" w:sz="0" w:space="0" w:color="auto"/>
      </w:divBdr>
    </w:div>
    <w:div w:id="980235620">
      <w:bodyDiv w:val="1"/>
      <w:marLeft w:val="0"/>
      <w:marRight w:val="0"/>
      <w:marTop w:val="0"/>
      <w:marBottom w:val="0"/>
      <w:divBdr>
        <w:top w:val="none" w:sz="0" w:space="0" w:color="auto"/>
        <w:left w:val="none" w:sz="0" w:space="0" w:color="auto"/>
        <w:bottom w:val="none" w:sz="0" w:space="0" w:color="auto"/>
        <w:right w:val="none" w:sz="0" w:space="0" w:color="auto"/>
      </w:divBdr>
    </w:div>
    <w:div w:id="1001855806">
      <w:bodyDiv w:val="1"/>
      <w:marLeft w:val="0"/>
      <w:marRight w:val="0"/>
      <w:marTop w:val="0"/>
      <w:marBottom w:val="0"/>
      <w:divBdr>
        <w:top w:val="none" w:sz="0" w:space="0" w:color="auto"/>
        <w:left w:val="none" w:sz="0" w:space="0" w:color="auto"/>
        <w:bottom w:val="none" w:sz="0" w:space="0" w:color="auto"/>
        <w:right w:val="none" w:sz="0" w:space="0" w:color="auto"/>
      </w:divBdr>
    </w:div>
    <w:div w:id="1014503249">
      <w:bodyDiv w:val="1"/>
      <w:marLeft w:val="0"/>
      <w:marRight w:val="0"/>
      <w:marTop w:val="0"/>
      <w:marBottom w:val="0"/>
      <w:divBdr>
        <w:top w:val="none" w:sz="0" w:space="0" w:color="auto"/>
        <w:left w:val="none" w:sz="0" w:space="0" w:color="auto"/>
        <w:bottom w:val="none" w:sz="0" w:space="0" w:color="auto"/>
        <w:right w:val="none" w:sz="0" w:space="0" w:color="auto"/>
      </w:divBdr>
    </w:div>
    <w:div w:id="1037511006">
      <w:bodyDiv w:val="1"/>
      <w:marLeft w:val="0"/>
      <w:marRight w:val="0"/>
      <w:marTop w:val="0"/>
      <w:marBottom w:val="0"/>
      <w:divBdr>
        <w:top w:val="none" w:sz="0" w:space="0" w:color="auto"/>
        <w:left w:val="none" w:sz="0" w:space="0" w:color="auto"/>
        <w:bottom w:val="none" w:sz="0" w:space="0" w:color="auto"/>
        <w:right w:val="none" w:sz="0" w:space="0" w:color="auto"/>
      </w:divBdr>
    </w:div>
    <w:div w:id="1052267459">
      <w:bodyDiv w:val="1"/>
      <w:marLeft w:val="0"/>
      <w:marRight w:val="0"/>
      <w:marTop w:val="0"/>
      <w:marBottom w:val="0"/>
      <w:divBdr>
        <w:top w:val="none" w:sz="0" w:space="0" w:color="auto"/>
        <w:left w:val="none" w:sz="0" w:space="0" w:color="auto"/>
        <w:bottom w:val="none" w:sz="0" w:space="0" w:color="auto"/>
        <w:right w:val="none" w:sz="0" w:space="0" w:color="auto"/>
      </w:divBdr>
    </w:div>
    <w:div w:id="1061948242">
      <w:bodyDiv w:val="1"/>
      <w:marLeft w:val="0"/>
      <w:marRight w:val="0"/>
      <w:marTop w:val="0"/>
      <w:marBottom w:val="0"/>
      <w:divBdr>
        <w:top w:val="none" w:sz="0" w:space="0" w:color="auto"/>
        <w:left w:val="none" w:sz="0" w:space="0" w:color="auto"/>
        <w:bottom w:val="none" w:sz="0" w:space="0" w:color="auto"/>
        <w:right w:val="none" w:sz="0" w:space="0" w:color="auto"/>
      </w:divBdr>
    </w:div>
    <w:div w:id="1117139302">
      <w:bodyDiv w:val="1"/>
      <w:marLeft w:val="0"/>
      <w:marRight w:val="0"/>
      <w:marTop w:val="0"/>
      <w:marBottom w:val="0"/>
      <w:divBdr>
        <w:top w:val="none" w:sz="0" w:space="0" w:color="auto"/>
        <w:left w:val="none" w:sz="0" w:space="0" w:color="auto"/>
        <w:bottom w:val="none" w:sz="0" w:space="0" w:color="auto"/>
        <w:right w:val="none" w:sz="0" w:space="0" w:color="auto"/>
      </w:divBdr>
    </w:div>
    <w:div w:id="1169565990">
      <w:bodyDiv w:val="1"/>
      <w:marLeft w:val="0"/>
      <w:marRight w:val="0"/>
      <w:marTop w:val="0"/>
      <w:marBottom w:val="0"/>
      <w:divBdr>
        <w:top w:val="none" w:sz="0" w:space="0" w:color="auto"/>
        <w:left w:val="none" w:sz="0" w:space="0" w:color="auto"/>
        <w:bottom w:val="none" w:sz="0" w:space="0" w:color="auto"/>
        <w:right w:val="none" w:sz="0" w:space="0" w:color="auto"/>
      </w:divBdr>
    </w:div>
    <w:div w:id="1174612672">
      <w:bodyDiv w:val="1"/>
      <w:marLeft w:val="0"/>
      <w:marRight w:val="0"/>
      <w:marTop w:val="0"/>
      <w:marBottom w:val="0"/>
      <w:divBdr>
        <w:top w:val="none" w:sz="0" w:space="0" w:color="auto"/>
        <w:left w:val="none" w:sz="0" w:space="0" w:color="auto"/>
        <w:bottom w:val="none" w:sz="0" w:space="0" w:color="auto"/>
        <w:right w:val="none" w:sz="0" w:space="0" w:color="auto"/>
      </w:divBdr>
    </w:div>
    <w:div w:id="1228808706">
      <w:bodyDiv w:val="1"/>
      <w:marLeft w:val="0"/>
      <w:marRight w:val="0"/>
      <w:marTop w:val="0"/>
      <w:marBottom w:val="0"/>
      <w:divBdr>
        <w:top w:val="none" w:sz="0" w:space="0" w:color="auto"/>
        <w:left w:val="none" w:sz="0" w:space="0" w:color="auto"/>
        <w:bottom w:val="none" w:sz="0" w:space="0" w:color="auto"/>
        <w:right w:val="none" w:sz="0" w:space="0" w:color="auto"/>
      </w:divBdr>
    </w:div>
    <w:div w:id="1236546917">
      <w:bodyDiv w:val="1"/>
      <w:marLeft w:val="0"/>
      <w:marRight w:val="0"/>
      <w:marTop w:val="0"/>
      <w:marBottom w:val="0"/>
      <w:divBdr>
        <w:top w:val="none" w:sz="0" w:space="0" w:color="auto"/>
        <w:left w:val="none" w:sz="0" w:space="0" w:color="auto"/>
        <w:bottom w:val="none" w:sz="0" w:space="0" w:color="auto"/>
        <w:right w:val="none" w:sz="0" w:space="0" w:color="auto"/>
      </w:divBdr>
    </w:div>
    <w:div w:id="1285455640">
      <w:bodyDiv w:val="1"/>
      <w:marLeft w:val="0"/>
      <w:marRight w:val="0"/>
      <w:marTop w:val="0"/>
      <w:marBottom w:val="0"/>
      <w:divBdr>
        <w:top w:val="none" w:sz="0" w:space="0" w:color="auto"/>
        <w:left w:val="none" w:sz="0" w:space="0" w:color="auto"/>
        <w:bottom w:val="none" w:sz="0" w:space="0" w:color="auto"/>
        <w:right w:val="none" w:sz="0" w:space="0" w:color="auto"/>
      </w:divBdr>
    </w:div>
    <w:div w:id="1295254236">
      <w:bodyDiv w:val="1"/>
      <w:marLeft w:val="0"/>
      <w:marRight w:val="0"/>
      <w:marTop w:val="0"/>
      <w:marBottom w:val="0"/>
      <w:divBdr>
        <w:top w:val="none" w:sz="0" w:space="0" w:color="auto"/>
        <w:left w:val="none" w:sz="0" w:space="0" w:color="auto"/>
        <w:bottom w:val="none" w:sz="0" w:space="0" w:color="auto"/>
        <w:right w:val="none" w:sz="0" w:space="0" w:color="auto"/>
      </w:divBdr>
    </w:div>
    <w:div w:id="1329333139">
      <w:bodyDiv w:val="1"/>
      <w:marLeft w:val="0"/>
      <w:marRight w:val="0"/>
      <w:marTop w:val="0"/>
      <w:marBottom w:val="0"/>
      <w:divBdr>
        <w:top w:val="none" w:sz="0" w:space="0" w:color="auto"/>
        <w:left w:val="none" w:sz="0" w:space="0" w:color="auto"/>
        <w:bottom w:val="none" w:sz="0" w:space="0" w:color="auto"/>
        <w:right w:val="none" w:sz="0" w:space="0" w:color="auto"/>
      </w:divBdr>
    </w:div>
    <w:div w:id="1358509922">
      <w:bodyDiv w:val="1"/>
      <w:marLeft w:val="0"/>
      <w:marRight w:val="0"/>
      <w:marTop w:val="0"/>
      <w:marBottom w:val="0"/>
      <w:divBdr>
        <w:top w:val="none" w:sz="0" w:space="0" w:color="auto"/>
        <w:left w:val="none" w:sz="0" w:space="0" w:color="auto"/>
        <w:bottom w:val="none" w:sz="0" w:space="0" w:color="auto"/>
        <w:right w:val="none" w:sz="0" w:space="0" w:color="auto"/>
      </w:divBdr>
    </w:div>
    <w:div w:id="1379282775">
      <w:bodyDiv w:val="1"/>
      <w:marLeft w:val="0"/>
      <w:marRight w:val="0"/>
      <w:marTop w:val="0"/>
      <w:marBottom w:val="0"/>
      <w:divBdr>
        <w:top w:val="none" w:sz="0" w:space="0" w:color="auto"/>
        <w:left w:val="none" w:sz="0" w:space="0" w:color="auto"/>
        <w:bottom w:val="none" w:sz="0" w:space="0" w:color="auto"/>
        <w:right w:val="none" w:sz="0" w:space="0" w:color="auto"/>
      </w:divBdr>
    </w:div>
    <w:div w:id="1384867252">
      <w:bodyDiv w:val="1"/>
      <w:marLeft w:val="0"/>
      <w:marRight w:val="0"/>
      <w:marTop w:val="0"/>
      <w:marBottom w:val="0"/>
      <w:divBdr>
        <w:top w:val="none" w:sz="0" w:space="0" w:color="auto"/>
        <w:left w:val="none" w:sz="0" w:space="0" w:color="auto"/>
        <w:bottom w:val="none" w:sz="0" w:space="0" w:color="auto"/>
        <w:right w:val="none" w:sz="0" w:space="0" w:color="auto"/>
      </w:divBdr>
    </w:div>
    <w:div w:id="1420910025">
      <w:bodyDiv w:val="1"/>
      <w:marLeft w:val="0"/>
      <w:marRight w:val="0"/>
      <w:marTop w:val="0"/>
      <w:marBottom w:val="0"/>
      <w:divBdr>
        <w:top w:val="none" w:sz="0" w:space="0" w:color="auto"/>
        <w:left w:val="none" w:sz="0" w:space="0" w:color="auto"/>
        <w:bottom w:val="none" w:sz="0" w:space="0" w:color="auto"/>
        <w:right w:val="none" w:sz="0" w:space="0" w:color="auto"/>
      </w:divBdr>
    </w:div>
    <w:div w:id="1432777291">
      <w:bodyDiv w:val="1"/>
      <w:marLeft w:val="0"/>
      <w:marRight w:val="0"/>
      <w:marTop w:val="0"/>
      <w:marBottom w:val="0"/>
      <w:divBdr>
        <w:top w:val="none" w:sz="0" w:space="0" w:color="auto"/>
        <w:left w:val="none" w:sz="0" w:space="0" w:color="auto"/>
        <w:bottom w:val="none" w:sz="0" w:space="0" w:color="auto"/>
        <w:right w:val="none" w:sz="0" w:space="0" w:color="auto"/>
      </w:divBdr>
    </w:div>
    <w:div w:id="1470780053">
      <w:bodyDiv w:val="1"/>
      <w:marLeft w:val="0"/>
      <w:marRight w:val="0"/>
      <w:marTop w:val="0"/>
      <w:marBottom w:val="0"/>
      <w:divBdr>
        <w:top w:val="none" w:sz="0" w:space="0" w:color="auto"/>
        <w:left w:val="none" w:sz="0" w:space="0" w:color="auto"/>
        <w:bottom w:val="none" w:sz="0" w:space="0" w:color="auto"/>
        <w:right w:val="none" w:sz="0" w:space="0" w:color="auto"/>
      </w:divBdr>
    </w:div>
    <w:div w:id="1486820725">
      <w:bodyDiv w:val="1"/>
      <w:marLeft w:val="0"/>
      <w:marRight w:val="0"/>
      <w:marTop w:val="0"/>
      <w:marBottom w:val="0"/>
      <w:divBdr>
        <w:top w:val="none" w:sz="0" w:space="0" w:color="auto"/>
        <w:left w:val="none" w:sz="0" w:space="0" w:color="auto"/>
        <w:bottom w:val="none" w:sz="0" w:space="0" w:color="auto"/>
        <w:right w:val="none" w:sz="0" w:space="0" w:color="auto"/>
      </w:divBdr>
    </w:div>
    <w:div w:id="1510677326">
      <w:bodyDiv w:val="1"/>
      <w:marLeft w:val="0"/>
      <w:marRight w:val="0"/>
      <w:marTop w:val="0"/>
      <w:marBottom w:val="0"/>
      <w:divBdr>
        <w:top w:val="none" w:sz="0" w:space="0" w:color="auto"/>
        <w:left w:val="none" w:sz="0" w:space="0" w:color="auto"/>
        <w:bottom w:val="none" w:sz="0" w:space="0" w:color="auto"/>
        <w:right w:val="none" w:sz="0" w:space="0" w:color="auto"/>
      </w:divBdr>
    </w:div>
    <w:div w:id="1619220860">
      <w:bodyDiv w:val="1"/>
      <w:marLeft w:val="0"/>
      <w:marRight w:val="0"/>
      <w:marTop w:val="0"/>
      <w:marBottom w:val="0"/>
      <w:divBdr>
        <w:top w:val="none" w:sz="0" w:space="0" w:color="auto"/>
        <w:left w:val="none" w:sz="0" w:space="0" w:color="auto"/>
        <w:bottom w:val="none" w:sz="0" w:space="0" w:color="auto"/>
        <w:right w:val="none" w:sz="0" w:space="0" w:color="auto"/>
      </w:divBdr>
    </w:div>
    <w:div w:id="1639144363">
      <w:bodyDiv w:val="1"/>
      <w:marLeft w:val="0"/>
      <w:marRight w:val="0"/>
      <w:marTop w:val="0"/>
      <w:marBottom w:val="0"/>
      <w:divBdr>
        <w:top w:val="none" w:sz="0" w:space="0" w:color="auto"/>
        <w:left w:val="none" w:sz="0" w:space="0" w:color="auto"/>
        <w:bottom w:val="none" w:sz="0" w:space="0" w:color="auto"/>
        <w:right w:val="none" w:sz="0" w:space="0" w:color="auto"/>
      </w:divBdr>
    </w:div>
    <w:div w:id="1665475774">
      <w:bodyDiv w:val="1"/>
      <w:marLeft w:val="0"/>
      <w:marRight w:val="0"/>
      <w:marTop w:val="0"/>
      <w:marBottom w:val="0"/>
      <w:divBdr>
        <w:top w:val="none" w:sz="0" w:space="0" w:color="auto"/>
        <w:left w:val="none" w:sz="0" w:space="0" w:color="auto"/>
        <w:bottom w:val="none" w:sz="0" w:space="0" w:color="auto"/>
        <w:right w:val="none" w:sz="0" w:space="0" w:color="auto"/>
      </w:divBdr>
    </w:div>
    <w:div w:id="1666975202">
      <w:bodyDiv w:val="1"/>
      <w:marLeft w:val="0"/>
      <w:marRight w:val="0"/>
      <w:marTop w:val="0"/>
      <w:marBottom w:val="0"/>
      <w:divBdr>
        <w:top w:val="none" w:sz="0" w:space="0" w:color="auto"/>
        <w:left w:val="none" w:sz="0" w:space="0" w:color="auto"/>
        <w:bottom w:val="none" w:sz="0" w:space="0" w:color="auto"/>
        <w:right w:val="none" w:sz="0" w:space="0" w:color="auto"/>
      </w:divBdr>
    </w:div>
    <w:div w:id="1688092625">
      <w:bodyDiv w:val="1"/>
      <w:marLeft w:val="0"/>
      <w:marRight w:val="0"/>
      <w:marTop w:val="0"/>
      <w:marBottom w:val="0"/>
      <w:divBdr>
        <w:top w:val="none" w:sz="0" w:space="0" w:color="auto"/>
        <w:left w:val="none" w:sz="0" w:space="0" w:color="auto"/>
        <w:bottom w:val="none" w:sz="0" w:space="0" w:color="auto"/>
        <w:right w:val="none" w:sz="0" w:space="0" w:color="auto"/>
      </w:divBdr>
    </w:div>
    <w:div w:id="1707674668">
      <w:bodyDiv w:val="1"/>
      <w:marLeft w:val="0"/>
      <w:marRight w:val="0"/>
      <w:marTop w:val="0"/>
      <w:marBottom w:val="0"/>
      <w:divBdr>
        <w:top w:val="none" w:sz="0" w:space="0" w:color="auto"/>
        <w:left w:val="none" w:sz="0" w:space="0" w:color="auto"/>
        <w:bottom w:val="none" w:sz="0" w:space="0" w:color="auto"/>
        <w:right w:val="none" w:sz="0" w:space="0" w:color="auto"/>
      </w:divBdr>
    </w:div>
    <w:div w:id="1719477804">
      <w:bodyDiv w:val="1"/>
      <w:marLeft w:val="0"/>
      <w:marRight w:val="0"/>
      <w:marTop w:val="0"/>
      <w:marBottom w:val="0"/>
      <w:divBdr>
        <w:top w:val="none" w:sz="0" w:space="0" w:color="auto"/>
        <w:left w:val="none" w:sz="0" w:space="0" w:color="auto"/>
        <w:bottom w:val="none" w:sz="0" w:space="0" w:color="auto"/>
        <w:right w:val="none" w:sz="0" w:space="0" w:color="auto"/>
      </w:divBdr>
    </w:div>
    <w:div w:id="1725176252">
      <w:bodyDiv w:val="1"/>
      <w:marLeft w:val="0"/>
      <w:marRight w:val="0"/>
      <w:marTop w:val="0"/>
      <w:marBottom w:val="0"/>
      <w:divBdr>
        <w:top w:val="none" w:sz="0" w:space="0" w:color="auto"/>
        <w:left w:val="none" w:sz="0" w:space="0" w:color="auto"/>
        <w:bottom w:val="none" w:sz="0" w:space="0" w:color="auto"/>
        <w:right w:val="none" w:sz="0" w:space="0" w:color="auto"/>
      </w:divBdr>
    </w:div>
    <w:div w:id="1755280753">
      <w:bodyDiv w:val="1"/>
      <w:marLeft w:val="0"/>
      <w:marRight w:val="0"/>
      <w:marTop w:val="0"/>
      <w:marBottom w:val="0"/>
      <w:divBdr>
        <w:top w:val="none" w:sz="0" w:space="0" w:color="auto"/>
        <w:left w:val="none" w:sz="0" w:space="0" w:color="auto"/>
        <w:bottom w:val="none" w:sz="0" w:space="0" w:color="auto"/>
        <w:right w:val="none" w:sz="0" w:space="0" w:color="auto"/>
      </w:divBdr>
    </w:div>
    <w:div w:id="1785151554">
      <w:bodyDiv w:val="1"/>
      <w:marLeft w:val="0"/>
      <w:marRight w:val="0"/>
      <w:marTop w:val="0"/>
      <w:marBottom w:val="0"/>
      <w:divBdr>
        <w:top w:val="none" w:sz="0" w:space="0" w:color="auto"/>
        <w:left w:val="none" w:sz="0" w:space="0" w:color="auto"/>
        <w:bottom w:val="none" w:sz="0" w:space="0" w:color="auto"/>
        <w:right w:val="none" w:sz="0" w:space="0" w:color="auto"/>
      </w:divBdr>
    </w:div>
    <w:div w:id="1796176006">
      <w:bodyDiv w:val="1"/>
      <w:marLeft w:val="0"/>
      <w:marRight w:val="0"/>
      <w:marTop w:val="0"/>
      <w:marBottom w:val="0"/>
      <w:divBdr>
        <w:top w:val="none" w:sz="0" w:space="0" w:color="auto"/>
        <w:left w:val="none" w:sz="0" w:space="0" w:color="auto"/>
        <w:bottom w:val="none" w:sz="0" w:space="0" w:color="auto"/>
        <w:right w:val="none" w:sz="0" w:space="0" w:color="auto"/>
      </w:divBdr>
    </w:div>
    <w:div w:id="1852329436">
      <w:bodyDiv w:val="1"/>
      <w:marLeft w:val="0"/>
      <w:marRight w:val="0"/>
      <w:marTop w:val="0"/>
      <w:marBottom w:val="0"/>
      <w:divBdr>
        <w:top w:val="none" w:sz="0" w:space="0" w:color="auto"/>
        <w:left w:val="none" w:sz="0" w:space="0" w:color="auto"/>
        <w:bottom w:val="none" w:sz="0" w:space="0" w:color="auto"/>
        <w:right w:val="none" w:sz="0" w:space="0" w:color="auto"/>
      </w:divBdr>
    </w:div>
    <w:div w:id="1856338724">
      <w:bodyDiv w:val="1"/>
      <w:marLeft w:val="0"/>
      <w:marRight w:val="0"/>
      <w:marTop w:val="0"/>
      <w:marBottom w:val="0"/>
      <w:divBdr>
        <w:top w:val="none" w:sz="0" w:space="0" w:color="auto"/>
        <w:left w:val="none" w:sz="0" w:space="0" w:color="auto"/>
        <w:bottom w:val="none" w:sz="0" w:space="0" w:color="auto"/>
        <w:right w:val="none" w:sz="0" w:space="0" w:color="auto"/>
      </w:divBdr>
    </w:div>
    <w:div w:id="1861309207">
      <w:bodyDiv w:val="1"/>
      <w:marLeft w:val="0"/>
      <w:marRight w:val="0"/>
      <w:marTop w:val="0"/>
      <w:marBottom w:val="0"/>
      <w:divBdr>
        <w:top w:val="none" w:sz="0" w:space="0" w:color="auto"/>
        <w:left w:val="none" w:sz="0" w:space="0" w:color="auto"/>
        <w:bottom w:val="none" w:sz="0" w:space="0" w:color="auto"/>
        <w:right w:val="none" w:sz="0" w:space="0" w:color="auto"/>
      </w:divBdr>
    </w:div>
    <w:div w:id="1940944127">
      <w:bodyDiv w:val="1"/>
      <w:marLeft w:val="0"/>
      <w:marRight w:val="0"/>
      <w:marTop w:val="0"/>
      <w:marBottom w:val="0"/>
      <w:divBdr>
        <w:top w:val="none" w:sz="0" w:space="0" w:color="auto"/>
        <w:left w:val="none" w:sz="0" w:space="0" w:color="auto"/>
        <w:bottom w:val="none" w:sz="0" w:space="0" w:color="auto"/>
        <w:right w:val="none" w:sz="0" w:space="0" w:color="auto"/>
      </w:divBdr>
    </w:div>
    <w:div w:id="1961187575">
      <w:bodyDiv w:val="1"/>
      <w:marLeft w:val="0"/>
      <w:marRight w:val="0"/>
      <w:marTop w:val="0"/>
      <w:marBottom w:val="0"/>
      <w:divBdr>
        <w:top w:val="none" w:sz="0" w:space="0" w:color="auto"/>
        <w:left w:val="none" w:sz="0" w:space="0" w:color="auto"/>
        <w:bottom w:val="none" w:sz="0" w:space="0" w:color="auto"/>
        <w:right w:val="none" w:sz="0" w:space="0" w:color="auto"/>
      </w:divBdr>
    </w:div>
    <w:div w:id="1986159697">
      <w:bodyDiv w:val="1"/>
      <w:marLeft w:val="0"/>
      <w:marRight w:val="0"/>
      <w:marTop w:val="0"/>
      <w:marBottom w:val="0"/>
      <w:divBdr>
        <w:top w:val="none" w:sz="0" w:space="0" w:color="auto"/>
        <w:left w:val="none" w:sz="0" w:space="0" w:color="auto"/>
        <w:bottom w:val="none" w:sz="0" w:space="0" w:color="auto"/>
        <w:right w:val="none" w:sz="0" w:space="0" w:color="auto"/>
      </w:divBdr>
    </w:div>
    <w:div w:id="2003654169">
      <w:bodyDiv w:val="1"/>
      <w:marLeft w:val="0"/>
      <w:marRight w:val="0"/>
      <w:marTop w:val="0"/>
      <w:marBottom w:val="0"/>
      <w:divBdr>
        <w:top w:val="none" w:sz="0" w:space="0" w:color="auto"/>
        <w:left w:val="none" w:sz="0" w:space="0" w:color="auto"/>
        <w:bottom w:val="none" w:sz="0" w:space="0" w:color="auto"/>
        <w:right w:val="none" w:sz="0" w:space="0" w:color="auto"/>
      </w:divBdr>
    </w:div>
    <w:div w:id="2042128303">
      <w:bodyDiv w:val="1"/>
      <w:marLeft w:val="0"/>
      <w:marRight w:val="0"/>
      <w:marTop w:val="0"/>
      <w:marBottom w:val="0"/>
      <w:divBdr>
        <w:top w:val="none" w:sz="0" w:space="0" w:color="auto"/>
        <w:left w:val="none" w:sz="0" w:space="0" w:color="auto"/>
        <w:bottom w:val="none" w:sz="0" w:space="0" w:color="auto"/>
        <w:right w:val="none" w:sz="0" w:space="0" w:color="auto"/>
      </w:divBdr>
    </w:div>
    <w:div w:id="2093886690">
      <w:bodyDiv w:val="1"/>
      <w:marLeft w:val="0"/>
      <w:marRight w:val="0"/>
      <w:marTop w:val="0"/>
      <w:marBottom w:val="0"/>
      <w:divBdr>
        <w:top w:val="none" w:sz="0" w:space="0" w:color="auto"/>
        <w:left w:val="none" w:sz="0" w:space="0" w:color="auto"/>
        <w:bottom w:val="none" w:sz="0" w:space="0" w:color="auto"/>
        <w:right w:val="none" w:sz="0" w:space="0" w:color="auto"/>
      </w:divBdr>
    </w:div>
    <w:div w:id="2117213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C50A6F-1288-194A-93EB-2260E2BC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7412</Words>
  <Characters>39138</Characters>
  <Application>Microsoft Macintosh Word</Application>
  <DocSecurity>0</DocSecurity>
  <Lines>652</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2023-05-05T11:11:00Z</cp:lastPrinted>
  <dcterms:created xsi:type="dcterms:W3CDTF">2023-05-25T18:12:00Z</dcterms:created>
  <dcterms:modified xsi:type="dcterms:W3CDTF">2023-05-26T18:17:00Z</dcterms:modified>
  <cp:category/>
</cp:coreProperties>
</file>