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Abstract for AASLD 2023</w:t>
      </w:r>
    </w:p>
    <w:p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Title:</w:t>
      </w:r>
      <w:r>
        <w:rPr>
          <w:rFonts w:hint="default" w:eastAsia="Times New Roman" w:cstheme="minorHAnsi"/>
          <w:b/>
          <w:color w:val="000000"/>
          <w:sz w:val="24"/>
          <w:szCs w:val="24"/>
          <w:lang w:val="en-US"/>
        </w:rPr>
        <w:t xml:space="preserve"> </w:t>
      </w:r>
      <w:r>
        <w:rPr>
          <w:rFonts w:hint="default" w:eastAsia="Times New Roman" w:cstheme="minorHAnsi"/>
          <w:b w:val="0"/>
          <w:bCs/>
          <w:color w:val="000000"/>
          <w:sz w:val="24"/>
          <w:szCs w:val="24"/>
          <w:lang w:val="en-US"/>
        </w:rPr>
        <w:t>Models of</w:t>
      </w:r>
      <w:r>
        <w:rPr>
          <w:rFonts w:eastAsia="Times New Roman" w:cstheme="minorHAnsi"/>
          <w:color w:val="000000"/>
          <w:sz w:val="24"/>
          <w:szCs w:val="24"/>
        </w:rPr>
        <w:t xml:space="preserve"> care of people living with chronic hepatitis B: systematic review and meta-analysis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hint="default"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Authors:</w:t>
      </w:r>
      <w:r>
        <w:rPr>
          <w:rFonts w:hint="default" w:eastAsia="Times New Roman" w:cstheme="minorHAnsi"/>
          <w:b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Alexander Stockdale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1 and Bethany Holt2,3,</w:t>
      </w:r>
      <w:r>
        <w:rPr>
          <w:rFonts w:eastAsia="Times New Roman" w:cstheme="minorHAnsi"/>
          <w:color w:val="000000"/>
          <w:sz w:val="24"/>
          <w:szCs w:val="24"/>
        </w:rPr>
        <w:t xml:space="preserve"> Ajeet Singh Bhadoria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4 and Dan Ikeda,</w:t>
      </w:r>
      <w:r>
        <w:rPr>
          <w:rFonts w:eastAsia="Times New Roman" w:cstheme="minorHAnsi"/>
          <w:color w:val="000000"/>
          <w:sz w:val="24"/>
          <w:szCs w:val="24"/>
        </w:rPr>
        <w:t xml:space="preserve"> Roger Cho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5, </w:t>
      </w:r>
      <w:r>
        <w:rPr>
          <w:rFonts w:eastAsia="Times New Roman" w:cstheme="minorHAnsi"/>
          <w:color w:val="000000"/>
          <w:sz w:val="24"/>
          <w:szCs w:val="24"/>
        </w:rPr>
        <w:t>David Duong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2,3</w:t>
      </w:r>
      <w:r>
        <w:rPr>
          <w:rFonts w:eastAsia="Times New Roman" w:cstheme="minorHAnsi"/>
          <w:color w:val="000000"/>
          <w:sz w:val="24"/>
          <w:szCs w:val="24"/>
        </w:rPr>
        <w:t>,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Daniel Ikeda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2</w:t>
      </w:r>
      <w:r>
        <w:rPr>
          <w:rFonts w:eastAsia="Times New Roman" w:cstheme="minorHAnsi"/>
          <w:color w:val="000000"/>
          <w:sz w:val="24"/>
          <w:szCs w:val="24"/>
        </w:rPr>
        <w:t>,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Gibril Ndow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6,7</w:t>
      </w:r>
      <w:r>
        <w:rPr>
          <w:rFonts w:eastAsia="Times New Roman" w:cstheme="minorHAnsi"/>
          <w:color w:val="000000"/>
          <w:sz w:val="24"/>
          <w:szCs w:val="24"/>
        </w:rPr>
        <w:t>, Vy Nguyen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2</w:t>
      </w:r>
      <w:r>
        <w:rPr>
          <w:rFonts w:eastAsia="Times New Roman" w:cstheme="minorHAnsi"/>
          <w:color w:val="000000"/>
          <w:sz w:val="24"/>
          <w:szCs w:val="24"/>
        </w:rPr>
        <w:t>,Todd Pollack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2</w:t>
      </w:r>
      <w:r>
        <w:rPr>
          <w:rFonts w:eastAsia="Times New Roman" w:cstheme="minorHAnsi"/>
          <w:color w:val="000000"/>
          <w:sz w:val="24"/>
          <w:szCs w:val="24"/>
        </w:rPr>
        <w:t>,8,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Janus Ong9, Thuy Pham10,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Abhishek Sadasivan5,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Philippa Easterbrook1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1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Affiliations: </w:t>
      </w:r>
      <w:r>
        <w:rPr>
          <w:rFonts w:eastAsia="Times New Roman" w:cstheme="minorHAnsi"/>
          <w:color w:val="000000"/>
          <w:sz w:val="24"/>
          <w:szCs w:val="24"/>
        </w:rPr>
        <w:t>1 University of Liverpool, Liverpool, United Kingdom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, 2 </w:t>
      </w:r>
      <w:r>
        <w:rPr>
          <w:rFonts w:eastAsia="Times New Roman" w:cstheme="minorHAnsi"/>
          <w:color w:val="000000"/>
          <w:sz w:val="24"/>
          <w:szCs w:val="24"/>
        </w:rPr>
        <w:t xml:space="preserve">Harvard Medical School, Boston, Massachusetts, United States of America, 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3</w:t>
      </w:r>
      <w:r>
        <w:rPr>
          <w:rFonts w:eastAsia="Times New Roman" w:cstheme="minorHAnsi"/>
          <w:color w:val="000000"/>
          <w:sz w:val="24"/>
          <w:szCs w:val="24"/>
        </w:rPr>
        <w:t xml:space="preserve"> Brigham and Women’s Hospital Division of Global Health Equity, Boston, Massachusetts, United, States of America, 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4</w:t>
      </w:r>
      <w:r>
        <w:rPr>
          <w:rFonts w:eastAsia="Times New Roman" w:cstheme="minorHAnsi"/>
          <w:color w:val="000000"/>
          <w:sz w:val="24"/>
          <w:szCs w:val="24"/>
        </w:rPr>
        <w:t xml:space="preserve"> All India Institute of Medical Sciences, Rishikesh, India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; 5 </w:t>
      </w:r>
      <w:r>
        <w:rPr>
          <w:rFonts w:eastAsia="Times New Roman" w:cstheme="minorHAnsi"/>
          <w:color w:val="000000"/>
          <w:sz w:val="24"/>
          <w:szCs w:val="24"/>
        </w:rPr>
        <w:t>Oregon Health &amp; Science University, Portland, Oregon, United States of America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; 6 </w:t>
      </w:r>
      <w:r>
        <w:rPr>
          <w:rFonts w:eastAsia="Times New Roman" w:cstheme="minorHAnsi"/>
          <w:color w:val="000000"/>
          <w:sz w:val="24"/>
          <w:szCs w:val="24"/>
        </w:rPr>
        <w:t>The Medical Research Council Unit The Gambia, Banjul, The Gambia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;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7</w:t>
      </w:r>
      <w:r>
        <w:rPr>
          <w:rFonts w:eastAsia="Times New Roman" w:cstheme="minorHAnsi"/>
          <w:color w:val="000000"/>
          <w:sz w:val="24"/>
          <w:szCs w:val="24"/>
        </w:rPr>
        <w:t xml:space="preserve"> Imperial College London, London, United Kingdom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;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8 </w:t>
      </w:r>
      <w:r>
        <w:rPr>
          <w:rFonts w:eastAsia="Times New Roman" w:cstheme="minorHAnsi"/>
          <w:color w:val="000000"/>
          <w:sz w:val="24"/>
          <w:szCs w:val="24"/>
        </w:rPr>
        <w:t>Beth Israel Deaconess Medical Center, Boston, Massachusetts, United States of Americ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 xml:space="preserve">a; 9 University of the Philippines, Manila, Philippines; </w:t>
      </w:r>
      <w:r>
        <w:rPr>
          <w:rFonts w:eastAsia="Times New Roman" w:cstheme="minorHAnsi"/>
          <w:color w:val="000000"/>
          <w:sz w:val="24"/>
          <w:szCs w:val="24"/>
        </w:rPr>
        <w:t>10 Health Advancement In Vietnam (HAIVN) and Beth Israel Deaconess Medical Center, Hanoi, Vietnam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; 11</w:t>
      </w:r>
      <w:r>
        <w:rPr>
          <w:rFonts w:eastAsia="Times New Roman" w:cstheme="minorHAnsi"/>
          <w:color w:val="000000"/>
          <w:sz w:val="24"/>
          <w:szCs w:val="24"/>
        </w:rPr>
        <w:t>World Health Organisation, Geneva, Switzerlan</w:t>
      </w:r>
      <w:r>
        <w:rPr>
          <w:rFonts w:hint="default" w:eastAsia="Times New Roman" w:cstheme="minorHAnsi"/>
          <w:color w:val="000000"/>
          <w:sz w:val="24"/>
          <w:szCs w:val="24"/>
          <w:lang w:val="en-US"/>
        </w:rPr>
        <w:t>d</w:t>
      </w:r>
    </w:p>
    <w:p>
      <w:pPr>
        <w:shd w:val="clear" w:color="auto" w:fill="FFFFFF"/>
        <w:spacing w:after="100" w:afterAutospacing="1" w:line="240" w:lineRule="auto"/>
        <w:jc w:val="both"/>
        <w:outlineLvl w:val="2"/>
        <w:rPr>
          <w:rFonts w:eastAsia="Times New Roman" w:cstheme="minorHAnsi"/>
          <w:color w:val="505050"/>
          <w:sz w:val="24"/>
          <w:szCs w:val="24"/>
        </w:rPr>
      </w:pPr>
      <w:bookmarkStart w:id="0" w:name="_GoBack"/>
      <w:r>
        <w:rPr>
          <w:rFonts w:eastAsia="Times New Roman" w:cstheme="minorHAnsi"/>
          <w:b/>
          <w:color w:val="000000"/>
          <w:sz w:val="24"/>
          <w:szCs w:val="24"/>
        </w:rPr>
        <w:t>Background</w:t>
      </w:r>
      <w:r>
        <w:rPr>
          <w:rFonts w:eastAsia="Times New Roman" w:cstheme="minorHAnsi"/>
          <w:color w:val="505050"/>
          <w:sz w:val="24"/>
          <w:szCs w:val="24"/>
        </w:rPr>
        <w:t>: Globally, less than 10% of 296 million with chronic hepatitis B virus (HBV)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505050"/>
          <w:sz w:val="24"/>
          <w:szCs w:val="24"/>
        </w:rPr>
        <w:t>infection had been diagnosed and only 2% treated. Increasing access to HBV care and treatment require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s</w:t>
      </w:r>
      <w:r>
        <w:rPr>
          <w:rFonts w:eastAsia="Times New Roman" w:cstheme="minorHAnsi"/>
          <w:color w:val="505050"/>
          <w:sz w:val="24"/>
          <w:szCs w:val="24"/>
        </w:rPr>
        <w:t xml:space="preserve"> simplified service delivery models.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A</w:t>
      </w:r>
      <w:r>
        <w:rPr>
          <w:rFonts w:eastAsia="Times New Roman" w:cstheme="minorHAnsi"/>
          <w:color w:val="505050"/>
          <w:sz w:val="24"/>
          <w:szCs w:val="24"/>
        </w:rPr>
        <w:t xml:space="preserve"> global systematic review and meta-analysis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was conducted</w:t>
      </w:r>
      <w:r>
        <w:rPr>
          <w:rFonts w:eastAsia="Times New Roman" w:cstheme="minorHAnsi"/>
          <w:color w:val="505050"/>
          <w:sz w:val="24"/>
          <w:szCs w:val="24"/>
        </w:rPr>
        <w:t xml:space="preserve">identify range of service delivery models for HBV testing, care, and treatment, and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compare</w:t>
      </w:r>
      <w:r>
        <w:rPr>
          <w:rFonts w:eastAsia="Times New Roman" w:cstheme="minorHAnsi"/>
          <w:color w:val="505050"/>
          <w:sz w:val="24"/>
          <w:szCs w:val="24"/>
        </w:rPr>
        <w:t xml:space="preserve"> outcomes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achieved </w:t>
      </w:r>
      <w:r>
        <w:rPr>
          <w:rFonts w:eastAsia="Times New Roman" w:cstheme="minorHAnsi"/>
          <w:color w:val="505050"/>
          <w:sz w:val="24"/>
          <w:szCs w:val="24"/>
        </w:rPr>
        <w:t>across the HBV care continuum.</w:t>
      </w:r>
    </w:p>
    <w:p>
      <w:pPr>
        <w:shd w:val="clear" w:color="auto" w:fill="FFFFFF"/>
        <w:spacing w:after="100" w:afterAutospacing="1" w:line="240" w:lineRule="auto"/>
        <w:jc w:val="both"/>
        <w:outlineLvl w:val="2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Methods</w:t>
      </w:r>
      <w:r>
        <w:rPr>
          <w:rFonts w:eastAsia="Times New Roman" w:cstheme="minorHAnsi"/>
          <w:color w:val="505050"/>
          <w:sz w:val="24"/>
          <w:szCs w:val="24"/>
        </w:rPr>
        <w:t>: We searched PubMed, Embase, and Scopus for studies published in last 10 years that evaluated service delivery models and care cascade for HBV. Models were categorised as hospital-based, primary care/co-managed, integrated with HIV/NCD/ harm reduction sites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, or for other special populations</w:t>
      </w:r>
      <w:r>
        <w:rPr>
          <w:rFonts w:eastAsia="Times New Roman" w:cstheme="minorHAnsi"/>
          <w:color w:val="505050"/>
          <w:sz w:val="24"/>
          <w:szCs w:val="24"/>
        </w:rPr>
        <w:t xml:space="preserve">. Key outcomes across the HBV care cascade (linkage to care, treatment uptake, viral load suppression, adherence and retention to care) were pooled using random-effects meta-analysis and nested elements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confidence intervals </w:t>
      </w:r>
      <w:r>
        <w:rPr>
          <w:rFonts w:eastAsia="Times New Roman" w:cstheme="minorHAnsi"/>
          <w:color w:val="505050"/>
          <w:sz w:val="24"/>
          <w:szCs w:val="24"/>
        </w:rPr>
        <w:t xml:space="preserve">calculated using parametric bootstrapping. </w:t>
      </w:r>
    </w:p>
    <w:p>
      <w:pPr>
        <w:shd w:val="clear" w:color="auto" w:fill="FFFFFF"/>
        <w:spacing w:after="100" w:afterAutospacing="1" w:line="240" w:lineRule="auto"/>
        <w:jc w:val="both"/>
        <w:outlineLvl w:val="2"/>
        <w:rPr>
          <w:rFonts w:eastAsia="Times New Roman" w:cstheme="minorHAnsi"/>
          <w:bCs/>
          <w:color w:val="50505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Findings</w:t>
      </w:r>
      <w:r>
        <w:rPr>
          <w:rFonts w:eastAsia="Times New Roman" w:cstheme="minorHAnsi"/>
          <w:color w:val="505050"/>
          <w:sz w:val="24"/>
          <w:szCs w:val="24"/>
        </w:rPr>
        <w:t>: Our search identified 3989 reports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; </w:t>
      </w:r>
      <w:r>
        <w:rPr>
          <w:rFonts w:eastAsia="Times New Roman" w:cstheme="minorHAnsi"/>
          <w:color w:val="505050"/>
          <w:sz w:val="24"/>
          <w:szCs w:val="24"/>
        </w:rPr>
        <w:t>69 met the eligibility criteria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. </w:t>
      </w:r>
      <w:r>
        <w:rPr>
          <w:rFonts w:eastAsia="Times New Roman" w:cstheme="minorHAnsi"/>
          <w:color w:val="505050"/>
          <w:sz w:val="24"/>
          <w:szCs w:val="24"/>
        </w:rPr>
        <w:t xml:space="preserve">17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(</w:t>
      </w:r>
      <w:r>
        <w:rPr>
          <w:rFonts w:eastAsia="Times New Roman" w:cstheme="minorHAnsi"/>
          <w:color w:val="505050"/>
          <w:sz w:val="24"/>
          <w:szCs w:val="24"/>
        </w:rPr>
        <w:t>25%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)</w:t>
      </w:r>
      <w:r>
        <w:rPr>
          <w:rFonts w:eastAsia="Times New Roman" w:cstheme="minorHAnsi"/>
          <w:color w:val="505050"/>
          <w:sz w:val="24"/>
          <w:szCs w:val="24"/>
        </w:rPr>
        <w:t xml:space="preserve"> were from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LMICs.</w:t>
      </w:r>
      <w:r>
        <w:rPr>
          <w:rFonts w:eastAsia="Times New Roman" w:cstheme="minorHAnsi"/>
          <w:color w:val="505050"/>
          <w:sz w:val="24"/>
          <w:szCs w:val="24"/>
        </w:rPr>
        <w:t xml:space="preserve">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Most </w:t>
      </w:r>
      <w:r>
        <w:rPr>
          <w:rFonts w:eastAsia="Times New Roman" w:cstheme="minorHAnsi"/>
          <w:color w:val="505050"/>
          <w:sz w:val="24"/>
          <w:szCs w:val="24"/>
        </w:rPr>
        <w:t>were observational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 (4</w:t>
      </w:r>
      <w:r>
        <w:rPr>
          <w:rFonts w:eastAsia="Times New Roman" w:cstheme="minorHAnsi"/>
          <w:color w:val="505050"/>
          <w:sz w:val="24"/>
          <w:szCs w:val="24"/>
        </w:rPr>
        <w:t>1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 or </w:t>
      </w:r>
      <w:r>
        <w:rPr>
          <w:rFonts w:eastAsia="Times New Roman" w:cstheme="minorHAnsi"/>
          <w:color w:val="505050"/>
          <w:sz w:val="24"/>
          <w:szCs w:val="24"/>
        </w:rPr>
        <w:t xml:space="preserve">61%)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or non-randomized interventional designs (</w:t>
      </w:r>
      <w:r>
        <w:rPr>
          <w:rFonts w:eastAsia="Times New Roman" w:cstheme="minorHAnsi"/>
          <w:color w:val="505050"/>
          <w:sz w:val="24"/>
          <w:szCs w:val="24"/>
        </w:rPr>
        <w:t xml:space="preserve">24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or </w:t>
      </w:r>
      <w:r>
        <w:rPr>
          <w:rFonts w:eastAsia="Times New Roman" w:cstheme="minorHAnsi"/>
          <w:color w:val="505050"/>
          <w:sz w:val="24"/>
          <w:szCs w:val="24"/>
        </w:rPr>
        <w:t>35%)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,</w:t>
      </w:r>
      <w:r>
        <w:rPr>
          <w:rFonts w:eastAsia="Times New Roman" w:cstheme="minorHAnsi"/>
          <w:color w:val="505050"/>
          <w:sz w:val="24"/>
          <w:szCs w:val="24"/>
        </w:rPr>
        <w:t xml:space="preserve">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with very few RCTs (</w:t>
      </w:r>
      <w:r>
        <w:rPr>
          <w:rFonts w:eastAsia="Times New Roman" w:cstheme="minorHAnsi"/>
          <w:color w:val="505050"/>
          <w:sz w:val="24"/>
          <w:szCs w:val="24"/>
        </w:rPr>
        <w:t xml:space="preserve">3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or </w:t>
      </w:r>
      <w:r>
        <w:rPr>
          <w:rFonts w:eastAsia="Times New Roman" w:cstheme="minorHAnsi"/>
          <w:color w:val="505050"/>
          <w:sz w:val="24"/>
          <w:szCs w:val="24"/>
        </w:rPr>
        <w:t>4%)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.</w:t>
      </w:r>
      <w:r>
        <w:rPr>
          <w:rFonts w:eastAsia="Times New Roman" w:cstheme="minorHAnsi"/>
          <w:color w:val="505050"/>
          <w:sz w:val="24"/>
          <w:szCs w:val="24"/>
        </w:rPr>
        <w:t xml:space="preserve">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In total, 9 (13</w:t>
      </w:r>
      <w:r>
        <w:rPr>
          <w:rFonts w:eastAsia="Times New Roman" w:cstheme="minorHAnsi"/>
          <w:color w:val="505050"/>
          <w:sz w:val="24"/>
          <w:szCs w:val="24"/>
        </w:rPr>
        <w:t>%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)</w:t>
      </w:r>
      <w:r>
        <w:rPr>
          <w:rFonts w:eastAsia="Times New Roman" w:cstheme="minorHAnsi"/>
          <w:color w:val="505050"/>
          <w:sz w:val="24"/>
          <w:szCs w:val="24"/>
        </w:rPr>
        <w:t xml:space="preserve">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described </w:t>
      </w:r>
      <w:r>
        <w:rPr>
          <w:rFonts w:eastAsia="Times New Roman" w:cstheme="minorHAnsi"/>
          <w:color w:val="505050"/>
          <w:sz w:val="24"/>
          <w:szCs w:val="24"/>
        </w:rPr>
        <w:t xml:space="preserve">hospital/specialist-based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models </w:t>
      </w:r>
      <w:r>
        <w:rPr>
          <w:rFonts w:eastAsia="Times New Roman" w:cstheme="minorHAnsi"/>
          <w:color w:val="505050"/>
          <w:sz w:val="24"/>
          <w:szCs w:val="24"/>
        </w:rPr>
        <w:t>(</w:t>
      </w:r>
      <w:r>
        <w:rPr>
          <w:rFonts w:eastAsia="Times New Roman" w:cstheme="minorHAnsi"/>
          <w:b/>
          <w:bCs/>
          <w:color w:val="505050"/>
          <w:sz w:val="24"/>
          <w:szCs w:val="24"/>
        </w:rPr>
        <w:t>Hosp</w:t>
      </w:r>
      <w:r>
        <w:rPr>
          <w:rFonts w:eastAsia="Times New Roman" w:cstheme="minorHAnsi"/>
          <w:color w:val="505050"/>
          <w:sz w:val="24"/>
          <w:szCs w:val="24"/>
        </w:rPr>
        <w:t>)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, 22 (32%) were</w:t>
      </w:r>
      <w:r>
        <w:rPr>
          <w:rFonts w:eastAsia="Times New Roman" w:cstheme="minorHAnsi"/>
          <w:color w:val="505050"/>
          <w:sz w:val="24"/>
          <w:szCs w:val="24"/>
        </w:rPr>
        <w:t xml:space="preserve"> primary care/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co-managed or</w:t>
      </w:r>
      <w:r>
        <w:rPr>
          <w:rFonts w:eastAsia="Times New Roman" w:cstheme="minorHAnsi"/>
          <w:color w:val="505050"/>
          <w:sz w:val="24"/>
          <w:szCs w:val="24"/>
        </w:rPr>
        <w:t xml:space="preserve">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screening only </w:t>
      </w:r>
      <w:r>
        <w:rPr>
          <w:rFonts w:eastAsia="Times New Roman" w:cstheme="minorHAnsi"/>
          <w:color w:val="505050"/>
          <w:sz w:val="24"/>
          <w:szCs w:val="24"/>
        </w:rPr>
        <w:t>(</w:t>
      </w:r>
      <w:r>
        <w:rPr>
          <w:rFonts w:eastAsia="Times New Roman" w:cstheme="minorHAnsi"/>
          <w:b/>
          <w:bCs/>
          <w:color w:val="505050"/>
          <w:sz w:val="24"/>
          <w:szCs w:val="24"/>
        </w:rPr>
        <w:t>Prim</w:t>
      </w:r>
      <w:r>
        <w:rPr>
          <w:rFonts w:eastAsia="Times New Roman" w:cstheme="minorHAnsi"/>
          <w:color w:val="505050"/>
          <w:sz w:val="24"/>
          <w:szCs w:val="24"/>
        </w:rPr>
        <w:t xml:space="preserve">), and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the remainder related to integrated models (e.g., harm reduction, PLHIV) or tailored for special populations (e.g., migrants, pregnancy). </w:t>
      </w:r>
      <w:r>
        <w:rPr>
          <w:rFonts w:eastAsia="Times New Roman" w:cstheme="minorHAnsi"/>
          <w:color w:val="505050"/>
          <w:sz w:val="24"/>
          <w:szCs w:val="24"/>
        </w:rPr>
        <w:t xml:space="preserve"> Only 4%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of studies </w:t>
      </w:r>
      <w:r>
        <w:rPr>
          <w:rFonts w:eastAsia="Times New Roman" w:cstheme="minorHAnsi"/>
          <w:color w:val="505050"/>
          <w:sz w:val="24"/>
          <w:szCs w:val="24"/>
        </w:rPr>
        <w:t>reported outcomes across the complete cascade of care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;</w:t>
      </w:r>
      <w:r>
        <w:rPr>
          <w:rFonts w:eastAsia="Times New Roman" w:cstheme="minorHAnsi"/>
          <w:color w:val="505050"/>
          <w:sz w:val="24"/>
          <w:szCs w:val="24"/>
        </w:rPr>
        <w:t xml:space="preserve"> 33% on early outcomes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 (testing and linkage)</w:t>
      </w:r>
      <w:r>
        <w:rPr>
          <w:rFonts w:eastAsia="Times New Roman" w:cstheme="minorHAnsi"/>
          <w:color w:val="505050"/>
          <w:sz w:val="24"/>
          <w:szCs w:val="24"/>
        </w:rPr>
        <w:t xml:space="preserve"> and 6% across late cascade outcomes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 (treatment and retention). Among those reporting late cascade outcomes,</w:t>
      </w:r>
      <w:r>
        <w:rPr>
          <w:rFonts w:eastAsia="Times New Roman" w:cstheme="minorHAnsi"/>
          <w:color w:val="505050"/>
          <w:sz w:val="24"/>
          <w:szCs w:val="24"/>
        </w:rPr>
        <w:t xml:space="preserve"> antiviral treatment initiation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among </w:t>
      </w:r>
      <w:r>
        <w:rPr>
          <w:rFonts w:eastAsia="Times New Roman" w:cstheme="minorHAnsi"/>
          <w:color w:val="505050"/>
          <w:sz w:val="24"/>
          <w:szCs w:val="24"/>
        </w:rPr>
        <w:t xml:space="preserve">eligible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patients was </w:t>
      </w:r>
      <w:r>
        <w:rPr>
          <w:rFonts w:eastAsia="Times New Roman" w:cstheme="minorHAnsi"/>
          <w:color w:val="505050"/>
          <w:sz w:val="24"/>
          <w:szCs w:val="24"/>
        </w:rPr>
        <w:t>37%, viral suppression 9%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,</w:t>
      </w:r>
      <w:r>
        <w:rPr>
          <w:rFonts w:eastAsia="Times New Roman" w:cstheme="minorHAnsi"/>
          <w:color w:val="505050"/>
          <w:sz w:val="24"/>
          <w:szCs w:val="24"/>
        </w:rPr>
        <w:t xml:space="preserve"> and retention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in care </w:t>
      </w:r>
      <w:r>
        <w:rPr>
          <w:rFonts w:eastAsia="Times New Roman" w:cstheme="minorHAnsi"/>
          <w:color w:val="505050"/>
          <w:sz w:val="24"/>
          <w:szCs w:val="24"/>
        </w:rPr>
        <w:t xml:space="preserve">16%.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T</w:t>
      </w:r>
      <w:r>
        <w:rPr>
          <w:rFonts w:eastAsia="Times New Roman" w:cstheme="minorHAnsi"/>
          <w:b w:val="0"/>
          <w:bCs/>
          <w:color w:val="505050"/>
          <w:sz w:val="24"/>
          <w:szCs w:val="24"/>
        </w:rPr>
        <w:t xml:space="preserve">here were higher rates </w:t>
      </w:r>
      <w:r>
        <w:rPr>
          <w:rFonts w:eastAsia="Times New Roman" w:cstheme="minorHAnsi"/>
          <w:bCs/>
          <w:color w:val="505050"/>
          <w:sz w:val="24"/>
          <w:szCs w:val="24"/>
        </w:rPr>
        <w:t xml:space="preserve">of treatment eligibility assessment following diagnosis 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>for</w:t>
      </w:r>
      <w:r>
        <w:rPr>
          <w:rFonts w:eastAsia="Times New Roman" w:cstheme="minorHAnsi"/>
          <w:bCs/>
          <w:color w:val="505050"/>
          <w:sz w:val="24"/>
          <w:szCs w:val="24"/>
        </w:rPr>
        <w:t xml:space="preserve"> Hosp vs Prim care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 xml:space="preserve"> (</w:t>
      </w:r>
      <w:r>
        <w:rPr>
          <w:rFonts w:eastAsia="Times New Roman" w:cstheme="minorHAnsi"/>
          <w:bCs/>
          <w:color w:val="505050"/>
          <w:sz w:val="24"/>
          <w:szCs w:val="24"/>
        </w:rPr>
        <w:t>74% [95% CI 66–81]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 xml:space="preserve"> vs </w:t>
      </w:r>
      <w:r>
        <w:rPr>
          <w:rFonts w:eastAsia="Times New Roman" w:cstheme="minorHAnsi"/>
          <w:bCs/>
          <w:color w:val="505050"/>
          <w:sz w:val="24"/>
          <w:szCs w:val="24"/>
        </w:rPr>
        <w:t>55.5% [4</w:t>
      </w:r>
      <w:r>
        <w:rPr>
          <w:rFonts w:eastAsia="Times New Roman" w:cstheme="minorHAnsi"/>
          <w:bCs/>
          <w:color w:val="505050"/>
          <w:sz w:val="24"/>
          <w:szCs w:val="24"/>
          <w:highlight w:val="none"/>
        </w:rPr>
        <w:t>1.7</w:t>
      </w:r>
      <w:r>
        <w:rPr>
          <w:rFonts w:eastAsia="Times New Roman" w:cstheme="minorHAnsi"/>
          <w:bCs/>
          <w:color w:val="505050"/>
          <w:sz w:val="24"/>
          <w:szCs w:val="24"/>
        </w:rPr>
        <w:t>–</w:t>
      </w:r>
      <w:r>
        <w:rPr>
          <w:rFonts w:eastAsia="Times New Roman" w:cstheme="minorHAnsi"/>
          <w:bCs/>
          <w:color w:val="505050"/>
          <w:sz w:val="24"/>
          <w:szCs w:val="24"/>
          <w:highlight w:val="none"/>
        </w:rPr>
        <w:t>68.6</w:t>
      </w:r>
      <w:r>
        <w:rPr>
          <w:rFonts w:eastAsia="Times New Roman" w:cstheme="minorHAnsi"/>
          <w:bCs/>
          <w:color w:val="505050"/>
          <w:sz w:val="24"/>
          <w:szCs w:val="24"/>
        </w:rPr>
        <w:t>]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>),</w:t>
      </w:r>
      <w:r>
        <w:rPr>
          <w:rFonts w:eastAsia="Times New Roman" w:cstheme="minorHAnsi"/>
          <w:b w:val="0"/>
          <w:bCs/>
          <w:color w:val="505050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505050"/>
          <w:sz w:val="24"/>
          <w:szCs w:val="24"/>
        </w:rPr>
        <w:t xml:space="preserve">and 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 xml:space="preserve">for </w:t>
      </w:r>
      <w:r>
        <w:rPr>
          <w:rFonts w:eastAsia="Times New Roman" w:cstheme="minorHAnsi"/>
          <w:bCs/>
          <w:color w:val="505050"/>
          <w:sz w:val="24"/>
          <w:szCs w:val="24"/>
        </w:rPr>
        <w:t xml:space="preserve">treatment initiation 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>(</w:t>
      </w:r>
      <w:r>
        <w:rPr>
          <w:rFonts w:eastAsia="Times New Roman" w:cstheme="minorHAnsi"/>
          <w:bCs/>
          <w:color w:val="505050"/>
          <w:sz w:val="24"/>
          <w:szCs w:val="24"/>
        </w:rPr>
        <w:t>69.3% [54.1–81.2] </w:t>
      </w:r>
      <w:r>
        <w:rPr>
          <w:rFonts w:eastAsia="Times New Roman" w:cstheme="minorHAnsi"/>
          <w:bCs/>
          <w:i/>
          <w:iCs/>
          <w:color w:val="505050"/>
          <w:sz w:val="24"/>
          <w:szCs w:val="24"/>
        </w:rPr>
        <w:t>vs</w:t>
      </w:r>
      <w:r>
        <w:rPr>
          <w:rFonts w:eastAsia="Times New Roman" w:cstheme="minorHAnsi"/>
          <w:bCs/>
          <w:color w:val="505050"/>
          <w:sz w:val="24"/>
          <w:szCs w:val="24"/>
        </w:rPr>
        <w:t xml:space="preserve">  57.3% [39.3–73.5]. Retention in care was similar 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>(~42%) between models, but</w:t>
      </w:r>
      <w:r>
        <w:rPr>
          <w:rFonts w:eastAsia="Times New Roman" w:cstheme="minorHAnsi"/>
          <w:bCs/>
          <w:color w:val="505050"/>
          <w:sz w:val="24"/>
          <w:szCs w:val="24"/>
        </w:rPr>
        <w:t xml:space="preserve"> greater in those on antiviral therapy (70.3% [58.7–79.7]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>) than those only monitored</w:t>
      </w:r>
      <w:r>
        <w:rPr>
          <w:rFonts w:eastAsia="Times New Roman" w:cstheme="minorHAnsi"/>
          <w:bCs/>
          <w:color w:val="505050"/>
          <w:sz w:val="24"/>
          <w:szCs w:val="24"/>
        </w:rPr>
        <w:t> 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>(</w:t>
      </w:r>
      <w:r>
        <w:rPr>
          <w:rFonts w:eastAsia="Times New Roman" w:cstheme="minorHAnsi"/>
          <w:bCs/>
          <w:color w:val="505050"/>
          <w:sz w:val="24"/>
          <w:szCs w:val="24"/>
        </w:rPr>
        <w:t>37.5% [21.0–57.6]</w:t>
      </w:r>
      <w:r>
        <w:rPr>
          <w:rFonts w:hint="default" w:eastAsia="Times New Roman" w:cstheme="minorHAnsi"/>
          <w:bCs/>
          <w:color w:val="505050"/>
          <w:sz w:val="24"/>
          <w:szCs w:val="24"/>
          <w:lang w:val="en-US"/>
        </w:rPr>
        <w:t>)</w:t>
      </w:r>
      <w:r>
        <w:rPr>
          <w:rFonts w:eastAsia="Times New Roman" w:cstheme="minorHAnsi"/>
          <w:bCs/>
          <w:color w:val="505050"/>
          <w:sz w:val="24"/>
          <w:szCs w:val="24"/>
        </w:rPr>
        <w:t>. Adherence to treatment and DNA suppression rates were rarely reported.</w:t>
      </w:r>
    </w:p>
    <w:p>
      <w:pPr>
        <w:shd w:val="clear" w:color="auto" w:fill="FFFFFF"/>
        <w:spacing w:after="100" w:afterAutospacing="1" w:line="240" w:lineRule="auto"/>
        <w:jc w:val="both"/>
        <w:outlineLvl w:val="2"/>
        <w:rPr>
          <w:rFonts w:eastAsia="Times New Roman" w:cstheme="minorHAnsi"/>
          <w:color w:val="50505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Interpretation</w:t>
      </w:r>
      <w:r>
        <w:rPr>
          <w:rFonts w:eastAsia="Times New Roman" w:cstheme="minorHAnsi"/>
          <w:color w:val="505050"/>
          <w:sz w:val="24"/>
          <w:szCs w:val="24"/>
        </w:rPr>
        <w:t>: We identified a wide range of hospital and primary care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-</w:t>
      </w:r>
      <w:r>
        <w:rPr>
          <w:rFonts w:eastAsia="Times New Roman" w:cstheme="minorHAnsi"/>
          <w:color w:val="505050"/>
          <w:sz w:val="24"/>
          <w:szCs w:val="24"/>
        </w:rPr>
        <w:t>based service delivery models for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 HBV</w:t>
      </w:r>
      <w:r>
        <w:rPr>
          <w:rFonts w:eastAsia="Times New Roman" w:cstheme="minorHAnsi"/>
          <w:color w:val="505050"/>
          <w:sz w:val="24"/>
          <w:szCs w:val="24"/>
        </w:rPr>
        <w:t xml:space="preserve"> care and treatment in high and low income settings. Few reported data across the full cascade of care, especially for assessing treatment response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.</w:t>
      </w:r>
      <w:r>
        <w:rPr>
          <w:rFonts w:eastAsia="Times New Roman" w:cstheme="minorHAnsi"/>
          <w:color w:val="505050"/>
          <w:sz w:val="24"/>
          <w:szCs w:val="24"/>
        </w:rPr>
        <w:t xml:space="preserve">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L</w:t>
      </w:r>
      <w:r>
        <w:rPr>
          <w:rFonts w:eastAsia="Times New Roman" w:cstheme="minorHAnsi"/>
          <w:color w:val="505050"/>
          <w:sz w:val="24"/>
          <w:szCs w:val="24"/>
        </w:rPr>
        <w:t xml:space="preserve">inkage to care, uptake of treatment and retention in care was sub-optimal, and especially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for reported </w:t>
      </w:r>
      <w:r>
        <w:rPr>
          <w:rFonts w:eastAsia="Times New Roman" w:cstheme="minorHAnsi"/>
          <w:color w:val="505050"/>
          <w:sz w:val="24"/>
          <w:szCs w:val="24"/>
        </w:rPr>
        <w:t xml:space="preserve">primary-care based models.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>I</w:t>
      </w:r>
      <w:r>
        <w:rPr>
          <w:rFonts w:eastAsia="Times New Roman" w:cstheme="minorHAnsi"/>
          <w:color w:val="505050"/>
          <w:sz w:val="24"/>
          <w:szCs w:val="24"/>
        </w:rPr>
        <w:t xml:space="preserve">nterventions to improve adherence and retention in care 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are urgent </w:t>
      </w:r>
      <w:r>
        <w:rPr>
          <w:rFonts w:eastAsia="Times New Roman" w:cstheme="minorHAnsi"/>
          <w:color w:val="505050"/>
          <w:sz w:val="24"/>
          <w:szCs w:val="24"/>
        </w:rPr>
        <w:t>across all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505050"/>
          <w:sz w:val="24"/>
          <w:szCs w:val="24"/>
        </w:rPr>
        <w:t>models. Future studies should capture</w:t>
      </w:r>
      <w:r>
        <w:rPr>
          <w:rFonts w:hint="default" w:eastAsia="Times New Roman" w:cstheme="minorHAnsi"/>
          <w:color w:val="505050"/>
          <w:sz w:val="24"/>
          <w:szCs w:val="24"/>
          <w:lang w:val="en-US"/>
        </w:rPr>
        <w:t xml:space="preserve"> data</w:t>
      </w:r>
      <w:r>
        <w:rPr>
          <w:rFonts w:eastAsia="Times New Roman" w:cstheme="minorHAnsi"/>
          <w:color w:val="505050"/>
          <w:sz w:val="24"/>
          <w:szCs w:val="24"/>
        </w:rPr>
        <w:t xml:space="preserve"> across the cascade of care and utilize standardised definitions for linkage, eligibility assessment and retention. </w:t>
      </w:r>
    </w:p>
    <w:bookmarkEnd w:id="0"/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Figure 1: </w:t>
      </w:r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drawing>
          <wp:inline distT="0" distB="0" distL="0" distR="0">
            <wp:extent cx="5943600" cy="33426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34"/>
    <w:rsid w:val="000A79EF"/>
    <w:rsid w:val="00144C70"/>
    <w:rsid w:val="002176A7"/>
    <w:rsid w:val="002263AA"/>
    <w:rsid w:val="00251FFE"/>
    <w:rsid w:val="003331A7"/>
    <w:rsid w:val="00391F05"/>
    <w:rsid w:val="00454A63"/>
    <w:rsid w:val="00471675"/>
    <w:rsid w:val="004C4F0F"/>
    <w:rsid w:val="004F377E"/>
    <w:rsid w:val="00564688"/>
    <w:rsid w:val="00686368"/>
    <w:rsid w:val="006B14E4"/>
    <w:rsid w:val="00736002"/>
    <w:rsid w:val="007442B3"/>
    <w:rsid w:val="007B2141"/>
    <w:rsid w:val="007C2550"/>
    <w:rsid w:val="00830C43"/>
    <w:rsid w:val="00855334"/>
    <w:rsid w:val="0085623F"/>
    <w:rsid w:val="00946D43"/>
    <w:rsid w:val="009703BC"/>
    <w:rsid w:val="00A77FE1"/>
    <w:rsid w:val="00AC6A3B"/>
    <w:rsid w:val="00B00275"/>
    <w:rsid w:val="00B03E90"/>
    <w:rsid w:val="00B56EFC"/>
    <w:rsid w:val="00C4147E"/>
    <w:rsid w:val="00C678A9"/>
    <w:rsid w:val="00CB6EEC"/>
    <w:rsid w:val="00D93877"/>
    <w:rsid w:val="00DD3538"/>
    <w:rsid w:val="00E21C1C"/>
    <w:rsid w:val="00E61F92"/>
    <w:rsid w:val="00F711AB"/>
    <w:rsid w:val="EFFB9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next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5"/>
    <w:semiHidden/>
    <w:unhideWhenUsed/>
    <w:qFormat/>
    <w:uiPriority w:val="99"/>
    <w:rPr>
      <w:b/>
      <w:bCs/>
    </w:rPr>
  </w:style>
  <w:style w:type="character" w:styleId="10">
    <w:name w:val="Emphasis"/>
    <w:basedOn w:val="4"/>
    <w:qFormat/>
    <w:uiPriority w:val="20"/>
    <w:rPr>
      <w:i/>
      <w:iCs/>
    </w:rPr>
  </w:style>
  <w:style w:type="character" w:customStyle="1" w:styleId="11">
    <w:name w:val="Heading 2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2">
    <w:name w:val="Heading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3">
    <w:name w:val="top__text"/>
    <w:basedOn w:val="4"/>
    <w:qFormat/>
    <w:uiPriority w:val="0"/>
  </w:style>
  <w:style w:type="character" w:customStyle="1" w:styleId="14">
    <w:name w:val="Comment Text Char"/>
    <w:basedOn w:val="4"/>
    <w:link w:val="8"/>
    <w:semiHidden/>
    <w:qFormat/>
    <w:uiPriority w:val="99"/>
    <w:rPr>
      <w:sz w:val="20"/>
      <w:szCs w:val="20"/>
    </w:rPr>
  </w:style>
  <w:style w:type="character" w:customStyle="1" w:styleId="15">
    <w:name w:val="Comment Subject Char"/>
    <w:basedOn w:val="14"/>
    <w:link w:val="9"/>
    <w:semiHidden/>
    <w:qFormat/>
    <w:uiPriority w:val="99"/>
    <w:rPr>
      <w:b/>
      <w:bCs/>
      <w:sz w:val="20"/>
      <w:szCs w:val="20"/>
    </w:rPr>
  </w:style>
  <w:style w:type="character" w:customStyle="1" w:styleId="16">
    <w:name w:val="Balloon Text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7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1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1260</Words>
  <Characters>7182</Characters>
  <Lines>59</Lines>
  <Paragraphs>16</Paragraphs>
  <TotalTime>4</TotalTime>
  <ScaleCrop>false</ScaleCrop>
  <LinksUpToDate>false</LinksUpToDate>
  <CharactersWithSpaces>8426</CharactersWithSpaces>
  <Application>WPS Office_5.1.0.7912_F1E327BC-269C-435d-A152-05C5408002CA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2023-05-24T23:22:00Z</dcterms:created>
  <dc:creator>Dell</dc:creator>
  <cp:lastModifiedBy>bjh47</cp:lastModifiedBy>
  <dcterms:modified xsi:type="dcterms:W3CDTF">2023-05-25T01:11:14Z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1033-5.1.0.7912</vt:lpwstr>
  </property>
</Properties>
</file>