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70C3C" w14:textId="77777777" w:rsidR="00462555" w:rsidRPr="006B3DEC" w:rsidRDefault="00462555" w:rsidP="00462555">
      <w:pPr>
        <w:spacing w:line="480" w:lineRule="auto"/>
        <w:rPr>
          <w:b/>
          <w:sz w:val="28"/>
          <w:szCs w:val="28"/>
        </w:rPr>
      </w:pPr>
      <w:r w:rsidRPr="006B3DEC">
        <w:rPr>
          <w:b/>
          <w:sz w:val="28"/>
          <w:szCs w:val="28"/>
        </w:rPr>
        <w:t>F*, an interpretable transformation of the F measure, equates to the critical success index</w:t>
      </w:r>
    </w:p>
    <w:p w14:paraId="450D0F4C" w14:textId="77777777" w:rsidR="00462555" w:rsidRPr="006B3DEC" w:rsidRDefault="00462555" w:rsidP="00462555">
      <w:pPr>
        <w:spacing w:line="480" w:lineRule="auto"/>
      </w:pPr>
      <w:r w:rsidRPr="006B3DEC">
        <w:t>Gashirai K. Mbizvo</w:t>
      </w:r>
      <w:r w:rsidRPr="006B3DEC">
        <w:rPr>
          <w:vertAlign w:val="superscript"/>
        </w:rPr>
        <w:t>1,2</w:t>
      </w:r>
      <w:r w:rsidRPr="006B3DEC">
        <w:tab/>
        <w:t>, Andrew J. Larner</w:t>
      </w:r>
      <w:r w:rsidRPr="006B3DEC">
        <w:rPr>
          <w:vertAlign w:val="superscript"/>
        </w:rPr>
        <w:t>3</w:t>
      </w:r>
      <w:r w:rsidRPr="006B3DEC">
        <w:tab/>
      </w:r>
    </w:p>
    <w:p w14:paraId="2110A49D" w14:textId="77777777" w:rsidR="00462555" w:rsidRPr="006B3DEC" w:rsidRDefault="00462555" w:rsidP="00462555">
      <w:pPr>
        <w:spacing w:line="480" w:lineRule="auto"/>
      </w:pPr>
      <w:r w:rsidRPr="006B3DEC">
        <w:rPr>
          <w:vertAlign w:val="superscript"/>
        </w:rPr>
        <w:t xml:space="preserve">1 </w:t>
      </w:r>
      <w:r w:rsidRPr="006B3DEC">
        <w:t xml:space="preserve">Pharmacology and Therapeutics, Institute of Systems, Molecular and Integrative Biology, University of Liverpool, United Kingdom </w:t>
      </w:r>
    </w:p>
    <w:p w14:paraId="1687D1E3" w14:textId="77777777" w:rsidR="00462555" w:rsidRPr="006B3DEC" w:rsidRDefault="00462555" w:rsidP="00462555">
      <w:pPr>
        <w:spacing w:line="480" w:lineRule="auto"/>
      </w:pPr>
      <w:r w:rsidRPr="006B3DEC">
        <w:rPr>
          <w:vertAlign w:val="superscript"/>
        </w:rPr>
        <w:t>2</w:t>
      </w:r>
      <w:r w:rsidRPr="006B3DEC">
        <w:t xml:space="preserve"> Liverpool Centre for Cardiovascular Science, University of Liverpool and Liverpool Heart &amp; Chest Hospital, Liverpool, United Kingdom</w:t>
      </w:r>
    </w:p>
    <w:p w14:paraId="738BA370" w14:textId="77777777" w:rsidR="00462555" w:rsidRPr="006B3DEC" w:rsidRDefault="00462555" w:rsidP="00462555">
      <w:pPr>
        <w:spacing w:line="480" w:lineRule="auto"/>
      </w:pPr>
      <w:r w:rsidRPr="006B3DEC">
        <w:rPr>
          <w:vertAlign w:val="superscript"/>
        </w:rPr>
        <w:t>3</w:t>
      </w:r>
      <w:r w:rsidRPr="006B3DEC">
        <w:t xml:space="preserve"> Cognitive Function Clinic, The Walton Centre NHS Foundation Trust, Liverpool, United Kingdom</w:t>
      </w:r>
    </w:p>
    <w:p w14:paraId="4F0A05CF" w14:textId="77777777" w:rsidR="00462555" w:rsidRPr="006B3DEC" w:rsidRDefault="00462555" w:rsidP="00462555">
      <w:pPr>
        <w:spacing w:before="120" w:line="480" w:lineRule="auto"/>
      </w:pPr>
      <w:r w:rsidRPr="006B3DEC">
        <w:t>Correspondence: Dr Gashirai Mbizvo, Institute of Systems, Molecular and Integrative Biology, University of Liverpool, Biosciences Building, Crown Street, Liverpool, L69 7BE</w:t>
      </w:r>
    </w:p>
    <w:p w14:paraId="13BE8CAA" w14:textId="2D7637FF" w:rsidR="00462555" w:rsidRPr="006B3DEC" w:rsidRDefault="00462555" w:rsidP="00462555">
      <w:pPr>
        <w:rPr>
          <w:rStyle w:val="Hyperlink"/>
          <w:color w:val="auto"/>
        </w:rPr>
      </w:pPr>
      <w:r w:rsidRPr="006B3DEC">
        <w:t xml:space="preserve">Email:  </w:t>
      </w:r>
      <w:hyperlink r:id="rId7" w:history="1">
        <w:r w:rsidRPr="006B3DEC">
          <w:rPr>
            <w:rStyle w:val="Hyperlink"/>
            <w:color w:val="auto"/>
          </w:rPr>
          <w:t>Gashirai.Mbizvo@liverpool.ac.uk</w:t>
        </w:r>
      </w:hyperlink>
    </w:p>
    <w:p w14:paraId="2B4EEEDB" w14:textId="0E2E0A66" w:rsidR="00462555" w:rsidRPr="006B3DEC" w:rsidRDefault="00462555" w:rsidP="00462555">
      <w:pPr>
        <w:rPr>
          <w:b/>
          <w:bCs/>
        </w:rPr>
      </w:pPr>
    </w:p>
    <w:p w14:paraId="17519F6F" w14:textId="315E1787" w:rsidR="00462555" w:rsidRPr="006B3DEC" w:rsidRDefault="00462555" w:rsidP="00462555">
      <w:pPr>
        <w:rPr>
          <w:b/>
          <w:bCs/>
        </w:rPr>
      </w:pPr>
    </w:p>
    <w:p w14:paraId="01B96459" w14:textId="404B56B1" w:rsidR="00462555" w:rsidRPr="006B3DEC" w:rsidRDefault="00462555" w:rsidP="00462555">
      <w:pPr>
        <w:rPr>
          <w:b/>
          <w:bCs/>
        </w:rPr>
      </w:pPr>
    </w:p>
    <w:p w14:paraId="25498C29" w14:textId="1192D2CB" w:rsidR="00462555" w:rsidRPr="006B3DEC" w:rsidRDefault="00462555" w:rsidP="00462555">
      <w:pPr>
        <w:rPr>
          <w:b/>
          <w:bCs/>
        </w:rPr>
      </w:pPr>
    </w:p>
    <w:p w14:paraId="48AD7DAD" w14:textId="42BB3E13" w:rsidR="00462555" w:rsidRPr="006B3DEC" w:rsidRDefault="00462555" w:rsidP="00462555">
      <w:pPr>
        <w:rPr>
          <w:b/>
          <w:bCs/>
        </w:rPr>
      </w:pPr>
    </w:p>
    <w:p w14:paraId="24492BC8" w14:textId="26215912" w:rsidR="00462555" w:rsidRPr="006B3DEC" w:rsidRDefault="00462555" w:rsidP="00462555">
      <w:pPr>
        <w:rPr>
          <w:b/>
          <w:bCs/>
        </w:rPr>
      </w:pPr>
    </w:p>
    <w:p w14:paraId="6862D0F7" w14:textId="31F7943C" w:rsidR="00462555" w:rsidRPr="006B3DEC" w:rsidRDefault="00462555" w:rsidP="00462555">
      <w:pPr>
        <w:rPr>
          <w:b/>
          <w:bCs/>
        </w:rPr>
      </w:pPr>
    </w:p>
    <w:p w14:paraId="01FE88FC" w14:textId="1CD9CE17" w:rsidR="00462555" w:rsidRPr="006B3DEC" w:rsidRDefault="00462555" w:rsidP="00462555">
      <w:pPr>
        <w:rPr>
          <w:b/>
          <w:bCs/>
        </w:rPr>
      </w:pPr>
    </w:p>
    <w:p w14:paraId="6AC41814" w14:textId="7FDCB24B" w:rsidR="00462555" w:rsidRPr="006B3DEC" w:rsidRDefault="00462555" w:rsidP="00462555">
      <w:pPr>
        <w:rPr>
          <w:b/>
          <w:bCs/>
        </w:rPr>
      </w:pPr>
    </w:p>
    <w:p w14:paraId="50B0F130" w14:textId="2F21A7B7" w:rsidR="00462555" w:rsidRPr="006B3DEC" w:rsidRDefault="00462555" w:rsidP="00462555">
      <w:pPr>
        <w:rPr>
          <w:b/>
          <w:bCs/>
        </w:rPr>
      </w:pPr>
    </w:p>
    <w:p w14:paraId="392BD2D3" w14:textId="6143BD18" w:rsidR="00462555" w:rsidRPr="006B3DEC" w:rsidRDefault="00462555" w:rsidP="00462555">
      <w:pPr>
        <w:rPr>
          <w:b/>
          <w:bCs/>
        </w:rPr>
      </w:pPr>
    </w:p>
    <w:p w14:paraId="7EBA36C1" w14:textId="48D37FAD" w:rsidR="00462555" w:rsidRPr="006B3DEC" w:rsidRDefault="00462555" w:rsidP="00462555">
      <w:pPr>
        <w:rPr>
          <w:b/>
          <w:bCs/>
        </w:rPr>
      </w:pPr>
    </w:p>
    <w:p w14:paraId="74D5E989" w14:textId="4D6D16DE" w:rsidR="00462555" w:rsidRPr="006B3DEC" w:rsidRDefault="00462555" w:rsidP="00462555">
      <w:pPr>
        <w:rPr>
          <w:b/>
          <w:bCs/>
        </w:rPr>
      </w:pPr>
    </w:p>
    <w:p w14:paraId="6D132447" w14:textId="1263ABA3" w:rsidR="00462555" w:rsidRPr="006B3DEC" w:rsidRDefault="00462555" w:rsidP="00462555">
      <w:pPr>
        <w:rPr>
          <w:b/>
          <w:bCs/>
        </w:rPr>
      </w:pPr>
    </w:p>
    <w:p w14:paraId="14BC38CD" w14:textId="13DBC6E0" w:rsidR="00462555" w:rsidRPr="006B3DEC" w:rsidRDefault="00462555" w:rsidP="00462555">
      <w:pPr>
        <w:rPr>
          <w:b/>
          <w:bCs/>
        </w:rPr>
      </w:pPr>
    </w:p>
    <w:p w14:paraId="71692DE7" w14:textId="6B12EF66" w:rsidR="00462555" w:rsidRPr="006B3DEC" w:rsidRDefault="00462555" w:rsidP="00462555">
      <w:pPr>
        <w:rPr>
          <w:b/>
          <w:bCs/>
        </w:rPr>
      </w:pPr>
    </w:p>
    <w:p w14:paraId="50771F41" w14:textId="04F6DC8E" w:rsidR="00462555" w:rsidRPr="006B3DEC" w:rsidRDefault="00462555" w:rsidP="00462555">
      <w:pPr>
        <w:rPr>
          <w:b/>
          <w:bCs/>
        </w:rPr>
      </w:pPr>
    </w:p>
    <w:p w14:paraId="0D77E232" w14:textId="4B2D4AE4" w:rsidR="00462555" w:rsidRPr="006B3DEC" w:rsidRDefault="00462555" w:rsidP="00462555">
      <w:pPr>
        <w:rPr>
          <w:b/>
          <w:bCs/>
        </w:rPr>
      </w:pPr>
    </w:p>
    <w:p w14:paraId="239EE58C" w14:textId="21D8E1BC" w:rsidR="00462555" w:rsidRPr="006B3DEC" w:rsidRDefault="00462555" w:rsidP="00462555">
      <w:pPr>
        <w:rPr>
          <w:b/>
          <w:bCs/>
        </w:rPr>
      </w:pPr>
    </w:p>
    <w:p w14:paraId="1858B3C7" w14:textId="1DF5A1E7" w:rsidR="00462555" w:rsidRPr="006B3DEC" w:rsidRDefault="00462555" w:rsidP="00462555">
      <w:pPr>
        <w:rPr>
          <w:b/>
          <w:bCs/>
        </w:rPr>
      </w:pPr>
    </w:p>
    <w:p w14:paraId="7350CEC4" w14:textId="7E1929B7" w:rsidR="00462555" w:rsidRPr="006B3DEC" w:rsidRDefault="00462555" w:rsidP="00462555">
      <w:pPr>
        <w:rPr>
          <w:b/>
          <w:bCs/>
        </w:rPr>
      </w:pPr>
    </w:p>
    <w:p w14:paraId="26623CB4" w14:textId="21BF9C89" w:rsidR="00462555" w:rsidRPr="006B3DEC" w:rsidRDefault="00462555" w:rsidP="00462555">
      <w:pPr>
        <w:rPr>
          <w:b/>
          <w:bCs/>
        </w:rPr>
      </w:pPr>
    </w:p>
    <w:p w14:paraId="4EE4F0C3" w14:textId="3FF53D22" w:rsidR="00462555" w:rsidRPr="006B3DEC" w:rsidRDefault="00462555" w:rsidP="00462555">
      <w:pPr>
        <w:rPr>
          <w:b/>
          <w:bCs/>
        </w:rPr>
      </w:pPr>
    </w:p>
    <w:p w14:paraId="3E372874" w14:textId="6517C194" w:rsidR="00462555" w:rsidRPr="006B3DEC" w:rsidRDefault="00462555" w:rsidP="00462555">
      <w:pPr>
        <w:rPr>
          <w:b/>
          <w:bCs/>
        </w:rPr>
      </w:pPr>
    </w:p>
    <w:p w14:paraId="5B6A49FE" w14:textId="17A57F73" w:rsidR="00462555" w:rsidRPr="006B3DEC" w:rsidRDefault="00462555" w:rsidP="00462555">
      <w:pPr>
        <w:rPr>
          <w:b/>
          <w:bCs/>
        </w:rPr>
      </w:pPr>
    </w:p>
    <w:p w14:paraId="43172104" w14:textId="695A5FCE" w:rsidR="00462555" w:rsidRPr="006B3DEC" w:rsidRDefault="00462555" w:rsidP="00462555">
      <w:pPr>
        <w:rPr>
          <w:b/>
          <w:bCs/>
        </w:rPr>
      </w:pPr>
    </w:p>
    <w:p w14:paraId="4B1A5B5F" w14:textId="4D3016D0" w:rsidR="00462555" w:rsidRPr="006B3DEC" w:rsidRDefault="00462555" w:rsidP="00462555">
      <w:pPr>
        <w:rPr>
          <w:b/>
          <w:bCs/>
        </w:rPr>
      </w:pPr>
    </w:p>
    <w:p w14:paraId="48E81875" w14:textId="0AFF13C1" w:rsidR="00462555" w:rsidRPr="006B3DEC" w:rsidRDefault="00462555" w:rsidP="00462555">
      <w:pPr>
        <w:rPr>
          <w:b/>
          <w:bCs/>
        </w:rPr>
      </w:pPr>
    </w:p>
    <w:p w14:paraId="76A57F05" w14:textId="4606CD97" w:rsidR="00462555" w:rsidRPr="006B3DEC" w:rsidRDefault="00462555" w:rsidP="00462555">
      <w:pPr>
        <w:rPr>
          <w:b/>
          <w:bCs/>
        </w:rPr>
      </w:pPr>
    </w:p>
    <w:p w14:paraId="0E09ED8E" w14:textId="2DEB0FF1" w:rsidR="00462555" w:rsidRPr="006B3DEC" w:rsidRDefault="00462555" w:rsidP="00462555">
      <w:pPr>
        <w:rPr>
          <w:b/>
          <w:bCs/>
        </w:rPr>
      </w:pPr>
    </w:p>
    <w:p w14:paraId="2DCF6299" w14:textId="77777777" w:rsidR="00462555" w:rsidRPr="006B3DEC" w:rsidRDefault="00462555" w:rsidP="00462555">
      <w:pPr>
        <w:rPr>
          <w:b/>
          <w:bCs/>
        </w:rPr>
      </w:pPr>
    </w:p>
    <w:p w14:paraId="71E209E3" w14:textId="7E40B722" w:rsidR="001E434E" w:rsidRPr="006B3DEC" w:rsidRDefault="001E434E" w:rsidP="001E434E">
      <w:r w:rsidRPr="006B3DEC">
        <w:rPr>
          <w:b/>
          <w:bCs/>
        </w:rPr>
        <w:lastRenderedPageBreak/>
        <w:t>Abstract</w:t>
      </w:r>
    </w:p>
    <w:p w14:paraId="07A23990" w14:textId="7B2ECA09" w:rsidR="001E434E" w:rsidRPr="006B3DEC" w:rsidRDefault="00FD14F1" w:rsidP="001E434E">
      <w:pPr>
        <w:jc w:val="both"/>
      </w:pPr>
      <w:r w:rsidRPr="006B3DEC">
        <w:t xml:space="preserve">When analysing large datasets, suitable outcome measures are needed.  For example, in clinical medicine, we often want to know how well a test identifies people with or without a particular diagnosis.  Traditionally, this evaluation has been calculated in terms of Sensitivity and Specificity, and Positive and Negative Predictive Values (PPV, NPV), but many other test outcome measures are available.  Recently, a measure termed F* was described, as an interpretable transformation of the F measure.  The F measure is a unitary metric calculated as the harmonic mean of Sensitivity and PPV.  We show that F* is in fact identical to a previously described measure which is monotonically related to the F measure, and which has been variously named in previous publications as the ratio of verification, the Jaccard similarity measure or index, the threat score, the </w:t>
      </w:r>
      <w:proofErr w:type="spellStart"/>
      <w:r w:rsidRPr="006B3DEC">
        <w:t>Tanimoto</w:t>
      </w:r>
      <w:proofErr w:type="spellEnd"/>
      <w:r w:rsidRPr="006B3DEC">
        <w:t xml:space="preserve"> index, and the critical success index (CSI).  The origins of these different terms, which date from the late 19</w:t>
      </w:r>
      <w:r w:rsidRPr="006B3DEC">
        <w:rPr>
          <w:vertAlign w:val="superscript"/>
        </w:rPr>
        <w:t>th</w:t>
      </w:r>
      <w:r w:rsidRPr="006B3DEC">
        <w:t>-20</w:t>
      </w:r>
      <w:r w:rsidRPr="006B3DEC">
        <w:rPr>
          <w:vertAlign w:val="superscript"/>
        </w:rPr>
        <w:t>th</w:t>
      </w:r>
      <w:r w:rsidRPr="006B3DEC">
        <w:t xml:space="preserve"> century, in different scientific disciplines (weather forecasting, ecology, machine learning) may explain the repeated independent </w:t>
      </w:r>
      <w:proofErr w:type="spellStart"/>
      <w:r w:rsidRPr="006B3DEC">
        <w:t>redescription</w:t>
      </w:r>
      <w:proofErr w:type="spellEnd"/>
      <w:r w:rsidRPr="006B3DEC">
        <w:t xml:space="preserve"> of this measure. More recently, the advantages of applying CSI, a metric routinely used to verify weather forecast accuracy, have been demonstrated in medical diagnostic accuracy studies. </w:t>
      </w:r>
      <w:r w:rsidR="006E2891" w:rsidRPr="006B3DEC">
        <w:t xml:space="preserve"> </w:t>
      </w:r>
    </w:p>
    <w:p w14:paraId="7586F298" w14:textId="77777777" w:rsidR="001E434E" w:rsidRPr="006B3DEC" w:rsidRDefault="001E434E" w:rsidP="001E434E">
      <w:pPr>
        <w:spacing w:before="120"/>
        <w:jc w:val="both"/>
      </w:pPr>
      <w:r w:rsidRPr="006B3DEC">
        <w:rPr>
          <w:b/>
          <w:bCs/>
        </w:rPr>
        <w:t>Keywords:</w:t>
      </w:r>
      <w:r w:rsidRPr="006B3DEC">
        <w:t xml:space="preserve"> Binary classification; Critical success index; F measure; F*; Jaccard index</w:t>
      </w:r>
    </w:p>
    <w:p w14:paraId="45E62326" w14:textId="6227A8A7" w:rsidR="00396083" w:rsidRPr="006B3DEC" w:rsidRDefault="00396083" w:rsidP="001E434E">
      <w:pPr>
        <w:jc w:val="both"/>
      </w:pPr>
    </w:p>
    <w:p w14:paraId="7FE8FCFA" w14:textId="77777777" w:rsidR="00272DC5" w:rsidRPr="006B3DEC" w:rsidRDefault="00272DC5" w:rsidP="00272DC5">
      <w:pPr>
        <w:jc w:val="both"/>
        <w:rPr>
          <w:b/>
          <w:bCs/>
          <w:snapToGrid w:val="0"/>
          <w:lang w:eastAsia="en-US"/>
        </w:rPr>
      </w:pPr>
      <w:r w:rsidRPr="006B3DEC">
        <w:rPr>
          <w:b/>
          <w:bCs/>
          <w:snapToGrid w:val="0"/>
          <w:lang w:eastAsia="en-US"/>
        </w:rPr>
        <w:t>Plain language summary</w:t>
      </w:r>
    </w:p>
    <w:p w14:paraId="283DF2B1" w14:textId="28C63D73" w:rsidR="00272DC5" w:rsidRPr="006B3DEC" w:rsidRDefault="00272DC5" w:rsidP="00272DC5">
      <w:pPr>
        <w:shd w:val="clear" w:color="auto" w:fill="FFFFFF"/>
        <w:jc w:val="both"/>
        <w:rPr>
          <w:snapToGrid w:val="0"/>
          <w:lang w:eastAsia="en-US"/>
        </w:rPr>
      </w:pPr>
      <w:r w:rsidRPr="006B3DEC">
        <w:rPr>
          <w:snapToGrid w:val="0"/>
          <w:lang w:eastAsia="en-US"/>
        </w:rPr>
        <w:t>When medical studies have collected large amounts of health data on people classified in the data as having a particular disease, it may often be difficult to “</w:t>
      </w:r>
      <w:r w:rsidRPr="006B3DEC">
        <w:t xml:space="preserve">see the wood from the trees” in terms of being sure that that disease classification is actually correct for each person in the dataset. Therefore, it is important that researchers first verify the disease classification accuracy of the data against an external “gold standard” source of information holding the correct diagnosis. This is usually a patient’s medical records. A comparison of the health data disease classification against the medical records diagnosis generates various measures of disease classification accuracy, all of which have advantages and disadvantages as verification measures.  Here, </w:t>
      </w:r>
      <w:r w:rsidRPr="006B3DEC">
        <w:rPr>
          <w:snapToGrid w:val="0"/>
          <w:lang w:eastAsia="en-US"/>
        </w:rPr>
        <w:t xml:space="preserve">we examine a verification measure which has recently been characterised as “F*”.  It turns out, in fact, as shown by elementary mathematical techniques, that F* is not novel; having been previously described under different names for more than a century in various scientific disciplines </w:t>
      </w:r>
      <w:r w:rsidRPr="006B3DEC">
        <w:t>(weather forecasting, ecology, machine learning)</w:t>
      </w:r>
      <w:r w:rsidRPr="006B3DEC">
        <w:rPr>
          <w:snapToGrid w:val="0"/>
          <w:lang w:eastAsia="en-US"/>
        </w:rPr>
        <w:t xml:space="preserve">.  Our preference is to call this measure the “critical success index” (CSI).  It is a single measure which, in clinical medicine, combines information about the classification performance with respect to both test and patient.  It is easy to calculate, simple to use, and to interpret (higher values are better). </w:t>
      </w:r>
    </w:p>
    <w:p w14:paraId="2B0F4669" w14:textId="6B942B1E" w:rsidR="00443038" w:rsidRPr="006B3DEC" w:rsidRDefault="00443038" w:rsidP="00272DC5">
      <w:pPr>
        <w:jc w:val="both"/>
      </w:pPr>
    </w:p>
    <w:p w14:paraId="2E470E4B" w14:textId="76FC1867" w:rsidR="00272DC5" w:rsidRPr="006B3DEC" w:rsidRDefault="00272DC5" w:rsidP="00272DC5">
      <w:pPr>
        <w:jc w:val="both"/>
      </w:pPr>
    </w:p>
    <w:p w14:paraId="40411A5C" w14:textId="1C9D077A" w:rsidR="00272DC5" w:rsidRPr="006B3DEC" w:rsidRDefault="00272DC5" w:rsidP="00272DC5">
      <w:pPr>
        <w:jc w:val="both"/>
      </w:pPr>
    </w:p>
    <w:p w14:paraId="4F3494CF" w14:textId="2F3D9999" w:rsidR="00272DC5" w:rsidRPr="006B3DEC" w:rsidRDefault="00272DC5" w:rsidP="00272DC5">
      <w:pPr>
        <w:jc w:val="both"/>
      </w:pPr>
    </w:p>
    <w:p w14:paraId="693A5899" w14:textId="7E65D380" w:rsidR="00272DC5" w:rsidRPr="006B3DEC" w:rsidRDefault="00272DC5" w:rsidP="00272DC5">
      <w:pPr>
        <w:jc w:val="both"/>
      </w:pPr>
    </w:p>
    <w:p w14:paraId="236FC140" w14:textId="11556F85" w:rsidR="00272DC5" w:rsidRPr="006B3DEC" w:rsidRDefault="00272DC5" w:rsidP="00272DC5">
      <w:pPr>
        <w:jc w:val="both"/>
      </w:pPr>
    </w:p>
    <w:p w14:paraId="15A40ECC" w14:textId="51D8548B" w:rsidR="00272DC5" w:rsidRPr="006B3DEC" w:rsidRDefault="00272DC5" w:rsidP="00272DC5">
      <w:pPr>
        <w:jc w:val="both"/>
      </w:pPr>
    </w:p>
    <w:p w14:paraId="73302751" w14:textId="5D843958" w:rsidR="00272DC5" w:rsidRPr="006B3DEC" w:rsidRDefault="00272DC5" w:rsidP="00272DC5">
      <w:pPr>
        <w:jc w:val="both"/>
      </w:pPr>
    </w:p>
    <w:p w14:paraId="3498BF8F" w14:textId="62F99B93" w:rsidR="00272DC5" w:rsidRPr="006B3DEC" w:rsidRDefault="00272DC5" w:rsidP="00272DC5">
      <w:pPr>
        <w:jc w:val="both"/>
      </w:pPr>
    </w:p>
    <w:p w14:paraId="1CD2534F" w14:textId="4BD2CFAC" w:rsidR="00272DC5" w:rsidRPr="006B3DEC" w:rsidRDefault="00272DC5" w:rsidP="00272DC5">
      <w:pPr>
        <w:jc w:val="both"/>
      </w:pPr>
    </w:p>
    <w:p w14:paraId="7175C862" w14:textId="4E953BB5" w:rsidR="00272DC5" w:rsidRPr="006B3DEC" w:rsidRDefault="00272DC5" w:rsidP="00272DC5">
      <w:pPr>
        <w:jc w:val="both"/>
      </w:pPr>
    </w:p>
    <w:p w14:paraId="4E205C01" w14:textId="4A76769E" w:rsidR="00272DC5" w:rsidRPr="006B3DEC" w:rsidRDefault="00272DC5" w:rsidP="00272DC5">
      <w:pPr>
        <w:jc w:val="both"/>
      </w:pPr>
    </w:p>
    <w:p w14:paraId="3DB16696" w14:textId="59B96481" w:rsidR="00272DC5" w:rsidRPr="006B3DEC" w:rsidRDefault="00272DC5" w:rsidP="00272DC5">
      <w:pPr>
        <w:jc w:val="both"/>
      </w:pPr>
    </w:p>
    <w:p w14:paraId="385184CD" w14:textId="2A608171" w:rsidR="00272DC5" w:rsidRPr="006B3DEC" w:rsidRDefault="00272DC5" w:rsidP="00272DC5">
      <w:pPr>
        <w:jc w:val="both"/>
      </w:pPr>
    </w:p>
    <w:p w14:paraId="5352A524" w14:textId="24962ECC" w:rsidR="00272DC5" w:rsidRPr="006B3DEC" w:rsidRDefault="00272DC5" w:rsidP="00272DC5">
      <w:pPr>
        <w:jc w:val="both"/>
      </w:pPr>
    </w:p>
    <w:p w14:paraId="308DFDFC" w14:textId="53936A91" w:rsidR="00272DC5" w:rsidRPr="006B3DEC" w:rsidRDefault="00272DC5" w:rsidP="00272DC5">
      <w:pPr>
        <w:jc w:val="both"/>
      </w:pPr>
    </w:p>
    <w:p w14:paraId="596C1B3C" w14:textId="77777777" w:rsidR="00201F32" w:rsidRPr="006B3DEC" w:rsidRDefault="00201F32" w:rsidP="00272DC5">
      <w:pPr>
        <w:jc w:val="both"/>
      </w:pPr>
    </w:p>
    <w:p w14:paraId="33C41026" w14:textId="03AC5C06" w:rsidR="00272DC5" w:rsidRPr="006B3DEC" w:rsidRDefault="00272DC5" w:rsidP="00272DC5">
      <w:pPr>
        <w:jc w:val="both"/>
      </w:pPr>
    </w:p>
    <w:p w14:paraId="0652F9F8" w14:textId="77777777" w:rsidR="00272DC5" w:rsidRPr="006B3DEC" w:rsidRDefault="00272DC5" w:rsidP="00272DC5">
      <w:pPr>
        <w:jc w:val="both"/>
      </w:pPr>
    </w:p>
    <w:p w14:paraId="4590C28B" w14:textId="77777777" w:rsidR="00272DC5" w:rsidRPr="006B3DEC" w:rsidRDefault="00272DC5" w:rsidP="00272DC5">
      <w:pPr>
        <w:jc w:val="both"/>
      </w:pPr>
    </w:p>
    <w:p w14:paraId="3CBFE87F" w14:textId="77777777" w:rsidR="001E434E" w:rsidRPr="006B3DEC" w:rsidRDefault="001E434E" w:rsidP="00272DC5">
      <w:pPr>
        <w:pStyle w:val="ListParagraph"/>
        <w:numPr>
          <w:ilvl w:val="0"/>
          <w:numId w:val="10"/>
        </w:numPr>
        <w:jc w:val="both"/>
        <w:rPr>
          <w:b/>
          <w:bCs/>
        </w:rPr>
      </w:pPr>
      <w:r w:rsidRPr="006B3DEC">
        <w:rPr>
          <w:b/>
          <w:bCs/>
        </w:rPr>
        <w:lastRenderedPageBreak/>
        <w:t>Introduction</w:t>
      </w:r>
    </w:p>
    <w:p w14:paraId="7C0B0A1B" w14:textId="77777777" w:rsidR="005E3CB0" w:rsidRPr="006B3DEC" w:rsidRDefault="0068456B" w:rsidP="00272DC5">
      <w:pPr>
        <w:shd w:val="clear" w:color="auto" w:fill="FFFFFF"/>
        <w:jc w:val="both"/>
      </w:pPr>
      <w:r w:rsidRPr="006B3DEC">
        <w:t xml:space="preserve">We live in the age of “Big Data”.  However, the question of how best to </w:t>
      </w:r>
      <w:r w:rsidR="00396083" w:rsidRPr="006B3DEC">
        <w:t xml:space="preserve">“mine” these data to extract </w:t>
      </w:r>
      <w:r w:rsidR="00396083" w:rsidRPr="006B3DEC">
        <w:rPr>
          <w:snapToGrid w:val="0"/>
          <w:lang w:eastAsia="en-US"/>
        </w:rPr>
        <w:t xml:space="preserve">what “really matters”, in terms of </w:t>
      </w:r>
      <w:r w:rsidR="005E3CB0" w:rsidRPr="006B3DEC">
        <w:rPr>
          <w:snapToGrid w:val="0"/>
          <w:lang w:eastAsia="en-US"/>
        </w:rPr>
        <w:t xml:space="preserve">correct identification of items being searched for, or </w:t>
      </w:r>
      <w:r w:rsidR="00396083" w:rsidRPr="006B3DEC">
        <w:rPr>
          <w:snapToGrid w:val="0"/>
          <w:lang w:eastAsia="en-US"/>
        </w:rPr>
        <w:t>guiding future actions or interventions based on the aggregate data</w:t>
      </w:r>
      <w:r w:rsidRPr="006B3DEC">
        <w:t>, remains to be resolved.  Is there a single measure</w:t>
      </w:r>
      <w:r w:rsidR="00396083" w:rsidRPr="006B3DEC">
        <w:t xml:space="preserve">, </w:t>
      </w:r>
      <w:r w:rsidRPr="006B3DEC">
        <w:t xml:space="preserve">or a minimum set </w:t>
      </w:r>
      <w:r w:rsidRPr="006B3DEC">
        <w:rPr>
          <w:snapToGrid w:val="0"/>
          <w:lang w:eastAsia="en-US"/>
        </w:rPr>
        <w:t>of measures</w:t>
      </w:r>
      <w:r w:rsidR="00396083" w:rsidRPr="006B3DEC">
        <w:rPr>
          <w:snapToGrid w:val="0"/>
          <w:lang w:eastAsia="en-US"/>
        </w:rPr>
        <w:t>,</w:t>
      </w:r>
      <w:r w:rsidRPr="006B3DEC">
        <w:rPr>
          <w:snapToGrid w:val="0"/>
          <w:lang w:eastAsia="en-US"/>
        </w:rPr>
        <w:t xml:space="preserve"> which can </w:t>
      </w:r>
      <w:r w:rsidR="00396083" w:rsidRPr="006B3DEC">
        <w:rPr>
          <w:snapToGrid w:val="0"/>
          <w:lang w:eastAsia="en-US"/>
        </w:rPr>
        <w:t xml:space="preserve">meaningfully </w:t>
      </w:r>
      <w:r w:rsidR="00396083" w:rsidRPr="006B3DEC">
        <w:t xml:space="preserve">evaluate large amounts of data?  What methods should be used?  </w:t>
      </w:r>
    </w:p>
    <w:p w14:paraId="7963F736" w14:textId="77777777" w:rsidR="005E3CB0" w:rsidRPr="006B3DEC" w:rsidRDefault="005E3CB0" w:rsidP="00272DC5">
      <w:pPr>
        <w:shd w:val="clear" w:color="auto" w:fill="FFFFFF"/>
        <w:jc w:val="both"/>
      </w:pPr>
    </w:p>
    <w:p w14:paraId="60779DFB" w14:textId="7CABA975" w:rsidR="0068456B" w:rsidRPr="006B3DEC" w:rsidRDefault="0068456B" w:rsidP="00272DC5">
      <w:pPr>
        <w:shd w:val="clear" w:color="auto" w:fill="FFFFFF"/>
        <w:jc w:val="both"/>
      </w:pPr>
      <w:r w:rsidRPr="006B3DEC">
        <w:rPr>
          <w:snapToGrid w:val="0"/>
          <w:lang w:eastAsia="en-US"/>
        </w:rPr>
        <w:t>For example, i</w:t>
      </w:r>
      <w:r w:rsidRPr="006B3DEC">
        <w:t>n medical practice</w:t>
      </w:r>
      <w:r w:rsidR="0088739A" w:rsidRPr="006B3DEC">
        <w:t>,</w:t>
      </w:r>
      <w:r w:rsidRPr="006B3DEC">
        <w:t xml:space="preserve"> diagnostic and screening accuracy studies of clinical investigations or, increasingly, of diagnostic algorithms are often reported using </w:t>
      </w:r>
      <w:r w:rsidR="005E3CB0" w:rsidRPr="006B3DEC">
        <w:t xml:space="preserve">some of </w:t>
      </w:r>
      <w:r w:rsidRPr="006B3DEC">
        <w:t>the many measures which may be derived from a standard 2x2 contingency table</w:t>
      </w:r>
      <w:r w:rsidR="0088739A" w:rsidRPr="006B3DEC">
        <w:t xml:space="preserve">. This </w:t>
      </w:r>
      <w:r w:rsidRPr="006B3DEC">
        <w:t>cross-classifies actual and predicted classes</w:t>
      </w:r>
      <w:r w:rsidR="0088739A" w:rsidRPr="006B3DEC">
        <w:t xml:space="preserve"> of the diagnosis</w:t>
      </w:r>
      <w:r w:rsidRPr="006B3DEC">
        <w:t>.</w:t>
      </w:r>
      <w:r w:rsidRPr="006B3DEC">
        <w:rPr>
          <w:vertAlign w:val="superscript"/>
        </w:rPr>
        <w:t>1</w:t>
      </w:r>
      <w:r w:rsidRPr="006B3DEC">
        <w:t xml:space="preserve">  Typically, these outcomes include paired measures of diagnostic or screening classification by the test, Sensitivity </w:t>
      </w:r>
      <w:r w:rsidR="00396083" w:rsidRPr="006B3DEC">
        <w:t xml:space="preserve">(Sens) </w:t>
      </w:r>
      <w:r w:rsidRPr="006B3DEC">
        <w:t>and Specificity</w:t>
      </w:r>
      <w:r w:rsidR="00396083" w:rsidRPr="006B3DEC">
        <w:t xml:space="preserve"> (Spec)</w:t>
      </w:r>
      <w:r w:rsidRPr="006B3DEC">
        <w:t xml:space="preserve">, and paired measures of classification of the patient, Positive and Negative Predictive Values (PPV, NPV).  All of these are recognised to have potential shortcomings as outcome measures.  A single, unitary or global measure which combines information relevant to both test and patient classification may </w:t>
      </w:r>
      <w:r w:rsidR="005E3CB0" w:rsidRPr="006B3DEC">
        <w:t xml:space="preserve">thus </w:t>
      </w:r>
      <w:r w:rsidRPr="006B3DEC">
        <w:t>be desirable.</w:t>
      </w:r>
    </w:p>
    <w:p w14:paraId="19D13A36" w14:textId="77777777" w:rsidR="0068456B" w:rsidRPr="006B3DEC" w:rsidRDefault="0068456B" w:rsidP="00272DC5">
      <w:pPr>
        <w:jc w:val="both"/>
      </w:pPr>
    </w:p>
    <w:p w14:paraId="29471FB6" w14:textId="3E912E11" w:rsidR="001E434E" w:rsidRPr="006B3DEC" w:rsidRDefault="001E434E" w:rsidP="00272DC5">
      <w:pPr>
        <w:jc w:val="both"/>
        <w:rPr>
          <w:snapToGrid w:val="0"/>
          <w:lang w:eastAsia="en-US"/>
        </w:rPr>
      </w:pPr>
      <w:r w:rsidRPr="006B3DEC">
        <w:t xml:space="preserve">One </w:t>
      </w:r>
      <w:r w:rsidR="0068456B" w:rsidRPr="006B3DEC">
        <w:t>such measure</w:t>
      </w:r>
      <w:r w:rsidRPr="006B3DEC">
        <w:t xml:space="preserve"> is the F measure, </w:t>
      </w:r>
      <w:r w:rsidRPr="006B3DEC">
        <w:rPr>
          <w:snapToGrid w:val="0"/>
          <w:lang w:eastAsia="en-US"/>
        </w:rPr>
        <w:t>defined as the harmonic mean of PPV</w:t>
      </w:r>
      <w:r w:rsidR="0068456B" w:rsidRPr="006B3DEC">
        <w:rPr>
          <w:snapToGrid w:val="0"/>
          <w:lang w:eastAsia="en-US"/>
        </w:rPr>
        <w:t xml:space="preserve"> (also known as precision</w:t>
      </w:r>
      <w:r w:rsidRPr="006B3DEC">
        <w:rPr>
          <w:snapToGrid w:val="0"/>
          <w:lang w:eastAsia="en-US"/>
        </w:rPr>
        <w:t>) and Sens</w:t>
      </w:r>
      <w:r w:rsidR="00396083" w:rsidRPr="006B3DEC">
        <w:rPr>
          <w:snapToGrid w:val="0"/>
          <w:lang w:eastAsia="en-US"/>
        </w:rPr>
        <w:t xml:space="preserve"> (</w:t>
      </w:r>
      <w:r w:rsidR="0068456B" w:rsidRPr="006B3DEC">
        <w:rPr>
          <w:snapToGrid w:val="0"/>
          <w:lang w:eastAsia="en-US"/>
        </w:rPr>
        <w:t>also known as recall</w:t>
      </w:r>
      <w:r w:rsidRPr="006B3DEC">
        <w:rPr>
          <w:snapToGrid w:val="0"/>
          <w:lang w:eastAsia="en-US"/>
        </w:rPr>
        <w:t>).</w:t>
      </w:r>
      <w:r w:rsidRPr="006B3DEC">
        <w:rPr>
          <w:snapToGrid w:val="0"/>
          <w:vertAlign w:val="superscript"/>
          <w:lang w:eastAsia="en-US"/>
        </w:rPr>
        <w:t>2</w:t>
      </w:r>
      <w:r w:rsidRPr="006B3DEC">
        <w:rPr>
          <w:snapToGrid w:val="0"/>
          <w:lang w:eastAsia="en-US"/>
        </w:rPr>
        <w:t xml:space="preserve">  This </w:t>
      </w:r>
      <w:r w:rsidR="0068456B" w:rsidRPr="006B3DEC">
        <w:rPr>
          <w:snapToGrid w:val="0"/>
          <w:lang w:eastAsia="en-US"/>
        </w:rPr>
        <w:t xml:space="preserve">measure </w:t>
      </w:r>
      <w:r w:rsidRPr="006B3DEC">
        <w:rPr>
          <w:snapToGrid w:val="0"/>
          <w:lang w:eastAsia="en-US"/>
        </w:rPr>
        <w:t xml:space="preserve">corresponds to the </w:t>
      </w:r>
      <w:r w:rsidRPr="006B3DEC">
        <w:t xml:space="preserve">coefficient </w:t>
      </w:r>
      <w:r w:rsidR="0068456B" w:rsidRPr="006B3DEC">
        <w:t xml:space="preserve">previously </w:t>
      </w:r>
      <w:r w:rsidRPr="006B3DEC">
        <w:t>described by Dice</w:t>
      </w:r>
      <w:r w:rsidR="005E3CB0" w:rsidRPr="006B3DEC">
        <w:t>,</w:t>
      </w:r>
      <w:r w:rsidRPr="006B3DEC">
        <w:rPr>
          <w:snapToGrid w:val="0"/>
          <w:vertAlign w:val="superscript"/>
          <w:lang w:eastAsia="en-US"/>
        </w:rPr>
        <w:t>3</w:t>
      </w:r>
      <w:r w:rsidRPr="006B3DEC">
        <w:rPr>
          <w:snapToGrid w:val="0"/>
          <w:lang w:eastAsia="en-US"/>
        </w:rPr>
        <w:t xml:space="preserve"> and independently by Sørensen,</w:t>
      </w:r>
      <w:r w:rsidRPr="006B3DEC">
        <w:rPr>
          <w:snapToGrid w:val="0"/>
          <w:vertAlign w:val="superscript"/>
          <w:lang w:eastAsia="en-US"/>
        </w:rPr>
        <w:t>4</w:t>
      </w:r>
      <w:r w:rsidRPr="006B3DEC">
        <w:rPr>
          <w:snapToGrid w:val="0"/>
          <w:lang w:eastAsia="en-US"/>
        </w:rPr>
        <w:t xml:space="preserve"> </w:t>
      </w:r>
      <w:r w:rsidR="0068456B" w:rsidRPr="006B3DEC">
        <w:rPr>
          <w:snapToGrid w:val="0"/>
          <w:lang w:eastAsia="en-US"/>
        </w:rPr>
        <w:t xml:space="preserve">hence </w:t>
      </w:r>
      <w:r w:rsidRPr="006B3DEC">
        <w:rPr>
          <w:snapToGrid w:val="0"/>
          <w:lang w:eastAsia="en-US"/>
        </w:rPr>
        <w:t xml:space="preserve">sometimes known as the Dice coefficient or the </w:t>
      </w:r>
      <w:proofErr w:type="spellStart"/>
      <w:r w:rsidRPr="006B3DEC">
        <w:rPr>
          <w:snapToGrid w:val="0"/>
          <w:lang w:eastAsia="en-US"/>
        </w:rPr>
        <w:t>Sørensen</w:t>
      </w:r>
      <w:proofErr w:type="spellEnd"/>
      <w:r w:rsidRPr="006B3DEC">
        <w:rPr>
          <w:snapToGrid w:val="0"/>
          <w:lang w:eastAsia="en-US"/>
        </w:rPr>
        <w:t>-Dice coefficient, and to the approach advocated by van Rijsbergen.</w:t>
      </w:r>
      <w:r w:rsidRPr="006B3DEC">
        <w:rPr>
          <w:snapToGrid w:val="0"/>
          <w:vertAlign w:val="superscript"/>
          <w:lang w:eastAsia="en-US"/>
        </w:rPr>
        <w:t>5</w:t>
      </w:r>
    </w:p>
    <w:p w14:paraId="28985F36" w14:textId="77777777" w:rsidR="001E434E" w:rsidRPr="006B3DEC" w:rsidRDefault="001E434E" w:rsidP="00272DC5">
      <w:pPr>
        <w:jc w:val="both"/>
        <w:rPr>
          <w:snapToGrid w:val="0"/>
          <w:lang w:eastAsia="en-US"/>
        </w:rPr>
      </w:pPr>
    </w:p>
    <w:p w14:paraId="78896924" w14:textId="5DF223F2" w:rsidR="001E434E" w:rsidRPr="006B3DEC" w:rsidRDefault="001E434E" w:rsidP="00272DC5">
      <w:pPr>
        <w:jc w:val="both"/>
        <w:rPr>
          <w:bCs/>
        </w:rPr>
      </w:pPr>
      <w:r w:rsidRPr="006B3DEC">
        <w:rPr>
          <w:bCs/>
        </w:rPr>
        <w:t>In terms of the base data from a 2x2 contingency table containing N elements with four degrees of freedom</w:t>
      </w:r>
      <w:r w:rsidR="00DC4193" w:rsidRPr="006B3DEC">
        <w:rPr>
          <w:bCs/>
        </w:rPr>
        <w:t xml:space="preserve">, </w:t>
      </w:r>
      <w:r w:rsidR="00396083" w:rsidRPr="006B3DEC">
        <w:rPr>
          <w:bCs/>
        </w:rPr>
        <w:t>the following four classifications may be made:</w:t>
      </w:r>
      <w:r w:rsidRPr="006B3DEC">
        <w:rPr>
          <w:bCs/>
        </w:rPr>
        <w:t xml:space="preserve"> TP = true positive</w:t>
      </w:r>
      <w:r w:rsidR="00DC4193" w:rsidRPr="006B3DEC">
        <w:rPr>
          <w:bCs/>
        </w:rPr>
        <w:t xml:space="preserve"> (or a “hit”</w:t>
      </w:r>
      <w:r w:rsidR="00E5228D" w:rsidRPr="006B3DEC">
        <w:rPr>
          <w:bCs/>
        </w:rPr>
        <w:t xml:space="preserve"> or “true hit”</w:t>
      </w:r>
      <w:r w:rsidR="00DC4193" w:rsidRPr="006B3DEC">
        <w:rPr>
          <w:bCs/>
        </w:rPr>
        <w:t>)</w:t>
      </w:r>
      <w:r w:rsidRPr="006B3DEC">
        <w:rPr>
          <w:bCs/>
        </w:rPr>
        <w:t>, FP = false positive</w:t>
      </w:r>
      <w:r w:rsidR="00DC4193" w:rsidRPr="006B3DEC">
        <w:rPr>
          <w:bCs/>
        </w:rPr>
        <w:t xml:space="preserve"> (or “false hit” or “false alarm”)</w:t>
      </w:r>
      <w:r w:rsidRPr="006B3DEC">
        <w:rPr>
          <w:bCs/>
        </w:rPr>
        <w:t>, FN = false negative</w:t>
      </w:r>
      <w:r w:rsidR="00DC4193" w:rsidRPr="006B3DEC">
        <w:rPr>
          <w:bCs/>
        </w:rPr>
        <w:t xml:space="preserve"> (or a “miss”)</w:t>
      </w:r>
      <w:r w:rsidRPr="006B3DEC">
        <w:rPr>
          <w:bCs/>
        </w:rPr>
        <w:t xml:space="preserve">, </w:t>
      </w:r>
      <w:r w:rsidR="00DC4193" w:rsidRPr="006B3DEC">
        <w:rPr>
          <w:bCs/>
        </w:rPr>
        <w:t xml:space="preserve">and </w:t>
      </w:r>
      <w:r w:rsidRPr="006B3DEC">
        <w:rPr>
          <w:bCs/>
        </w:rPr>
        <w:t>TN = true negative</w:t>
      </w:r>
      <w:r w:rsidR="00DC4193" w:rsidRPr="006B3DEC">
        <w:rPr>
          <w:bCs/>
        </w:rPr>
        <w:t xml:space="preserve"> (</w:t>
      </w:r>
      <w:r w:rsidR="005165D9" w:rsidRPr="006B3DEC">
        <w:t>or a “non-event” or “correct rejection”</w:t>
      </w:r>
      <w:r w:rsidRPr="006B3DEC">
        <w:rPr>
          <w:bCs/>
        </w:rPr>
        <w:t>)</w:t>
      </w:r>
      <w:r w:rsidR="00396083" w:rsidRPr="006B3DEC">
        <w:rPr>
          <w:bCs/>
        </w:rPr>
        <w:t>.  From these:</w:t>
      </w:r>
    </w:p>
    <w:p w14:paraId="4A9371B4" w14:textId="77777777" w:rsidR="001E434E" w:rsidRPr="006B3DEC" w:rsidRDefault="001E434E" w:rsidP="00272DC5">
      <w:pPr>
        <w:jc w:val="both"/>
        <w:rPr>
          <w:bCs/>
        </w:rPr>
      </w:pPr>
    </w:p>
    <w:p w14:paraId="157DE853" w14:textId="77777777" w:rsidR="001E434E" w:rsidRPr="006B3DEC" w:rsidRDefault="001E434E" w:rsidP="00272DC5">
      <w:pPr>
        <w:ind w:firstLine="720"/>
        <w:jc w:val="both"/>
        <w:rPr>
          <w:bCs/>
        </w:rPr>
      </w:pPr>
      <w:r w:rsidRPr="006B3DEC">
        <w:rPr>
          <w:bCs/>
        </w:rPr>
        <w:t>F</w:t>
      </w:r>
      <w:r w:rsidRPr="006B3DEC">
        <w:rPr>
          <w:bCs/>
        </w:rPr>
        <w:tab/>
        <w:t>=</w:t>
      </w:r>
      <w:r w:rsidRPr="006B3DEC">
        <w:rPr>
          <w:bCs/>
        </w:rPr>
        <w:tab/>
        <w:t>2.TP/(2.TP + FP + FN)</w:t>
      </w:r>
    </w:p>
    <w:p w14:paraId="1A467B24" w14:textId="77777777" w:rsidR="001E434E" w:rsidRPr="006B3DEC" w:rsidRDefault="001E434E" w:rsidP="00272DC5">
      <w:pPr>
        <w:jc w:val="both"/>
        <w:rPr>
          <w:bCs/>
        </w:rPr>
      </w:pPr>
    </w:p>
    <w:p w14:paraId="1CEED664" w14:textId="6DC7A4FE" w:rsidR="001E434E" w:rsidRPr="006B3DEC" w:rsidRDefault="005165D9" w:rsidP="00272DC5">
      <w:pPr>
        <w:jc w:val="both"/>
        <w:rPr>
          <w:bCs/>
        </w:rPr>
      </w:pPr>
      <w:r w:rsidRPr="006B3DEC">
        <w:rPr>
          <w:bCs/>
        </w:rPr>
        <w:t xml:space="preserve">This may also be expressed </w:t>
      </w:r>
      <w:r w:rsidR="001E434E" w:rsidRPr="006B3DEC">
        <w:rPr>
          <w:bCs/>
        </w:rPr>
        <w:t>in terms of PPV and Sens</w:t>
      </w:r>
      <w:r w:rsidR="00E5228D" w:rsidRPr="006B3DEC">
        <w:rPr>
          <w:bCs/>
        </w:rPr>
        <w:t>, as</w:t>
      </w:r>
      <w:r w:rsidR="001E434E" w:rsidRPr="006B3DEC">
        <w:rPr>
          <w:bCs/>
        </w:rPr>
        <w:t>:</w:t>
      </w:r>
    </w:p>
    <w:p w14:paraId="11A38AA8" w14:textId="77777777" w:rsidR="001E434E" w:rsidRPr="006B3DEC" w:rsidRDefault="001E434E" w:rsidP="00272DC5">
      <w:pPr>
        <w:jc w:val="both"/>
        <w:rPr>
          <w:bCs/>
        </w:rPr>
      </w:pPr>
    </w:p>
    <w:p w14:paraId="4A0AF7B8" w14:textId="77777777" w:rsidR="001E434E" w:rsidRPr="006B3DEC" w:rsidRDefault="001E434E" w:rsidP="00272DC5">
      <w:pPr>
        <w:pStyle w:val="NormalWeb"/>
        <w:spacing w:before="0" w:beforeAutospacing="0" w:after="0" w:afterAutospacing="0"/>
        <w:ind w:firstLine="720"/>
        <w:jc w:val="both"/>
      </w:pPr>
      <w:r w:rsidRPr="006B3DEC">
        <w:t>F</w:t>
      </w:r>
      <w:r w:rsidRPr="006B3DEC">
        <w:tab/>
        <w:t>=</w:t>
      </w:r>
      <w:r w:rsidRPr="006B3DEC">
        <w:tab/>
        <w:t>2.PPV.Sens/(PPV + Sens)</w:t>
      </w:r>
    </w:p>
    <w:p w14:paraId="21CE1986" w14:textId="77777777" w:rsidR="001E434E" w:rsidRPr="006B3DEC" w:rsidRDefault="001E434E" w:rsidP="00272DC5">
      <w:pPr>
        <w:pStyle w:val="NormalWeb"/>
        <w:spacing w:before="0" w:beforeAutospacing="0" w:after="0" w:afterAutospacing="0"/>
        <w:ind w:left="720" w:firstLine="720"/>
        <w:jc w:val="both"/>
      </w:pPr>
      <w:r w:rsidRPr="006B3DEC">
        <w:t>=</w:t>
      </w:r>
      <w:r w:rsidRPr="006B3DEC">
        <w:tab/>
        <w:t>2/[1/Sens + 1/PPV]</w:t>
      </w:r>
    </w:p>
    <w:p w14:paraId="7AB5EEAF" w14:textId="77777777" w:rsidR="001E434E" w:rsidRPr="006B3DEC" w:rsidRDefault="001E434E" w:rsidP="00272DC5">
      <w:pPr>
        <w:jc w:val="both"/>
        <w:rPr>
          <w:bCs/>
        </w:rPr>
      </w:pPr>
    </w:p>
    <w:p w14:paraId="3092BAF1" w14:textId="77777777" w:rsidR="001E434E" w:rsidRPr="006B3DEC" w:rsidRDefault="001E434E" w:rsidP="00272DC5">
      <w:pPr>
        <w:jc w:val="both"/>
        <w:rPr>
          <w:bCs/>
        </w:rPr>
      </w:pPr>
      <w:r w:rsidRPr="006B3DEC">
        <w:rPr>
          <w:bCs/>
        </w:rPr>
        <w:t>that is, F is the harmonic mean of PPV and Sens.</w:t>
      </w:r>
    </w:p>
    <w:p w14:paraId="081A83B3" w14:textId="77777777" w:rsidR="001E434E" w:rsidRPr="006B3DEC" w:rsidRDefault="001E434E" w:rsidP="00272DC5">
      <w:pPr>
        <w:jc w:val="both"/>
      </w:pPr>
      <w:r w:rsidRPr="006B3DEC">
        <w:rPr>
          <w:bCs/>
        </w:rPr>
        <w:t xml:space="preserve">  </w:t>
      </w:r>
    </w:p>
    <w:p w14:paraId="7C3B1CD3" w14:textId="77777777" w:rsidR="001E434E" w:rsidRPr="006B3DEC" w:rsidRDefault="001E434E" w:rsidP="00272DC5">
      <w:pPr>
        <w:jc w:val="both"/>
        <w:rPr>
          <w:bCs/>
        </w:rPr>
      </w:pPr>
      <w:r w:rsidRPr="006B3DEC">
        <w:t xml:space="preserve">More recently, </w:t>
      </w:r>
      <w:r w:rsidRPr="006B3DEC">
        <w:rPr>
          <w:bCs/>
        </w:rPr>
        <w:t>Hand et al. (2021) have described “F*” as “an interpretable transformation of the F measure,”</w:t>
      </w:r>
      <w:r w:rsidRPr="006B3DEC">
        <w:rPr>
          <w:bCs/>
          <w:vertAlign w:val="superscript"/>
        </w:rPr>
        <w:t>6</w:t>
      </w:r>
      <w:r w:rsidRPr="006B3DEC">
        <w:rPr>
          <w:bCs/>
        </w:rPr>
        <w:t xml:space="preserve"> where:  </w:t>
      </w:r>
    </w:p>
    <w:p w14:paraId="02CDD0B4" w14:textId="77777777" w:rsidR="001E434E" w:rsidRPr="006B3DEC" w:rsidRDefault="001E434E" w:rsidP="00272DC5">
      <w:pPr>
        <w:jc w:val="both"/>
        <w:rPr>
          <w:bCs/>
        </w:rPr>
      </w:pPr>
    </w:p>
    <w:p w14:paraId="2CCC3B38" w14:textId="77777777" w:rsidR="001E434E" w:rsidRPr="006B3DEC" w:rsidRDefault="001E434E" w:rsidP="00272DC5">
      <w:pPr>
        <w:ind w:firstLine="720"/>
        <w:jc w:val="both"/>
        <w:rPr>
          <w:bCs/>
        </w:rPr>
      </w:pPr>
      <w:r w:rsidRPr="006B3DEC">
        <w:rPr>
          <w:bCs/>
        </w:rPr>
        <w:t>F*</w:t>
      </w:r>
      <w:r w:rsidRPr="006B3DEC">
        <w:rPr>
          <w:bCs/>
        </w:rPr>
        <w:tab/>
        <w:t>=</w:t>
      </w:r>
      <w:r w:rsidRPr="006B3DEC">
        <w:rPr>
          <w:bCs/>
        </w:rPr>
        <w:tab/>
        <w:t>F/(2 – F)</w:t>
      </w:r>
    </w:p>
    <w:p w14:paraId="3208A52B" w14:textId="77777777" w:rsidR="001E434E" w:rsidRPr="006B3DEC" w:rsidRDefault="001E434E" w:rsidP="00272DC5">
      <w:pPr>
        <w:jc w:val="both"/>
        <w:rPr>
          <w:bCs/>
        </w:rPr>
      </w:pPr>
    </w:p>
    <w:p w14:paraId="10B53A97" w14:textId="4BF41DDB" w:rsidR="001E434E" w:rsidRPr="006B3DEC" w:rsidRDefault="00FE4CE9" w:rsidP="00272DC5">
      <w:pPr>
        <w:jc w:val="both"/>
        <w:rPr>
          <w:bCs/>
        </w:rPr>
      </w:pPr>
      <w:r w:rsidRPr="006B3DEC">
        <w:rPr>
          <w:bCs/>
        </w:rPr>
        <w:t xml:space="preserve">They acknowledge that “researchers may recognise this as the Jaccard coefficient widely used in areas where TN may not be relevant”.  </w:t>
      </w:r>
      <w:r w:rsidR="001E434E" w:rsidRPr="006B3DEC">
        <w:rPr>
          <w:bCs/>
        </w:rPr>
        <w:t>As will be shown, these authors have in</w:t>
      </w:r>
      <w:r w:rsidRPr="006B3DEC">
        <w:rPr>
          <w:bCs/>
        </w:rPr>
        <w:t>deed</w:t>
      </w:r>
      <w:r w:rsidR="001E434E" w:rsidRPr="006B3DEC">
        <w:rPr>
          <w:bCs/>
        </w:rPr>
        <w:t xml:space="preserve"> </w:t>
      </w:r>
      <w:proofErr w:type="spellStart"/>
      <w:r w:rsidR="001E434E" w:rsidRPr="006B3DEC">
        <w:rPr>
          <w:bCs/>
        </w:rPr>
        <w:t>redescribed</w:t>
      </w:r>
      <w:proofErr w:type="spellEnd"/>
      <w:r w:rsidR="001E434E" w:rsidRPr="006B3DEC">
        <w:rPr>
          <w:bCs/>
        </w:rPr>
        <w:t xml:space="preserve"> an already existing binary classification measure, first reported in the late nineteenth century as the ratio of verification in the context of forecasting tornadoes,</w:t>
      </w:r>
      <w:r w:rsidR="001E434E" w:rsidRPr="006B3DEC">
        <w:rPr>
          <w:bCs/>
          <w:vertAlign w:val="superscript"/>
        </w:rPr>
        <w:t>7</w:t>
      </w:r>
      <w:r w:rsidR="001E434E" w:rsidRPr="006B3DEC">
        <w:rPr>
          <w:bCs/>
        </w:rPr>
        <w:t xml:space="preserve"> and subsequently as the </w:t>
      </w:r>
      <w:r w:rsidR="001E434E" w:rsidRPr="006B3DEC">
        <w:t>Jaccard index or similarity coefficient (J),</w:t>
      </w:r>
      <w:r w:rsidR="001E434E" w:rsidRPr="006B3DEC">
        <w:rPr>
          <w:vertAlign w:val="superscript"/>
        </w:rPr>
        <w:t>8</w:t>
      </w:r>
      <w:r w:rsidR="001E434E" w:rsidRPr="006B3DEC">
        <w:t xml:space="preserve"> the </w:t>
      </w:r>
      <w:r w:rsidR="001E434E" w:rsidRPr="006B3DEC">
        <w:rPr>
          <w:bCs/>
        </w:rPr>
        <w:t>threat score,</w:t>
      </w:r>
      <w:r w:rsidR="001E434E" w:rsidRPr="006B3DEC">
        <w:rPr>
          <w:bCs/>
          <w:vertAlign w:val="superscript"/>
        </w:rPr>
        <w:t>9</w:t>
      </w:r>
      <w:r w:rsidR="001E434E" w:rsidRPr="006B3DEC">
        <w:rPr>
          <w:bCs/>
        </w:rPr>
        <w:t xml:space="preserve"> the </w:t>
      </w:r>
      <w:proofErr w:type="spellStart"/>
      <w:r w:rsidR="001E434E" w:rsidRPr="006B3DEC">
        <w:rPr>
          <w:bCs/>
        </w:rPr>
        <w:t>Tanimoto</w:t>
      </w:r>
      <w:proofErr w:type="spellEnd"/>
      <w:r w:rsidR="001E434E" w:rsidRPr="006B3DEC">
        <w:rPr>
          <w:bCs/>
        </w:rPr>
        <w:t xml:space="preserve"> index,</w:t>
      </w:r>
      <w:r w:rsidR="001E434E" w:rsidRPr="006B3DEC">
        <w:rPr>
          <w:bCs/>
          <w:vertAlign w:val="superscript"/>
        </w:rPr>
        <w:t>10</w:t>
      </w:r>
      <w:r w:rsidR="001E434E" w:rsidRPr="006B3DEC">
        <w:rPr>
          <w:bCs/>
        </w:rPr>
        <w:t xml:space="preserve"> and later still as the critical success index (CSI).</w:t>
      </w:r>
      <w:r w:rsidR="001E434E" w:rsidRPr="006B3DEC">
        <w:rPr>
          <w:bCs/>
          <w:vertAlign w:val="superscript"/>
        </w:rPr>
        <w:t>11,12</w:t>
      </w:r>
      <w:r w:rsidR="001E434E" w:rsidRPr="006B3DEC">
        <w:rPr>
          <w:bCs/>
        </w:rPr>
        <w:t xml:space="preserve">  </w:t>
      </w:r>
      <w:r w:rsidR="001E434E" w:rsidRPr="006B3DEC">
        <w:t>Here we use the latter terminology.</w:t>
      </w:r>
    </w:p>
    <w:p w14:paraId="13956FC6" w14:textId="77777777" w:rsidR="001E434E" w:rsidRPr="006B3DEC" w:rsidRDefault="001E434E" w:rsidP="00272DC5">
      <w:pPr>
        <w:jc w:val="both"/>
      </w:pPr>
    </w:p>
    <w:p w14:paraId="66EDCC41" w14:textId="77777777" w:rsidR="001E434E" w:rsidRPr="006B3DEC" w:rsidRDefault="001E434E" w:rsidP="00272DC5">
      <w:pPr>
        <w:pStyle w:val="ListParagraph"/>
        <w:numPr>
          <w:ilvl w:val="0"/>
          <w:numId w:val="10"/>
        </w:numPr>
        <w:jc w:val="both"/>
        <w:rPr>
          <w:b/>
          <w:bCs/>
        </w:rPr>
      </w:pPr>
      <w:r w:rsidRPr="006B3DEC">
        <w:rPr>
          <w:b/>
          <w:bCs/>
        </w:rPr>
        <w:t>Mathematical proofs of identity of F* and CSI</w:t>
      </w:r>
    </w:p>
    <w:p w14:paraId="4BC1C4D6" w14:textId="77777777" w:rsidR="001E434E" w:rsidRPr="006B3DEC" w:rsidRDefault="001E434E" w:rsidP="00272DC5">
      <w:pPr>
        <w:jc w:val="both"/>
      </w:pPr>
      <w:r w:rsidRPr="006B3DEC">
        <w:t xml:space="preserve">The identity of F* and CSI may be shown in several ways using elementary mathematical methods.  </w:t>
      </w:r>
    </w:p>
    <w:p w14:paraId="63A91CCF" w14:textId="77777777" w:rsidR="001E434E" w:rsidRPr="006B3DEC" w:rsidRDefault="001E434E" w:rsidP="00272DC5">
      <w:pPr>
        <w:jc w:val="both"/>
      </w:pPr>
    </w:p>
    <w:p w14:paraId="69C30D95" w14:textId="77777777" w:rsidR="001E434E" w:rsidRPr="006B3DEC" w:rsidRDefault="001E434E" w:rsidP="00272DC5">
      <w:pPr>
        <w:jc w:val="both"/>
        <w:rPr>
          <w:b/>
          <w:bCs/>
          <w:i/>
          <w:iCs/>
        </w:rPr>
      </w:pPr>
      <w:r w:rsidRPr="006B3DEC">
        <w:rPr>
          <w:b/>
          <w:bCs/>
          <w:i/>
          <w:iCs/>
        </w:rPr>
        <w:t>2a. From the base data of a 2x2 contingency table.</w:t>
      </w:r>
    </w:p>
    <w:p w14:paraId="7AED0BE8" w14:textId="77777777" w:rsidR="001E434E" w:rsidRPr="006B3DEC" w:rsidRDefault="001E434E" w:rsidP="00272DC5">
      <w:pPr>
        <w:jc w:val="both"/>
        <w:rPr>
          <w:bCs/>
        </w:rPr>
      </w:pPr>
    </w:p>
    <w:p w14:paraId="72EEAA01" w14:textId="77777777" w:rsidR="001E434E" w:rsidRPr="006B3DEC" w:rsidRDefault="001E434E" w:rsidP="00272DC5">
      <w:pPr>
        <w:jc w:val="both"/>
        <w:rPr>
          <w:bCs/>
        </w:rPr>
      </w:pPr>
      <w:r w:rsidRPr="006B3DEC">
        <w:rPr>
          <w:bCs/>
        </w:rPr>
        <w:t>Hand et al.</w:t>
      </w:r>
      <w:r w:rsidRPr="006B3DEC">
        <w:rPr>
          <w:bCs/>
          <w:vertAlign w:val="superscript"/>
        </w:rPr>
        <w:t>6</w:t>
      </w:r>
      <w:r w:rsidRPr="006B3DEC">
        <w:rPr>
          <w:bCs/>
        </w:rPr>
        <w:t xml:space="preserve"> showed that:</w:t>
      </w:r>
    </w:p>
    <w:p w14:paraId="48FCE9C4" w14:textId="77777777" w:rsidR="001E434E" w:rsidRPr="006B3DEC" w:rsidRDefault="001E434E" w:rsidP="00272DC5">
      <w:pPr>
        <w:jc w:val="both"/>
        <w:rPr>
          <w:bCs/>
        </w:rPr>
      </w:pPr>
    </w:p>
    <w:p w14:paraId="29A0D25B" w14:textId="77777777" w:rsidR="001E434E" w:rsidRPr="006B3DEC" w:rsidRDefault="001E434E" w:rsidP="00272DC5">
      <w:pPr>
        <w:ind w:firstLine="720"/>
        <w:jc w:val="both"/>
        <w:rPr>
          <w:bCs/>
        </w:rPr>
      </w:pPr>
      <w:r w:rsidRPr="006B3DEC">
        <w:rPr>
          <w:bCs/>
        </w:rPr>
        <w:t>F*</w:t>
      </w:r>
      <w:r w:rsidRPr="006B3DEC">
        <w:rPr>
          <w:bCs/>
        </w:rPr>
        <w:tab/>
        <w:t>=</w:t>
      </w:r>
      <w:r w:rsidRPr="006B3DEC">
        <w:rPr>
          <w:bCs/>
        </w:rPr>
        <w:tab/>
        <w:t>TP/(N – TN)</w:t>
      </w:r>
    </w:p>
    <w:p w14:paraId="19B2B1D8" w14:textId="77777777" w:rsidR="001E434E" w:rsidRPr="006B3DEC" w:rsidRDefault="001E434E" w:rsidP="00272DC5">
      <w:pPr>
        <w:jc w:val="both"/>
        <w:rPr>
          <w:bCs/>
        </w:rPr>
      </w:pPr>
      <w:r w:rsidRPr="006B3DEC">
        <w:rPr>
          <w:bCs/>
        </w:rPr>
        <w:t xml:space="preserve"> </w:t>
      </w:r>
    </w:p>
    <w:p w14:paraId="775D7B90" w14:textId="77777777" w:rsidR="001E434E" w:rsidRPr="006B3DEC" w:rsidRDefault="001E434E" w:rsidP="00272DC5">
      <w:pPr>
        <w:jc w:val="both"/>
        <w:rPr>
          <w:bCs/>
        </w:rPr>
      </w:pPr>
      <w:r w:rsidRPr="006B3DEC">
        <w:rPr>
          <w:bCs/>
        </w:rPr>
        <w:t>This also holds for CSI, since in terms of the base data:</w:t>
      </w:r>
    </w:p>
    <w:p w14:paraId="585A4A2F" w14:textId="77777777" w:rsidR="001E434E" w:rsidRPr="006B3DEC" w:rsidRDefault="001E434E" w:rsidP="00272DC5">
      <w:pPr>
        <w:jc w:val="both"/>
        <w:rPr>
          <w:bCs/>
        </w:rPr>
      </w:pPr>
    </w:p>
    <w:p w14:paraId="1ADCC51E" w14:textId="77777777" w:rsidR="001E434E" w:rsidRPr="006B3DEC" w:rsidRDefault="001E434E" w:rsidP="001E434E">
      <w:pPr>
        <w:ind w:firstLine="720"/>
        <w:jc w:val="both"/>
        <w:rPr>
          <w:bCs/>
        </w:rPr>
      </w:pPr>
      <w:r w:rsidRPr="006B3DEC">
        <w:rPr>
          <w:bCs/>
        </w:rPr>
        <w:t>CSI</w:t>
      </w:r>
      <w:r w:rsidRPr="006B3DEC">
        <w:rPr>
          <w:bCs/>
        </w:rPr>
        <w:tab/>
        <w:t>=</w:t>
      </w:r>
      <w:r w:rsidRPr="006B3DEC">
        <w:rPr>
          <w:bCs/>
        </w:rPr>
        <w:tab/>
        <w:t>TP/(TP + FP + FN)</w:t>
      </w:r>
    </w:p>
    <w:p w14:paraId="2282D3C9" w14:textId="77777777" w:rsidR="001E434E" w:rsidRPr="006B3DEC" w:rsidRDefault="001E434E" w:rsidP="001E434E">
      <w:pPr>
        <w:ind w:left="720" w:firstLine="720"/>
        <w:jc w:val="both"/>
        <w:rPr>
          <w:bCs/>
        </w:rPr>
      </w:pPr>
      <w:r w:rsidRPr="006B3DEC">
        <w:rPr>
          <w:bCs/>
        </w:rPr>
        <w:t>=</w:t>
      </w:r>
      <w:r w:rsidRPr="006B3DEC">
        <w:rPr>
          <w:bCs/>
        </w:rPr>
        <w:tab/>
        <w:t>TP/(N – TN)</w:t>
      </w:r>
    </w:p>
    <w:p w14:paraId="10038F3A" w14:textId="77777777" w:rsidR="001E434E" w:rsidRPr="006B3DEC" w:rsidRDefault="001E434E" w:rsidP="001E434E">
      <w:pPr>
        <w:jc w:val="both"/>
        <w:rPr>
          <w:bCs/>
        </w:rPr>
      </w:pPr>
    </w:p>
    <w:p w14:paraId="739A694D" w14:textId="77777777" w:rsidR="001E434E" w:rsidRPr="006B3DEC" w:rsidRDefault="001E434E" w:rsidP="001E434E">
      <w:pPr>
        <w:jc w:val="both"/>
        <w:rPr>
          <w:bCs/>
        </w:rPr>
      </w:pPr>
      <w:r w:rsidRPr="006B3DEC">
        <w:rPr>
          <w:bCs/>
        </w:rPr>
        <w:t>Hence F* = CSI, QED.</w:t>
      </w:r>
    </w:p>
    <w:p w14:paraId="05C6A8E3" w14:textId="77777777" w:rsidR="001E434E" w:rsidRPr="006B3DEC" w:rsidRDefault="001E434E" w:rsidP="001E434E">
      <w:pPr>
        <w:jc w:val="both"/>
        <w:rPr>
          <w:bCs/>
        </w:rPr>
      </w:pPr>
    </w:p>
    <w:p w14:paraId="3149ADF6" w14:textId="77777777" w:rsidR="001E434E" w:rsidRPr="006B3DEC" w:rsidRDefault="001E434E" w:rsidP="001E434E">
      <w:pPr>
        <w:jc w:val="both"/>
        <w:rPr>
          <w:b/>
          <w:i/>
          <w:iCs/>
        </w:rPr>
      </w:pPr>
      <w:r w:rsidRPr="006B3DEC">
        <w:rPr>
          <w:b/>
          <w:i/>
          <w:iCs/>
        </w:rPr>
        <w:t>2b. From the monotonic relationship of F to CSI.</w:t>
      </w:r>
    </w:p>
    <w:p w14:paraId="72A37142" w14:textId="77777777" w:rsidR="001E434E" w:rsidRPr="006B3DEC" w:rsidRDefault="001E434E" w:rsidP="001E434E">
      <w:pPr>
        <w:jc w:val="both"/>
        <w:rPr>
          <w:bCs/>
        </w:rPr>
      </w:pPr>
    </w:p>
    <w:p w14:paraId="033CE857" w14:textId="77777777" w:rsidR="001E434E" w:rsidRPr="006B3DEC" w:rsidRDefault="001E434E" w:rsidP="001E434E">
      <w:pPr>
        <w:jc w:val="both"/>
        <w:rPr>
          <w:bCs/>
        </w:rPr>
      </w:pPr>
      <w:r w:rsidRPr="006B3DEC">
        <w:rPr>
          <w:bCs/>
        </w:rPr>
        <w:t>The monotonic relationship between F and CSI, as shown for example by Jolliffe</w:t>
      </w:r>
      <w:r w:rsidRPr="006B3DEC">
        <w:rPr>
          <w:bCs/>
          <w:vertAlign w:val="superscript"/>
        </w:rPr>
        <w:t>13</w:t>
      </w:r>
      <w:r w:rsidRPr="006B3DEC">
        <w:rPr>
          <w:bCs/>
        </w:rPr>
        <w:t xml:space="preserve"> (modified), is given by:</w:t>
      </w:r>
    </w:p>
    <w:p w14:paraId="52AA12B8" w14:textId="77777777" w:rsidR="001E434E" w:rsidRPr="006B3DEC" w:rsidRDefault="001E434E" w:rsidP="001E434E">
      <w:pPr>
        <w:jc w:val="both"/>
        <w:rPr>
          <w:bCs/>
        </w:rPr>
      </w:pPr>
    </w:p>
    <w:p w14:paraId="619CF0C4" w14:textId="77777777" w:rsidR="001E434E" w:rsidRPr="006B3DEC" w:rsidRDefault="001E434E" w:rsidP="001E434E">
      <w:pPr>
        <w:ind w:firstLine="720"/>
        <w:jc w:val="both"/>
      </w:pPr>
      <w:r w:rsidRPr="006B3DEC">
        <w:t>F</w:t>
      </w:r>
      <w:r w:rsidRPr="006B3DEC">
        <w:tab/>
        <w:t>=</w:t>
      </w:r>
      <w:r w:rsidRPr="006B3DEC">
        <w:tab/>
        <w:t>2.CSI/(1 + CSI)</w:t>
      </w:r>
    </w:p>
    <w:p w14:paraId="5CCD6A77" w14:textId="77777777" w:rsidR="001E434E" w:rsidRPr="006B3DEC" w:rsidRDefault="001E434E" w:rsidP="001E434E">
      <w:pPr>
        <w:jc w:val="both"/>
        <w:rPr>
          <w:bCs/>
        </w:rPr>
      </w:pPr>
    </w:p>
    <w:p w14:paraId="4F7A3A36" w14:textId="77777777" w:rsidR="001E434E" w:rsidRPr="006B3DEC" w:rsidRDefault="001E434E" w:rsidP="001E434E">
      <w:pPr>
        <w:jc w:val="both"/>
        <w:rPr>
          <w:bCs/>
        </w:rPr>
      </w:pPr>
      <w:r w:rsidRPr="006B3DEC">
        <w:rPr>
          <w:bCs/>
        </w:rPr>
        <w:t>The equivalence of F* and CSI may thus be shown. Since Hand et al.</w:t>
      </w:r>
      <w:r w:rsidRPr="006B3DEC">
        <w:rPr>
          <w:bCs/>
          <w:vertAlign w:val="superscript"/>
        </w:rPr>
        <w:t>6</w:t>
      </w:r>
      <w:r w:rsidRPr="006B3DEC">
        <w:rPr>
          <w:bCs/>
        </w:rPr>
        <w:t xml:space="preserve"> showed that:</w:t>
      </w:r>
    </w:p>
    <w:p w14:paraId="1F18016F" w14:textId="77777777" w:rsidR="001E434E" w:rsidRPr="006B3DEC" w:rsidRDefault="001E434E" w:rsidP="001E434E">
      <w:pPr>
        <w:jc w:val="both"/>
        <w:rPr>
          <w:bCs/>
        </w:rPr>
      </w:pPr>
    </w:p>
    <w:p w14:paraId="76FBD4AA" w14:textId="77777777" w:rsidR="001E434E" w:rsidRPr="006B3DEC" w:rsidRDefault="001E434E" w:rsidP="001E434E">
      <w:pPr>
        <w:ind w:firstLine="720"/>
        <w:jc w:val="both"/>
        <w:rPr>
          <w:bCs/>
        </w:rPr>
      </w:pPr>
      <w:r w:rsidRPr="006B3DEC">
        <w:rPr>
          <w:bCs/>
        </w:rPr>
        <w:t>F*</w:t>
      </w:r>
      <w:r w:rsidRPr="006B3DEC">
        <w:rPr>
          <w:bCs/>
        </w:rPr>
        <w:tab/>
        <w:t>=</w:t>
      </w:r>
      <w:r w:rsidRPr="006B3DEC">
        <w:rPr>
          <w:bCs/>
        </w:rPr>
        <w:tab/>
        <w:t>F/(2 – F)</w:t>
      </w:r>
    </w:p>
    <w:p w14:paraId="361A79B1" w14:textId="77777777" w:rsidR="001E434E" w:rsidRPr="006B3DEC" w:rsidRDefault="001E434E" w:rsidP="001E434E">
      <w:pPr>
        <w:jc w:val="both"/>
        <w:rPr>
          <w:bCs/>
        </w:rPr>
      </w:pPr>
    </w:p>
    <w:p w14:paraId="30BB3F90" w14:textId="77777777" w:rsidR="001E434E" w:rsidRPr="006B3DEC" w:rsidRDefault="001E434E" w:rsidP="001E434E">
      <w:pPr>
        <w:jc w:val="both"/>
        <w:rPr>
          <w:bCs/>
        </w:rPr>
      </w:pPr>
      <w:r w:rsidRPr="006B3DEC">
        <w:rPr>
          <w:bCs/>
        </w:rPr>
        <w:t>Then rearranging:</w:t>
      </w:r>
    </w:p>
    <w:p w14:paraId="1A823D00" w14:textId="77777777" w:rsidR="001E434E" w:rsidRPr="006B3DEC" w:rsidRDefault="001E434E" w:rsidP="001E434E">
      <w:pPr>
        <w:jc w:val="both"/>
        <w:rPr>
          <w:bCs/>
        </w:rPr>
      </w:pPr>
    </w:p>
    <w:p w14:paraId="116AD9A2" w14:textId="77777777" w:rsidR="001E434E" w:rsidRPr="006B3DEC" w:rsidRDefault="001E434E" w:rsidP="001E434E">
      <w:pPr>
        <w:ind w:firstLine="720"/>
        <w:jc w:val="both"/>
        <w:rPr>
          <w:bCs/>
        </w:rPr>
      </w:pPr>
      <w:r w:rsidRPr="006B3DEC">
        <w:rPr>
          <w:bCs/>
        </w:rPr>
        <w:t>F</w:t>
      </w:r>
      <w:r w:rsidRPr="006B3DEC">
        <w:rPr>
          <w:bCs/>
        </w:rPr>
        <w:tab/>
        <w:t>=</w:t>
      </w:r>
      <w:r w:rsidRPr="006B3DEC">
        <w:rPr>
          <w:bCs/>
        </w:rPr>
        <w:tab/>
        <w:t>F*.(2 – F)</w:t>
      </w:r>
    </w:p>
    <w:p w14:paraId="4B2BCAE8" w14:textId="77777777" w:rsidR="001E434E" w:rsidRPr="006B3DEC" w:rsidRDefault="001E434E" w:rsidP="001E434E">
      <w:pPr>
        <w:ind w:firstLine="720"/>
        <w:jc w:val="both"/>
        <w:rPr>
          <w:bCs/>
        </w:rPr>
      </w:pPr>
      <w:r w:rsidRPr="006B3DEC">
        <w:rPr>
          <w:bCs/>
        </w:rPr>
        <w:tab/>
        <w:t>=</w:t>
      </w:r>
      <w:r w:rsidRPr="006B3DEC">
        <w:rPr>
          <w:bCs/>
        </w:rPr>
        <w:tab/>
        <w:t xml:space="preserve">2.F* – F*.F </w:t>
      </w:r>
    </w:p>
    <w:p w14:paraId="6A1402D1" w14:textId="77777777" w:rsidR="001E434E" w:rsidRPr="006B3DEC" w:rsidRDefault="001E434E" w:rsidP="001E434E">
      <w:pPr>
        <w:jc w:val="both"/>
        <w:rPr>
          <w:bCs/>
        </w:rPr>
      </w:pPr>
    </w:p>
    <w:p w14:paraId="1CBCF248" w14:textId="77777777" w:rsidR="001E434E" w:rsidRPr="006B3DEC" w:rsidRDefault="001E434E" w:rsidP="001E434E">
      <w:pPr>
        <w:jc w:val="both"/>
        <w:rPr>
          <w:bCs/>
        </w:rPr>
      </w:pPr>
      <w:r w:rsidRPr="006B3DEC">
        <w:rPr>
          <w:bCs/>
        </w:rPr>
        <w:t>Dividing through by F and rearranging:</w:t>
      </w:r>
    </w:p>
    <w:p w14:paraId="17A76C48" w14:textId="77777777" w:rsidR="001E434E" w:rsidRPr="006B3DEC" w:rsidRDefault="001E434E" w:rsidP="001E434E">
      <w:pPr>
        <w:jc w:val="both"/>
        <w:rPr>
          <w:bCs/>
        </w:rPr>
      </w:pPr>
    </w:p>
    <w:p w14:paraId="0CF1BB82" w14:textId="77777777" w:rsidR="001E434E" w:rsidRPr="006B3DEC" w:rsidRDefault="001E434E" w:rsidP="001E434E">
      <w:pPr>
        <w:ind w:firstLine="720"/>
        <w:jc w:val="both"/>
        <w:rPr>
          <w:bCs/>
        </w:rPr>
      </w:pPr>
      <w:r w:rsidRPr="006B3DEC">
        <w:rPr>
          <w:bCs/>
        </w:rPr>
        <w:t>(2.F*/F) – F*</w:t>
      </w:r>
      <w:r w:rsidRPr="006B3DEC">
        <w:rPr>
          <w:bCs/>
        </w:rPr>
        <w:tab/>
        <w:t>=</w:t>
      </w:r>
      <w:r w:rsidRPr="006B3DEC">
        <w:rPr>
          <w:bCs/>
        </w:rPr>
        <w:tab/>
        <w:t>1</w:t>
      </w:r>
    </w:p>
    <w:p w14:paraId="30B32A4B" w14:textId="77777777" w:rsidR="001E434E" w:rsidRPr="006B3DEC" w:rsidRDefault="001E434E" w:rsidP="001E434E">
      <w:pPr>
        <w:ind w:firstLine="720"/>
        <w:jc w:val="both"/>
        <w:rPr>
          <w:bCs/>
        </w:rPr>
      </w:pPr>
      <w:r w:rsidRPr="006B3DEC">
        <w:rPr>
          <w:bCs/>
        </w:rPr>
        <w:t>F* + 1</w:t>
      </w:r>
      <w:r w:rsidRPr="006B3DEC">
        <w:rPr>
          <w:bCs/>
        </w:rPr>
        <w:tab/>
      </w:r>
      <w:r w:rsidRPr="006B3DEC">
        <w:rPr>
          <w:bCs/>
        </w:rPr>
        <w:tab/>
        <w:t>=</w:t>
      </w:r>
      <w:r w:rsidRPr="006B3DEC">
        <w:rPr>
          <w:bCs/>
        </w:rPr>
        <w:tab/>
        <w:t>2.F*/F</w:t>
      </w:r>
    </w:p>
    <w:p w14:paraId="646A3E55" w14:textId="77777777" w:rsidR="001E434E" w:rsidRPr="006B3DEC" w:rsidRDefault="001E434E" w:rsidP="001E434E">
      <w:pPr>
        <w:jc w:val="both"/>
        <w:rPr>
          <w:bCs/>
        </w:rPr>
      </w:pPr>
    </w:p>
    <w:p w14:paraId="5AE640D5" w14:textId="77777777" w:rsidR="001E434E" w:rsidRPr="006B3DEC" w:rsidRDefault="001E434E" w:rsidP="001E434E">
      <w:pPr>
        <w:jc w:val="both"/>
        <w:rPr>
          <w:bCs/>
        </w:rPr>
      </w:pPr>
      <w:r w:rsidRPr="006B3DEC">
        <w:rPr>
          <w:bCs/>
        </w:rPr>
        <w:t>Hence:</w:t>
      </w:r>
    </w:p>
    <w:p w14:paraId="4E52122E" w14:textId="77777777" w:rsidR="001E434E" w:rsidRPr="006B3DEC" w:rsidRDefault="001E434E" w:rsidP="001E434E">
      <w:pPr>
        <w:jc w:val="both"/>
        <w:rPr>
          <w:bCs/>
        </w:rPr>
      </w:pPr>
    </w:p>
    <w:p w14:paraId="3D9050A5" w14:textId="77777777" w:rsidR="001E434E" w:rsidRPr="006B3DEC" w:rsidRDefault="001E434E" w:rsidP="001E434E">
      <w:pPr>
        <w:ind w:firstLine="720"/>
        <w:jc w:val="both"/>
        <w:rPr>
          <w:bCs/>
        </w:rPr>
      </w:pPr>
      <w:r w:rsidRPr="006B3DEC">
        <w:rPr>
          <w:bCs/>
        </w:rPr>
        <w:t>F</w:t>
      </w:r>
      <w:r w:rsidRPr="006B3DEC">
        <w:rPr>
          <w:bCs/>
        </w:rPr>
        <w:tab/>
        <w:t>=</w:t>
      </w:r>
      <w:r w:rsidRPr="006B3DEC">
        <w:rPr>
          <w:bCs/>
        </w:rPr>
        <w:tab/>
        <w:t>2.F*/(F* + 1)</w:t>
      </w:r>
    </w:p>
    <w:p w14:paraId="64728CED" w14:textId="77777777" w:rsidR="001E434E" w:rsidRPr="006B3DEC" w:rsidRDefault="001E434E" w:rsidP="001E434E">
      <w:pPr>
        <w:jc w:val="both"/>
        <w:rPr>
          <w:bCs/>
        </w:rPr>
      </w:pPr>
    </w:p>
    <w:p w14:paraId="199548C6" w14:textId="77777777" w:rsidR="001E434E" w:rsidRPr="006B3DEC" w:rsidRDefault="001E434E" w:rsidP="001E434E">
      <w:pPr>
        <w:jc w:val="both"/>
        <w:rPr>
          <w:bCs/>
        </w:rPr>
      </w:pPr>
      <w:r w:rsidRPr="006B3DEC">
        <w:rPr>
          <w:bCs/>
        </w:rPr>
        <w:t>Hence F* = CSI, QED.</w:t>
      </w:r>
    </w:p>
    <w:p w14:paraId="0F15A442" w14:textId="77777777" w:rsidR="001E434E" w:rsidRPr="006B3DEC" w:rsidRDefault="001E434E" w:rsidP="001E434E">
      <w:pPr>
        <w:jc w:val="both"/>
        <w:rPr>
          <w:bCs/>
        </w:rPr>
      </w:pPr>
    </w:p>
    <w:p w14:paraId="4C4B20AA" w14:textId="77777777" w:rsidR="001E434E" w:rsidRPr="006B3DEC" w:rsidRDefault="001E434E" w:rsidP="001E434E">
      <w:pPr>
        <w:jc w:val="both"/>
        <w:rPr>
          <w:b/>
          <w:i/>
          <w:iCs/>
        </w:rPr>
      </w:pPr>
      <w:r w:rsidRPr="006B3DEC">
        <w:rPr>
          <w:b/>
          <w:i/>
          <w:iCs/>
        </w:rPr>
        <w:t>2c. From the combination of PPV (or precision) and Sens (or recall).</w:t>
      </w:r>
    </w:p>
    <w:p w14:paraId="7930E56F" w14:textId="77777777" w:rsidR="001E434E" w:rsidRPr="006B3DEC" w:rsidRDefault="001E434E" w:rsidP="001E434E">
      <w:pPr>
        <w:jc w:val="both"/>
        <w:rPr>
          <w:bCs/>
        </w:rPr>
      </w:pPr>
    </w:p>
    <w:p w14:paraId="63DEBEB2" w14:textId="77777777" w:rsidR="001E434E" w:rsidRPr="006B3DEC" w:rsidRDefault="001E434E" w:rsidP="001E434E">
      <w:pPr>
        <w:jc w:val="both"/>
        <w:rPr>
          <w:bCs/>
        </w:rPr>
      </w:pPr>
      <w:r w:rsidRPr="006B3DEC">
        <w:rPr>
          <w:bCs/>
        </w:rPr>
        <w:t>Like F, CSI may be characterised in terms of PPV and Sens:</w:t>
      </w:r>
    </w:p>
    <w:p w14:paraId="734697BD" w14:textId="77777777" w:rsidR="001E434E" w:rsidRPr="006B3DEC" w:rsidRDefault="001E434E" w:rsidP="001E434E">
      <w:pPr>
        <w:jc w:val="both"/>
        <w:rPr>
          <w:bCs/>
        </w:rPr>
      </w:pPr>
    </w:p>
    <w:p w14:paraId="76382F22" w14:textId="77777777" w:rsidR="001E434E" w:rsidRPr="006B3DEC" w:rsidRDefault="001E434E" w:rsidP="001E434E">
      <w:pPr>
        <w:ind w:firstLine="720"/>
        <w:jc w:val="both"/>
      </w:pPr>
      <w:r w:rsidRPr="006B3DEC">
        <w:t>CSI</w:t>
      </w:r>
      <w:r w:rsidRPr="006B3DEC">
        <w:tab/>
        <w:t>=</w:t>
      </w:r>
      <w:r w:rsidRPr="006B3DEC">
        <w:tab/>
        <w:t>1/[(1/PPV) + (1/Sens) – 1]</w:t>
      </w:r>
    </w:p>
    <w:p w14:paraId="647526C2" w14:textId="77777777" w:rsidR="001E434E" w:rsidRPr="006B3DEC" w:rsidRDefault="001E434E" w:rsidP="001E434E">
      <w:pPr>
        <w:jc w:val="both"/>
        <w:rPr>
          <w:bCs/>
        </w:rPr>
      </w:pPr>
    </w:p>
    <w:p w14:paraId="7D5CC09B" w14:textId="77777777" w:rsidR="001E434E" w:rsidRPr="006B3DEC" w:rsidRDefault="001E434E" w:rsidP="001E434E">
      <w:pPr>
        <w:jc w:val="both"/>
        <w:rPr>
          <w:bCs/>
        </w:rPr>
      </w:pPr>
      <w:r w:rsidRPr="006B3DEC">
        <w:rPr>
          <w:bCs/>
        </w:rPr>
        <w:t>Again, the equivalence of F* and CSI may be shown.  Hand et al.</w:t>
      </w:r>
      <w:r w:rsidRPr="006B3DEC">
        <w:rPr>
          <w:bCs/>
          <w:vertAlign w:val="superscript"/>
        </w:rPr>
        <w:t>6</w:t>
      </w:r>
      <w:r w:rsidRPr="006B3DEC">
        <w:rPr>
          <w:bCs/>
        </w:rPr>
        <w:t xml:space="preserve"> found that:</w:t>
      </w:r>
    </w:p>
    <w:p w14:paraId="6A55FC3B" w14:textId="77777777" w:rsidR="001E434E" w:rsidRPr="006B3DEC" w:rsidRDefault="001E434E" w:rsidP="001E434E">
      <w:pPr>
        <w:jc w:val="both"/>
        <w:rPr>
          <w:bCs/>
        </w:rPr>
      </w:pPr>
    </w:p>
    <w:p w14:paraId="7FBA626F" w14:textId="77777777" w:rsidR="001E434E" w:rsidRPr="006B3DEC" w:rsidRDefault="001E434E" w:rsidP="001E434E">
      <w:pPr>
        <w:ind w:firstLine="720"/>
        <w:jc w:val="both"/>
        <w:rPr>
          <w:bCs/>
        </w:rPr>
      </w:pPr>
      <w:r w:rsidRPr="006B3DEC">
        <w:rPr>
          <w:bCs/>
        </w:rPr>
        <w:t>F*</w:t>
      </w:r>
      <w:r w:rsidRPr="006B3DEC">
        <w:rPr>
          <w:bCs/>
        </w:rPr>
        <w:tab/>
        <w:t>=</w:t>
      </w:r>
      <w:r w:rsidRPr="006B3DEC">
        <w:rPr>
          <w:bCs/>
        </w:rPr>
        <w:tab/>
        <w:t>(PPV x Sens)/PPV + Sens – (PPV x Sens)</w:t>
      </w:r>
    </w:p>
    <w:p w14:paraId="2C5F37F5" w14:textId="77777777" w:rsidR="001E434E" w:rsidRPr="006B3DEC" w:rsidRDefault="001E434E" w:rsidP="001E434E">
      <w:pPr>
        <w:jc w:val="both"/>
        <w:rPr>
          <w:bCs/>
        </w:rPr>
      </w:pPr>
    </w:p>
    <w:p w14:paraId="5BF280C1" w14:textId="77777777" w:rsidR="001E434E" w:rsidRPr="006B3DEC" w:rsidRDefault="001E434E" w:rsidP="001E434E">
      <w:pPr>
        <w:jc w:val="both"/>
        <w:rPr>
          <w:bCs/>
        </w:rPr>
      </w:pPr>
      <w:r w:rsidRPr="006B3DEC">
        <w:rPr>
          <w:bCs/>
        </w:rPr>
        <w:t>Dividing through by (PPV x Sens) gives:</w:t>
      </w:r>
    </w:p>
    <w:p w14:paraId="01424249" w14:textId="77777777" w:rsidR="001E434E" w:rsidRPr="006B3DEC" w:rsidRDefault="001E434E" w:rsidP="001E434E">
      <w:pPr>
        <w:jc w:val="both"/>
        <w:rPr>
          <w:bCs/>
        </w:rPr>
      </w:pPr>
    </w:p>
    <w:p w14:paraId="65F599A6" w14:textId="77777777" w:rsidR="001E434E" w:rsidRPr="006B3DEC" w:rsidRDefault="001E434E" w:rsidP="001E434E">
      <w:pPr>
        <w:ind w:firstLine="720"/>
        <w:jc w:val="both"/>
      </w:pPr>
      <w:r w:rsidRPr="006B3DEC">
        <w:rPr>
          <w:bCs/>
        </w:rPr>
        <w:t>F*</w:t>
      </w:r>
      <w:r w:rsidRPr="006B3DEC">
        <w:rPr>
          <w:bCs/>
        </w:rPr>
        <w:tab/>
        <w:t>=</w:t>
      </w:r>
      <w:r w:rsidRPr="006B3DEC">
        <w:rPr>
          <w:bCs/>
        </w:rPr>
        <w:tab/>
      </w:r>
      <w:r w:rsidRPr="006B3DEC">
        <w:t>1/[(1/Sens) + (1/PPV) – 1]</w:t>
      </w:r>
    </w:p>
    <w:p w14:paraId="1A1458D0" w14:textId="77777777" w:rsidR="001E434E" w:rsidRPr="006B3DEC" w:rsidRDefault="001E434E" w:rsidP="001E434E">
      <w:pPr>
        <w:jc w:val="both"/>
        <w:rPr>
          <w:bCs/>
        </w:rPr>
      </w:pPr>
    </w:p>
    <w:p w14:paraId="199FEAE6" w14:textId="77777777" w:rsidR="001E434E" w:rsidRPr="006B3DEC" w:rsidRDefault="001E434E" w:rsidP="001E434E">
      <w:pPr>
        <w:jc w:val="both"/>
        <w:rPr>
          <w:bCs/>
        </w:rPr>
      </w:pPr>
      <w:r w:rsidRPr="006B3DEC">
        <w:rPr>
          <w:bCs/>
        </w:rPr>
        <w:t>Hence F* = CSI, QED.</w:t>
      </w:r>
    </w:p>
    <w:p w14:paraId="27032A09" w14:textId="77777777" w:rsidR="001E434E" w:rsidRPr="006B3DEC" w:rsidRDefault="001E434E" w:rsidP="001E434E">
      <w:pPr>
        <w:jc w:val="both"/>
        <w:rPr>
          <w:bCs/>
        </w:rPr>
      </w:pPr>
    </w:p>
    <w:p w14:paraId="3F7062C0" w14:textId="77777777" w:rsidR="001E434E" w:rsidRPr="006B3DEC" w:rsidRDefault="001E434E" w:rsidP="001E434E">
      <w:pPr>
        <w:jc w:val="both"/>
        <w:rPr>
          <w:b/>
          <w:i/>
          <w:iCs/>
        </w:rPr>
      </w:pPr>
      <w:r w:rsidRPr="006B3DEC">
        <w:rPr>
          <w:b/>
          <w:i/>
          <w:iCs/>
        </w:rPr>
        <w:lastRenderedPageBreak/>
        <w:t>2d. From the combination of Sens, PPV, P, and Q.</w:t>
      </w:r>
    </w:p>
    <w:p w14:paraId="55894487" w14:textId="77777777" w:rsidR="001E434E" w:rsidRPr="006B3DEC" w:rsidRDefault="001E434E" w:rsidP="001E434E">
      <w:pPr>
        <w:jc w:val="both"/>
        <w:rPr>
          <w:bCs/>
        </w:rPr>
      </w:pPr>
    </w:p>
    <w:p w14:paraId="0E16D4A6" w14:textId="77777777" w:rsidR="001E434E" w:rsidRPr="006B3DEC" w:rsidRDefault="001E434E" w:rsidP="001E434E">
      <w:pPr>
        <w:jc w:val="both"/>
        <w:rPr>
          <w:bCs/>
        </w:rPr>
      </w:pPr>
      <w:r w:rsidRPr="006B3DEC">
        <w:rPr>
          <w:bCs/>
        </w:rPr>
        <w:t>In the 2x2 contingency table, prevalence or base rate P = (TP + FN)/N, and bias or threshold Q = (TP + FP)/N.  Thus, from Powers</w:t>
      </w:r>
      <w:r w:rsidRPr="006B3DEC">
        <w:rPr>
          <w:bCs/>
          <w:vertAlign w:val="superscript"/>
        </w:rPr>
        <w:t>2</w:t>
      </w:r>
      <w:r w:rsidRPr="006B3DEC">
        <w:rPr>
          <w:bCs/>
        </w:rPr>
        <w:t>:</w:t>
      </w:r>
    </w:p>
    <w:p w14:paraId="1CE8A379" w14:textId="77777777" w:rsidR="001E434E" w:rsidRPr="006B3DEC" w:rsidRDefault="001E434E" w:rsidP="001E434E">
      <w:pPr>
        <w:jc w:val="both"/>
        <w:rPr>
          <w:snapToGrid w:val="0"/>
          <w:lang w:eastAsia="en-US"/>
        </w:rPr>
      </w:pPr>
    </w:p>
    <w:p w14:paraId="23D41128" w14:textId="77777777" w:rsidR="001E434E" w:rsidRPr="006B3DEC" w:rsidRDefault="001E434E" w:rsidP="001E434E">
      <w:pPr>
        <w:ind w:firstLine="720"/>
        <w:jc w:val="both"/>
      </w:pPr>
      <w:r w:rsidRPr="006B3DEC">
        <w:rPr>
          <w:snapToGrid w:val="0"/>
          <w:lang w:eastAsia="en-US"/>
        </w:rPr>
        <w:t>F</w:t>
      </w:r>
      <w:r w:rsidRPr="006B3DEC">
        <w:rPr>
          <w:snapToGrid w:val="0"/>
          <w:lang w:eastAsia="en-US"/>
        </w:rPr>
        <w:tab/>
        <w:t>=</w:t>
      </w:r>
      <w:r w:rsidRPr="006B3DEC">
        <w:rPr>
          <w:snapToGrid w:val="0"/>
          <w:lang w:eastAsia="en-US"/>
        </w:rPr>
        <w:tab/>
      </w:r>
      <w:r w:rsidRPr="006B3DEC">
        <w:t>2.Sens.P/(Q + P)</w:t>
      </w:r>
    </w:p>
    <w:p w14:paraId="19A2E7DA" w14:textId="77777777" w:rsidR="001E434E" w:rsidRPr="006B3DEC" w:rsidRDefault="001E434E" w:rsidP="001E434E">
      <w:pPr>
        <w:ind w:firstLine="720"/>
        <w:jc w:val="both"/>
      </w:pPr>
      <w:r w:rsidRPr="006B3DEC">
        <w:tab/>
        <w:t>=</w:t>
      </w:r>
      <w:r w:rsidRPr="006B3DEC">
        <w:tab/>
        <w:t>2.PPV.Q/(Q + P)</w:t>
      </w:r>
    </w:p>
    <w:p w14:paraId="19A55224" w14:textId="77777777" w:rsidR="001E434E" w:rsidRPr="006B3DEC" w:rsidRDefault="001E434E" w:rsidP="001E434E">
      <w:pPr>
        <w:jc w:val="both"/>
        <w:rPr>
          <w:bCs/>
        </w:rPr>
      </w:pPr>
    </w:p>
    <w:p w14:paraId="764CEE8A" w14:textId="77777777" w:rsidR="001E434E" w:rsidRPr="006B3DEC" w:rsidRDefault="001E434E" w:rsidP="001E434E">
      <w:pPr>
        <w:jc w:val="both"/>
        <w:rPr>
          <w:bCs/>
        </w:rPr>
      </w:pPr>
      <w:r w:rsidRPr="006B3DEC">
        <w:rPr>
          <w:bCs/>
        </w:rPr>
        <w:t>For CSI the equations are</w:t>
      </w:r>
      <w:r w:rsidRPr="006B3DEC">
        <w:rPr>
          <w:bCs/>
          <w:vertAlign w:val="superscript"/>
        </w:rPr>
        <w:t>1</w:t>
      </w:r>
      <w:r w:rsidRPr="006B3DEC">
        <w:rPr>
          <w:bCs/>
        </w:rPr>
        <w:t>:</w:t>
      </w:r>
    </w:p>
    <w:p w14:paraId="00681E92" w14:textId="77777777" w:rsidR="001E434E" w:rsidRPr="006B3DEC" w:rsidRDefault="001E434E" w:rsidP="001E434E">
      <w:pPr>
        <w:jc w:val="both"/>
        <w:rPr>
          <w:bCs/>
        </w:rPr>
      </w:pPr>
    </w:p>
    <w:p w14:paraId="35697306" w14:textId="63D04AD9" w:rsidR="001E434E" w:rsidRPr="006B3DEC" w:rsidRDefault="001E434E" w:rsidP="001E434E">
      <w:pPr>
        <w:pStyle w:val="BodyText"/>
        <w:spacing w:after="0"/>
        <w:ind w:firstLine="720"/>
        <w:jc w:val="both"/>
      </w:pPr>
      <w:r w:rsidRPr="006B3DEC">
        <w:t>CSI</w:t>
      </w:r>
      <w:r w:rsidRPr="006B3DEC">
        <w:tab/>
        <w:t>=</w:t>
      </w:r>
      <w:r w:rsidRPr="006B3DEC">
        <w:tab/>
        <w:t>1/[(Q + P)/</w:t>
      </w:r>
      <w:proofErr w:type="spellStart"/>
      <w:r w:rsidRPr="006B3DEC">
        <w:t>Sens.P</w:t>
      </w:r>
      <w:proofErr w:type="spellEnd"/>
      <w:r w:rsidRPr="006B3DEC">
        <w:t xml:space="preserve"> – 1</w:t>
      </w:r>
      <w:r w:rsidR="00FE4CE9" w:rsidRPr="006B3DEC">
        <w:t>]</w:t>
      </w:r>
      <w:r w:rsidRPr="006B3DEC">
        <w:t xml:space="preserve"> </w:t>
      </w:r>
    </w:p>
    <w:p w14:paraId="296E7890" w14:textId="12B34D4C" w:rsidR="001E434E" w:rsidRPr="006B3DEC" w:rsidRDefault="001E434E" w:rsidP="001E434E">
      <w:pPr>
        <w:pStyle w:val="BodyText"/>
        <w:spacing w:after="0"/>
        <w:ind w:firstLine="720"/>
        <w:jc w:val="both"/>
      </w:pPr>
      <w:r w:rsidRPr="006B3DEC">
        <w:tab/>
        <w:t>=</w:t>
      </w:r>
      <w:r w:rsidRPr="006B3DEC">
        <w:tab/>
        <w:t>1/[(Q + P)/PPV.Q – 1</w:t>
      </w:r>
      <w:r w:rsidR="00FE4CE9" w:rsidRPr="006B3DEC">
        <w:t>]</w:t>
      </w:r>
    </w:p>
    <w:p w14:paraId="0E13E3D6" w14:textId="77777777" w:rsidR="001E434E" w:rsidRPr="006B3DEC" w:rsidRDefault="001E434E" w:rsidP="001E434E">
      <w:pPr>
        <w:jc w:val="both"/>
        <w:rPr>
          <w:bCs/>
        </w:rPr>
      </w:pPr>
    </w:p>
    <w:p w14:paraId="2C185313" w14:textId="77777777" w:rsidR="001E434E" w:rsidRPr="006B3DEC" w:rsidRDefault="001E434E" w:rsidP="001E434E">
      <w:pPr>
        <w:jc w:val="both"/>
        <w:rPr>
          <w:bCs/>
        </w:rPr>
      </w:pPr>
      <w:r w:rsidRPr="006B3DEC">
        <w:rPr>
          <w:bCs/>
        </w:rPr>
        <w:t>Since from Hand et al.</w:t>
      </w:r>
      <w:r w:rsidRPr="006B3DEC">
        <w:rPr>
          <w:bCs/>
          <w:vertAlign w:val="superscript"/>
        </w:rPr>
        <w:t>6</w:t>
      </w:r>
      <w:r w:rsidRPr="006B3DEC">
        <w:rPr>
          <w:bCs/>
        </w:rPr>
        <w:t>:</w:t>
      </w:r>
    </w:p>
    <w:p w14:paraId="3C37BA92" w14:textId="77777777" w:rsidR="001E434E" w:rsidRPr="006B3DEC" w:rsidRDefault="001E434E" w:rsidP="001E434E">
      <w:pPr>
        <w:jc w:val="both"/>
        <w:rPr>
          <w:bCs/>
        </w:rPr>
      </w:pPr>
    </w:p>
    <w:p w14:paraId="40FD557F" w14:textId="77777777" w:rsidR="001E434E" w:rsidRPr="006B3DEC" w:rsidRDefault="001E434E" w:rsidP="001E434E">
      <w:pPr>
        <w:ind w:firstLine="720"/>
        <w:jc w:val="both"/>
        <w:rPr>
          <w:bCs/>
        </w:rPr>
      </w:pPr>
      <w:r w:rsidRPr="006B3DEC">
        <w:rPr>
          <w:bCs/>
        </w:rPr>
        <w:t>F*</w:t>
      </w:r>
      <w:r w:rsidRPr="006B3DEC">
        <w:rPr>
          <w:bCs/>
        </w:rPr>
        <w:tab/>
        <w:t>=</w:t>
      </w:r>
      <w:r w:rsidRPr="006B3DEC">
        <w:rPr>
          <w:bCs/>
        </w:rPr>
        <w:tab/>
        <w:t>F/(2 – F)</w:t>
      </w:r>
    </w:p>
    <w:p w14:paraId="51C5B689" w14:textId="77777777" w:rsidR="001E434E" w:rsidRPr="006B3DEC" w:rsidRDefault="001E434E" w:rsidP="001E434E">
      <w:pPr>
        <w:jc w:val="both"/>
        <w:rPr>
          <w:bCs/>
        </w:rPr>
      </w:pPr>
    </w:p>
    <w:p w14:paraId="28F897F6" w14:textId="77777777" w:rsidR="001E434E" w:rsidRPr="006B3DEC" w:rsidRDefault="001E434E" w:rsidP="001E434E">
      <w:pPr>
        <w:jc w:val="both"/>
        <w:rPr>
          <w:bCs/>
        </w:rPr>
      </w:pPr>
      <w:r w:rsidRPr="006B3DEC">
        <w:rPr>
          <w:bCs/>
        </w:rPr>
        <w:t>Then substituting and rearranging:</w:t>
      </w:r>
    </w:p>
    <w:p w14:paraId="63EA8B50" w14:textId="77777777" w:rsidR="001E434E" w:rsidRPr="006B3DEC" w:rsidRDefault="001E434E" w:rsidP="001E434E">
      <w:pPr>
        <w:jc w:val="both"/>
        <w:rPr>
          <w:bCs/>
        </w:rPr>
      </w:pPr>
    </w:p>
    <w:p w14:paraId="37EF58D3" w14:textId="77777777" w:rsidR="001E434E" w:rsidRPr="006B3DEC" w:rsidRDefault="001E434E" w:rsidP="001E434E">
      <w:pPr>
        <w:ind w:firstLine="720"/>
        <w:jc w:val="both"/>
      </w:pPr>
      <w:r w:rsidRPr="006B3DEC">
        <w:rPr>
          <w:bCs/>
        </w:rPr>
        <w:t>F*</w:t>
      </w:r>
      <w:r w:rsidRPr="006B3DEC">
        <w:rPr>
          <w:bCs/>
        </w:rPr>
        <w:tab/>
        <w:t>=</w:t>
      </w:r>
      <w:r w:rsidRPr="006B3DEC">
        <w:rPr>
          <w:bCs/>
        </w:rPr>
        <w:tab/>
        <w:t>[</w:t>
      </w:r>
      <w:r w:rsidRPr="006B3DEC">
        <w:t>2.Sens.P/(Q + P)]</w:t>
      </w:r>
      <w:r w:rsidRPr="006B3DEC">
        <w:rPr>
          <w:bCs/>
        </w:rPr>
        <w:t>/(2 – [</w:t>
      </w:r>
      <w:r w:rsidRPr="006B3DEC">
        <w:t>2.Sens.P/(Q + P)])</w:t>
      </w:r>
    </w:p>
    <w:p w14:paraId="742F6B8B" w14:textId="60AB452E" w:rsidR="001E434E" w:rsidRPr="006B3DEC" w:rsidRDefault="001E434E" w:rsidP="001E434E">
      <w:pPr>
        <w:ind w:firstLine="720"/>
        <w:jc w:val="both"/>
        <w:rPr>
          <w:bCs/>
        </w:rPr>
      </w:pPr>
      <w:r w:rsidRPr="006B3DEC">
        <w:tab/>
        <w:t>=</w:t>
      </w:r>
      <w:r w:rsidRPr="006B3DEC">
        <w:tab/>
        <w:t>1/[(Q + P)/</w:t>
      </w:r>
      <w:proofErr w:type="spellStart"/>
      <w:r w:rsidRPr="006B3DEC">
        <w:t>Sens.P</w:t>
      </w:r>
      <w:proofErr w:type="spellEnd"/>
      <w:r w:rsidRPr="006B3DEC">
        <w:t xml:space="preserve"> – 1</w:t>
      </w:r>
      <w:r w:rsidR="001D1479" w:rsidRPr="006B3DEC">
        <w:t>]</w:t>
      </w:r>
      <w:r w:rsidRPr="006B3DEC">
        <w:t xml:space="preserve"> </w:t>
      </w:r>
    </w:p>
    <w:p w14:paraId="5A3DABFB" w14:textId="77777777" w:rsidR="001E434E" w:rsidRPr="006B3DEC" w:rsidRDefault="001E434E" w:rsidP="001E434E">
      <w:pPr>
        <w:jc w:val="both"/>
        <w:rPr>
          <w:bCs/>
        </w:rPr>
      </w:pPr>
    </w:p>
    <w:p w14:paraId="0AFB9906" w14:textId="77777777" w:rsidR="001E434E" w:rsidRPr="006B3DEC" w:rsidRDefault="001E434E" w:rsidP="001E434E">
      <w:pPr>
        <w:ind w:firstLine="720"/>
        <w:jc w:val="both"/>
      </w:pPr>
      <w:r w:rsidRPr="006B3DEC">
        <w:rPr>
          <w:bCs/>
        </w:rPr>
        <w:t>F*</w:t>
      </w:r>
      <w:r w:rsidRPr="006B3DEC">
        <w:rPr>
          <w:bCs/>
        </w:rPr>
        <w:tab/>
        <w:t>=</w:t>
      </w:r>
      <w:r w:rsidRPr="006B3DEC">
        <w:rPr>
          <w:bCs/>
        </w:rPr>
        <w:tab/>
        <w:t>[</w:t>
      </w:r>
      <w:r w:rsidRPr="006B3DEC">
        <w:t>2.PPV.Q/(Q + P)]</w:t>
      </w:r>
      <w:r w:rsidRPr="006B3DEC">
        <w:rPr>
          <w:bCs/>
        </w:rPr>
        <w:t>/(2 – [</w:t>
      </w:r>
      <w:r w:rsidRPr="006B3DEC">
        <w:t>2.PPV.Q/(Q + P)])</w:t>
      </w:r>
    </w:p>
    <w:p w14:paraId="712A30AD" w14:textId="2589EF52" w:rsidR="001E434E" w:rsidRPr="006B3DEC" w:rsidRDefault="001E434E" w:rsidP="001E434E">
      <w:pPr>
        <w:ind w:firstLine="720"/>
        <w:jc w:val="both"/>
        <w:rPr>
          <w:bCs/>
        </w:rPr>
      </w:pPr>
      <w:r w:rsidRPr="006B3DEC">
        <w:tab/>
        <w:t>=</w:t>
      </w:r>
      <w:r w:rsidRPr="006B3DEC">
        <w:tab/>
        <w:t>1/[(Q + P)/PPV.Q – 1</w:t>
      </w:r>
      <w:r w:rsidR="00FE4CE9" w:rsidRPr="006B3DEC">
        <w:t>]</w:t>
      </w:r>
      <w:r w:rsidRPr="006B3DEC">
        <w:t xml:space="preserve"> </w:t>
      </w:r>
    </w:p>
    <w:p w14:paraId="7A9A5135" w14:textId="77777777" w:rsidR="001E434E" w:rsidRPr="006B3DEC" w:rsidRDefault="001E434E" w:rsidP="001E434E">
      <w:pPr>
        <w:jc w:val="both"/>
        <w:rPr>
          <w:bCs/>
        </w:rPr>
      </w:pPr>
    </w:p>
    <w:p w14:paraId="0D2A61E8" w14:textId="77777777" w:rsidR="001E434E" w:rsidRPr="006B3DEC" w:rsidRDefault="001E434E" w:rsidP="001E434E">
      <w:pPr>
        <w:jc w:val="both"/>
        <w:rPr>
          <w:bCs/>
        </w:rPr>
      </w:pPr>
      <w:r w:rsidRPr="006B3DEC">
        <w:rPr>
          <w:bCs/>
        </w:rPr>
        <w:t>Hence F* = CSI, QED.</w:t>
      </w:r>
    </w:p>
    <w:p w14:paraId="2DFABA4E" w14:textId="77777777" w:rsidR="001E434E" w:rsidRPr="006B3DEC" w:rsidRDefault="001E434E" w:rsidP="001E434E">
      <w:pPr>
        <w:jc w:val="both"/>
        <w:rPr>
          <w:bCs/>
        </w:rPr>
      </w:pPr>
    </w:p>
    <w:p w14:paraId="06C9FE95" w14:textId="77777777" w:rsidR="001E434E" w:rsidRPr="006B3DEC" w:rsidRDefault="001E434E" w:rsidP="001E434E">
      <w:pPr>
        <w:pStyle w:val="ListParagraph"/>
        <w:numPr>
          <w:ilvl w:val="0"/>
          <w:numId w:val="10"/>
        </w:numPr>
        <w:jc w:val="both"/>
        <w:rPr>
          <w:b/>
          <w:bCs/>
        </w:rPr>
      </w:pPr>
      <w:r w:rsidRPr="006B3DEC">
        <w:rPr>
          <w:b/>
          <w:bCs/>
        </w:rPr>
        <w:t>Conclusion</w:t>
      </w:r>
    </w:p>
    <w:p w14:paraId="0E384F1B" w14:textId="2B219695" w:rsidR="001E434E" w:rsidRPr="006B3DEC" w:rsidRDefault="00FE4CE9" w:rsidP="001E434E">
      <w:pPr>
        <w:jc w:val="both"/>
        <w:rPr>
          <w:bCs/>
        </w:rPr>
      </w:pPr>
      <w:r w:rsidRPr="006B3DEC">
        <w:rPr>
          <w:bCs/>
        </w:rPr>
        <w:t xml:space="preserve">As mentioned above, </w:t>
      </w:r>
      <w:r w:rsidR="001E434E" w:rsidRPr="006B3DEC">
        <w:rPr>
          <w:bCs/>
        </w:rPr>
        <w:t xml:space="preserve">Hand et al. noted </w:t>
      </w:r>
      <w:r w:rsidRPr="006B3DEC">
        <w:rPr>
          <w:bCs/>
        </w:rPr>
        <w:t xml:space="preserve">in their formulation of F* </w:t>
      </w:r>
      <w:r w:rsidR="001E434E" w:rsidRPr="006B3DEC">
        <w:rPr>
          <w:bCs/>
        </w:rPr>
        <w:t>that “researchers may recognise this as the Jaccard coefficient widely used in areas where TN may not be relevant”</w:t>
      </w:r>
      <w:r w:rsidR="001E434E" w:rsidRPr="006B3DEC">
        <w:rPr>
          <w:bCs/>
          <w:vertAlign w:val="superscript"/>
        </w:rPr>
        <w:t>6</w:t>
      </w:r>
      <w:r w:rsidR="001E434E" w:rsidRPr="006B3DEC">
        <w:rPr>
          <w:bCs/>
        </w:rPr>
        <w:t xml:space="preserve"> and they cite Jaccard’s 1908 paper,</w:t>
      </w:r>
      <w:r w:rsidR="001E434E" w:rsidRPr="006B3DEC">
        <w:rPr>
          <w:bCs/>
          <w:vertAlign w:val="superscript"/>
        </w:rPr>
        <w:t>14</w:t>
      </w:r>
      <w:r w:rsidR="001E434E" w:rsidRPr="006B3DEC">
        <w:rPr>
          <w:bCs/>
        </w:rPr>
        <w:t xml:space="preserve"> although others</w:t>
      </w:r>
      <w:r w:rsidR="001E434E" w:rsidRPr="006B3DEC">
        <w:rPr>
          <w:bCs/>
          <w:vertAlign w:val="superscript"/>
        </w:rPr>
        <w:t>2</w:t>
      </w:r>
      <w:r w:rsidR="001E434E" w:rsidRPr="006B3DEC">
        <w:rPr>
          <w:bCs/>
        </w:rPr>
        <w:t xml:space="preserve"> cite his 1901 paper</w:t>
      </w:r>
      <w:r w:rsidR="001E434E" w:rsidRPr="006B3DEC">
        <w:rPr>
          <w:bCs/>
          <w:vertAlign w:val="superscript"/>
        </w:rPr>
        <w:t>15</w:t>
      </w:r>
      <w:r w:rsidR="001E434E" w:rsidRPr="006B3DEC">
        <w:rPr>
          <w:bCs/>
        </w:rPr>
        <w:t xml:space="preserve"> as the forerunner of the 1912 English translation.</w:t>
      </w:r>
      <w:r w:rsidR="001E434E" w:rsidRPr="006B3DEC">
        <w:rPr>
          <w:bCs/>
          <w:vertAlign w:val="superscript"/>
        </w:rPr>
        <w:t>8</w:t>
      </w:r>
      <w:r w:rsidR="001E434E" w:rsidRPr="006B3DEC">
        <w:rPr>
          <w:bCs/>
        </w:rPr>
        <w:t xml:space="preserve">  </w:t>
      </w:r>
    </w:p>
    <w:p w14:paraId="213F8265" w14:textId="77777777" w:rsidR="001E434E" w:rsidRPr="006B3DEC" w:rsidRDefault="001E434E" w:rsidP="001E434E">
      <w:pPr>
        <w:jc w:val="both"/>
        <w:rPr>
          <w:bCs/>
        </w:rPr>
      </w:pPr>
    </w:p>
    <w:p w14:paraId="1C7A3064" w14:textId="1DFC9180" w:rsidR="001E434E" w:rsidRPr="006B3DEC" w:rsidRDefault="001E434E" w:rsidP="001E434E">
      <w:pPr>
        <w:jc w:val="both"/>
        <w:rPr>
          <w:bCs/>
        </w:rPr>
      </w:pPr>
      <w:r w:rsidRPr="006B3DEC">
        <w:rPr>
          <w:bCs/>
        </w:rPr>
        <w:t>We suggest that this is a parameter which, like F,</w:t>
      </w:r>
      <w:r w:rsidR="005165D9" w:rsidRPr="006B3DEC">
        <w:rPr>
          <w:bCs/>
          <w:vertAlign w:val="superscript"/>
        </w:rPr>
        <w:t>3-5</w:t>
      </w:r>
      <w:r w:rsidRPr="006B3DEC">
        <w:rPr>
          <w:bCs/>
        </w:rPr>
        <w:t xml:space="preserve"> has undergone periodic </w:t>
      </w:r>
      <w:proofErr w:type="spellStart"/>
      <w:r w:rsidRPr="006B3DEC">
        <w:rPr>
          <w:bCs/>
        </w:rPr>
        <w:t>redescriptions</w:t>
      </w:r>
      <w:proofErr w:type="spellEnd"/>
      <w:r w:rsidRPr="006B3DEC">
        <w:rPr>
          <w:bCs/>
        </w:rPr>
        <w:t>.  The first report of which we are aware is Gilbert’s “ratio of verification” of 1884,</w:t>
      </w:r>
      <w:r w:rsidRPr="006B3DEC">
        <w:rPr>
          <w:bCs/>
          <w:vertAlign w:val="superscript"/>
        </w:rPr>
        <w:t>7</w:t>
      </w:r>
      <w:r w:rsidRPr="006B3DEC">
        <w:rPr>
          <w:bCs/>
        </w:rPr>
        <w:t xml:space="preserve"> predating the Jaccard similarity coefficient.</w:t>
      </w:r>
      <w:r w:rsidRPr="006B3DEC">
        <w:rPr>
          <w:bCs/>
          <w:vertAlign w:val="superscript"/>
        </w:rPr>
        <w:t>8</w:t>
      </w:r>
      <w:r w:rsidRPr="006B3DEC">
        <w:rPr>
          <w:bCs/>
        </w:rPr>
        <w:t xml:space="preserve"> </w:t>
      </w:r>
      <w:r w:rsidR="005165D9" w:rsidRPr="006B3DEC">
        <w:rPr>
          <w:bCs/>
        </w:rPr>
        <w:t xml:space="preserve"> </w:t>
      </w:r>
      <w:r w:rsidRPr="006B3DEC">
        <w:rPr>
          <w:bCs/>
        </w:rPr>
        <w:t xml:space="preserve">This latter measure is equivalent in set theory to union over intersection, which was also proposed by </w:t>
      </w:r>
      <w:proofErr w:type="spellStart"/>
      <w:r w:rsidRPr="006B3DEC">
        <w:rPr>
          <w:bCs/>
        </w:rPr>
        <w:t>Tanimoto</w:t>
      </w:r>
      <w:proofErr w:type="spellEnd"/>
      <w:r w:rsidRPr="006B3DEC">
        <w:rPr>
          <w:bCs/>
        </w:rPr>
        <w:t xml:space="preserve"> in 1958 when working for IBM,</w:t>
      </w:r>
      <w:r w:rsidRPr="006B3DEC">
        <w:rPr>
          <w:bCs/>
          <w:vertAlign w:val="superscript"/>
        </w:rPr>
        <w:t>10</w:t>
      </w:r>
      <w:r w:rsidRPr="006B3DEC">
        <w:rPr>
          <w:bCs/>
        </w:rPr>
        <w:t xml:space="preserve"> without reference to either Gilbert or Jaccard.  The same measure has also been described by Palmer &amp; Allen in 1949 as the threat score,</w:t>
      </w:r>
      <w:r w:rsidRPr="006B3DEC">
        <w:rPr>
          <w:bCs/>
          <w:vertAlign w:val="superscript"/>
        </w:rPr>
        <w:t>9</w:t>
      </w:r>
      <w:r w:rsidRPr="006B3DEC">
        <w:rPr>
          <w:bCs/>
        </w:rPr>
        <w:t xml:space="preserve"> and as the </w:t>
      </w:r>
      <w:r w:rsidR="00782428" w:rsidRPr="006B3DEC">
        <w:rPr>
          <w:bCs/>
        </w:rPr>
        <w:t>CSI</w:t>
      </w:r>
      <w:r w:rsidRPr="006B3DEC">
        <w:rPr>
          <w:bCs/>
        </w:rPr>
        <w:t xml:space="preserve"> by Donaldson et al.</w:t>
      </w:r>
      <w:r w:rsidRPr="006B3DEC">
        <w:rPr>
          <w:bCs/>
          <w:vertAlign w:val="superscript"/>
        </w:rPr>
        <w:t>11</w:t>
      </w:r>
      <w:r w:rsidRPr="006B3DEC">
        <w:rPr>
          <w:bCs/>
        </w:rPr>
        <w:t xml:space="preserve"> in 1975 and by Schaefer</w:t>
      </w:r>
      <w:r w:rsidRPr="006B3DEC">
        <w:rPr>
          <w:bCs/>
          <w:vertAlign w:val="superscript"/>
        </w:rPr>
        <w:t>12</w:t>
      </w:r>
      <w:r w:rsidRPr="006B3DEC">
        <w:rPr>
          <w:bCs/>
        </w:rPr>
        <w:t xml:space="preserve"> in 1990, and now as F* by Hand et al.</w:t>
      </w:r>
      <w:r w:rsidRPr="006B3DEC">
        <w:rPr>
          <w:bCs/>
          <w:vertAlign w:val="superscript"/>
        </w:rPr>
        <w:t>6</w:t>
      </w:r>
      <w:r w:rsidRPr="006B3DEC">
        <w:rPr>
          <w:bCs/>
        </w:rPr>
        <w:t xml:space="preserve">  These multiple </w:t>
      </w:r>
      <w:proofErr w:type="spellStart"/>
      <w:r w:rsidRPr="006B3DEC">
        <w:rPr>
          <w:bCs/>
        </w:rPr>
        <w:t>redescriptions</w:t>
      </w:r>
      <w:proofErr w:type="spellEnd"/>
      <w:r w:rsidRPr="006B3DEC">
        <w:rPr>
          <w:bCs/>
        </w:rPr>
        <w:t xml:space="preserve"> may reflect use of this measure by researchers in different disciplines (weather forecasting, ecology, machine learning) unaware of prior authors and unbeknownst to later authors. This case illustrates the potential for convergent evolution of </w:t>
      </w:r>
      <w:r w:rsidR="00782428" w:rsidRPr="006B3DEC">
        <w:rPr>
          <w:bCs/>
        </w:rPr>
        <w:t>verification</w:t>
      </w:r>
      <w:r w:rsidRPr="006B3DEC">
        <w:rPr>
          <w:bCs/>
        </w:rPr>
        <w:t xml:space="preserve"> metrics over time. A system for greater cohesion </w:t>
      </w:r>
      <w:r w:rsidR="00782428" w:rsidRPr="006B3DEC">
        <w:rPr>
          <w:bCs/>
        </w:rPr>
        <w:t>between disciplines</w:t>
      </w:r>
      <w:r w:rsidRPr="006B3DEC">
        <w:rPr>
          <w:bCs/>
        </w:rPr>
        <w:t xml:space="preserve"> over the years may be required to prevent duplication in literature.</w:t>
      </w:r>
      <w:r w:rsidR="00474D73" w:rsidRPr="006B3DEC">
        <w:rPr>
          <w:bCs/>
        </w:rPr>
        <w:t xml:space="preserve">  We see little merit in using the F* nomenclature rather than CSI, as the latter makes clear its difference from, and hence avoids any confusion with, F.  </w:t>
      </w:r>
      <w:r w:rsidRPr="006B3DEC">
        <w:rPr>
          <w:bCs/>
        </w:rPr>
        <w:t xml:space="preserve"> </w:t>
      </w:r>
    </w:p>
    <w:p w14:paraId="169F1BB0" w14:textId="77777777" w:rsidR="001E434E" w:rsidRPr="006B3DEC" w:rsidRDefault="001E434E" w:rsidP="001E434E">
      <w:pPr>
        <w:jc w:val="both"/>
        <w:rPr>
          <w:bCs/>
        </w:rPr>
      </w:pPr>
    </w:p>
    <w:p w14:paraId="72EBFAD6" w14:textId="0846291F" w:rsidR="00443038" w:rsidRPr="006B3DEC" w:rsidRDefault="001E434E" w:rsidP="001E434E">
      <w:pPr>
        <w:jc w:val="both"/>
      </w:pPr>
      <w:r w:rsidRPr="006B3DEC">
        <w:rPr>
          <w:bCs/>
        </w:rPr>
        <w:t xml:space="preserve">The </w:t>
      </w:r>
      <w:r w:rsidR="00782428" w:rsidRPr="006B3DEC">
        <w:rPr>
          <w:bCs/>
        </w:rPr>
        <w:t>CSI</w:t>
      </w:r>
      <w:r w:rsidRPr="006B3DEC">
        <w:rPr>
          <w:bCs/>
        </w:rPr>
        <w:t xml:space="preserve"> has recently been exported to the domain of clinical medicine</w:t>
      </w:r>
      <w:r w:rsidR="005165D9" w:rsidRPr="006B3DEC">
        <w:rPr>
          <w:bCs/>
        </w:rPr>
        <w:t xml:space="preserve">.  Examples of its use include the evaluation of the </w:t>
      </w:r>
      <w:r w:rsidRPr="006B3DEC">
        <w:t>accuracy of instruments used in day-to-day clinical practice for screening cognitive function in patients with possible dementia or mild cognitive impairment,</w:t>
      </w:r>
      <w:r w:rsidRPr="006B3DEC">
        <w:rPr>
          <w:vertAlign w:val="superscript"/>
        </w:rPr>
        <w:t>16</w:t>
      </w:r>
      <w:r w:rsidRPr="006B3DEC">
        <w:t xml:space="preserve"> as well as in diagnostic accuracy studies of administrative epilepsy data.</w:t>
      </w:r>
      <w:r w:rsidRPr="006B3DEC">
        <w:rPr>
          <w:vertAlign w:val="superscript"/>
        </w:rPr>
        <w:t>17</w:t>
      </w:r>
      <w:r w:rsidRPr="006B3DEC">
        <w:t xml:space="preserve">  In these studies the identity of F* and CSI has been confirmed using the respective datasets.  We have also suggested possible application of CSI in assessing both NICE criteria for 2-week-wait suspected brain and CNS cancer referrals</w:t>
      </w:r>
      <w:r w:rsidRPr="006B3DEC">
        <w:rPr>
          <w:vertAlign w:val="superscript"/>
        </w:rPr>
        <w:t>18</w:t>
      </w:r>
      <w:r w:rsidRPr="006B3DEC">
        <w:t xml:space="preserve"> and polygenic hazard scores.</w:t>
      </w:r>
      <w:r w:rsidRPr="006B3DEC">
        <w:rPr>
          <w:vertAlign w:val="superscript"/>
        </w:rPr>
        <w:t>19</w:t>
      </w:r>
      <w:r w:rsidRPr="006B3DEC">
        <w:rPr>
          <w:bCs/>
        </w:rPr>
        <w:t xml:space="preserve">  These are all </w:t>
      </w:r>
      <w:r w:rsidRPr="006B3DEC">
        <w:t>situations in which large numbers of TN may complicate the interpretation of more traditional measures such as PPV and Sens.</w:t>
      </w:r>
      <w:r w:rsidR="00BE6376" w:rsidRPr="006B3DEC">
        <w:t xml:space="preserve"> The large number of TN instances </w:t>
      </w:r>
      <w:r w:rsidR="00BE6376" w:rsidRPr="006B3DEC">
        <w:lastRenderedPageBreak/>
        <w:t xml:space="preserve">make it difficult to discriminate diagnostic algorithm accuracy on the basis of negative predictive value (NPV) and specificity as these become inflated (usually approaching 100%). </w:t>
      </w:r>
      <w:r w:rsidR="005165D9" w:rsidRPr="006B3DEC">
        <w:t xml:space="preserve"> </w:t>
      </w:r>
      <w:r w:rsidR="00BE6376" w:rsidRPr="006B3DEC">
        <w:t>It is not uncommon for diagnostic accuracy studies to rank algorithms in order of highest to lowest PPV and Sens, with priority given to those with higher values in both estimates.</w:t>
      </w:r>
      <w:r w:rsidR="00EC230C" w:rsidRPr="006B3DEC">
        <w:rPr>
          <w:vertAlign w:val="superscript"/>
        </w:rPr>
        <w:t>17,20</w:t>
      </w:r>
      <w:r w:rsidR="00EC230C" w:rsidRPr="006B3DEC">
        <w:t xml:space="preserve"> </w:t>
      </w:r>
      <w:r w:rsidR="00BE6376" w:rsidRPr="006B3DEC">
        <w:t xml:space="preserve"> This </w:t>
      </w:r>
      <w:r w:rsidR="005165D9" w:rsidRPr="006B3DEC">
        <w:t xml:space="preserve">approach </w:t>
      </w:r>
      <w:r w:rsidR="00BE6376" w:rsidRPr="006B3DEC">
        <w:t xml:space="preserve">is challenged by lack of a single threshold, and the trade-off relationship between PPV and Sens. </w:t>
      </w:r>
      <w:r w:rsidR="005165D9" w:rsidRPr="006B3DEC">
        <w:t xml:space="preserve"> </w:t>
      </w:r>
      <w:r w:rsidR="00735D1D" w:rsidRPr="006B3DEC">
        <w:t>A</w:t>
      </w:r>
      <w:r w:rsidR="00BE6376" w:rsidRPr="006B3DEC">
        <w:t xml:space="preserve"> </w:t>
      </w:r>
      <w:r w:rsidR="00735D1D" w:rsidRPr="006B3DEC">
        <w:t>convenient</w:t>
      </w:r>
      <w:r w:rsidR="00BE6376" w:rsidRPr="006B3DEC">
        <w:t xml:space="preserve"> way to combine PPV and Sens into a single metric to make it easier and more objective to rank diagnostic algorithms by their accuracy</w:t>
      </w:r>
      <w:r w:rsidR="00735D1D" w:rsidRPr="006B3DEC">
        <w:t xml:space="preserve"> is to </w:t>
      </w:r>
      <w:r w:rsidR="005165D9" w:rsidRPr="006B3DEC">
        <w:t>use</w:t>
      </w:r>
      <w:r w:rsidR="006936FF" w:rsidRPr="006B3DEC">
        <w:t xml:space="preserve"> </w:t>
      </w:r>
      <w:r w:rsidR="00735D1D" w:rsidRPr="006B3DEC">
        <w:t>CSI.</w:t>
      </w:r>
      <w:r w:rsidR="00735D1D" w:rsidRPr="006B3DEC">
        <w:rPr>
          <w:vertAlign w:val="superscript"/>
        </w:rPr>
        <w:t>17,20</w:t>
      </w:r>
      <w:r w:rsidR="00735D1D" w:rsidRPr="006B3DEC">
        <w:t xml:space="preserve"> </w:t>
      </w:r>
    </w:p>
    <w:p w14:paraId="216E896E" w14:textId="77777777" w:rsidR="00443038" w:rsidRPr="006B3DEC" w:rsidRDefault="00443038" w:rsidP="001E434E">
      <w:pPr>
        <w:jc w:val="both"/>
      </w:pPr>
    </w:p>
    <w:p w14:paraId="3F2F8225" w14:textId="6090E1CA" w:rsidR="00B13737" w:rsidRPr="006B3DEC" w:rsidRDefault="00EF188E" w:rsidP="001E434E">
      <w:pPr>
        <w:jc w:val="both"/>
        <w:rPr>
          <w:snapToGrid w:val="0"/>
          <w:lang w:eastAsia="en-US"/>
        </w:rPr>
      </w:pPr>
      <w:r w:rsidRPr="006B3DEC">
        <w:t>Many outcome measures may be quantitatively, semi-quantitatively, or qualitatively classified, for example, as poor, fair, good, or excellent.  Is it possible to classify CSI values in one or other of these ways?</w:t>
      </w:r>
      <w:r w:rsidR="00FE0DA5" w:rsidRPr="006B3DEC">
        <w:t xml:space="preserve"> </w:t>
      </w:r>
      <w:r w:rsidR="00474D73" w:rsidRPr="006B3DEC">
        <w:t xml:space="preserve"> To date, diagnostic accuracy thresholds based on combined PPV and Sens have yet to be determined.  However, as for Sens, Spec, PPV, and NPV</w:t>
      </w:r>
      <w:r w:rsidR="00161A02" w:rsidRPr="006B3DEC">
        <w:t xml:space="preserve">, </w:t>
      </w:r>
      <w:r w:rsidR="00474D73" w:rsidRPr="006B3DEC">
        <w:t xml:space="preserve">all </w:t>
      </w:r>
      <w:r w:rsidR="00E5228D" w:rsidRPr="006B3DEC">
        <w:t xml:space="preserve">of which are </w:t>
      </w:r>
      <w:r w:rsidR="00474D73" w:rsidRPr="006B3DEC">
        <w:t>conditional probabilities</w:t>
      </w:r>
      <w:r w:rsidR="00161A02" w:rsidRPr="006B3DEC">
        <w:t xml:space="preserve"> ranging from 0-1</w:t>
      </w:r>
      <w:r w:rsidR="00474D73" w:rsidRPr="006B3DEC">
        <w:t>,</w:t>
      </w:r>
      <w:r w:rsidR="00161A02" w:rsidRPr="006B3DEC">
        <w:t xml:space="preserve"> a higher value is evidently better.  </w:t>
      </w:r>
      <w:r w:rsidR="00B13737" w:rsidRPr="006B3DEC">
        <w:t>E</w:t>
      </w:r>
      <w:r w:rsidR="00474D73" w:rsidRPr="006B3DEC">
        <w:t>mpirical recommendations may</w:t>
      </w:r>
      <w:r w:rsidR="00B13737" w:rsidRPr="006B3DEC">
        <w:t xml:space="preserve"> </w:t>
      </w:r>
      <w:r w:rsidR="00E5228D" w:rsidRPr="006B3DEC">
        <w:t xml:space="preserve">thus </w:t>
      </w:r>
      <w:r w:rsidR="00474D73" w:rsidRPr="006B3DEC">
        <w:t xml:space="preserve">be made, such as the proposal that CSI ≥0.80 would be acceptable as </w:t>
      </w:r>
      <w:r w:rsidR="00735D1D" w:rsidRPr="006B3DEC">
        <w:t>diagnostically accurate</w:t>
      </w:r>
      <w:r w:rsidR="002503C4" w:rsidRPr="006B3DEC">
        <w:t xml:space="preserve"> from prior epilepsy literature, based on observation that both</w:t>
      </w:r>
      <w:r w:rsidR="00DE0A1C" w:rsidRPr="006B3DEC">
        <w:t xml:space="preserve"> the underlying</w:t>
      </w:r>
      <w:r w:rsidR="002503C4" w:rsidRPr="006B3DEC">
        <w:t xml:space="preserve"> PPV and Sens were ≥80%</w:t>
      </w:r>
      <w:r w:rsidR="00DE0A1C" w:rsidRPr="006B3DEC">
        <w:t xml:space="preserve"> at this CSI threshold</w:t>
      </w:r>
      <w:r w:rsidR="00735D1D" w:rsidRPr="006B3DEC">
        <w:t>.</w:t>
      </w:r>
      <w:r w:rsidR="00474D73" w:rsidRPr="006B3DEC">
        <w:rPr>
          <w:vertAlign w:val="superscript"/>
        </w:rPr>
        <w:t>17</w:t>
      </w:r>
      <w:r w:rsidR="00474D73" w:rsidRPr="006B3DEC">
        <w:t xml:space="preserve"> </w:t>
      </w:r>
      <w:r w:rsidR="00DE0A1C" w:rsidRPr="006B3DEC">
        <w:t xml:space="preserve">Future work should be undertaken to explore and cross-validate this threshold in other datasets within and outside epilepsy. </w:t>
      </w:r>
      <w:r w:rsidR="00474D73" w:rsidRPr="006B3DEC">
        <w:t xml:space="preserve"> </w:t>
      </w:r>
      <w:r w:rsidR="00DE0A1C" w:rsidRPr="006B3DEC">
        <w:t xml:space="preserve">Clearly, </w:t>
      </w:r>
      <w:r w:rsidR="00E5228D" w:rsidRPr="006B3DEC">
        <w:t>absolute values may be used when comparing different testing strategies or algorithms.</w:t>
      </w:r>
      <w:r w:rsidR="00E5228D" w:rsidRPr="006B3DEC">
        <w:rPr>
          <w:vertAlign w:val="superscript"/>
        </w:rPr>
        <w:t>17,20</w:t>
      </w:r>
      <w:r w:rsidR="00E5228D" w:rsidRPr="006B3DEC">
        <w:t xml:space="preserve"> </w:t>
      </w:r>
      <w:r w:rsidR="00FE0DA5" w:rsidRPr="006B3DEC">
        <w:rPr>
          <w:rStyle w:val="xcontentpasted0"/>
          <w:bdr w:val="none" w:sz="0" w:space="0" w:color="auto" w:frame="1"/>
        </w:rPr>
        <w:t xml:space="preserve">CSI may </w:t>
      </w:r>
      <w:r w:rsidR="00474D73" w:rsidRPr="006B3DEC">
        <w:rPr>
          <w:rStyle w:val="xcontentpasted0"/>
          <w:bdr w:val="none" w:sz="0" w:space="0" w:color="auto" w:frame="1"/>
        </w:rPr>
        <w:t xml:space="preserve">also </w:t>
      </w:r>
      <w:r w:rsidR="00FE0DA5" w:rsidRPr="006B3DEC">
        <w:rPr>
          <w:rStyle w:val="xcontentpasted0"/>
          <w:bdr w:val="none" w:sz="0" w:space="0" w:color="auto" w:frame="1"/>
        </w:rPr>
        <w:t xml:space="preserve">be treated as a proportion and a non-exact binomial method used to calculate </w:t>
      </w:r>
      <w:r w:rsidR="00E5228D" w:rsidRPr="006B3DEC">
        <w:rPr>
          <w:rStyle w:val="xcontentpasted0"/>
          <w:bdr w:val="none" w:sz="0" w:space="0" w:color="auto" w:frame="1"/>
        </w:rPr>
        <w:t xml:space="preserve">its </w:t>
      </w:r>
      <w:r w:rsidR="00FE0DA5" w:rsidRPr="006B3DEC">
        <w:rPr>
          <w:rStyle w:val="xcontentpasted0"/>
          <w:bdr w:val="none" w:sz="0" w:space="0" w:color="auto" w:frame="1"/>
        </w:rPr>
        <w:t>confidence intervals</w:t>
      </w:r>
      <w:r w:rsidR="00DE0A1C" w:rsidRPr="006B3DEC">
        <w:rPr>
          <w:rStyle w:val="xcontentpasted0"/>
          <w:bdr w:val="none" w:sz="0" w:space="0" w:color="auto" w:frame="1"/>
        </w:rPr>
        <w:t>, thereby aiding the ability to make valid comparisons</w:t>
      </w:r>
      <w:r w:rsidR="00FE0DA5" w:rsidRPr="006B3DEC">
        <w:rPr>
          <w:rStyle w:val="xcontentpasted0"/>
          <w:bdr w:val="none" w:sz="0" w:space="0" w:color="auto" w:frame="1"/>
        </w:rPr>
        <w:t>.</w:t>
      </w:r>
      <w:r w:rsidR="00FE0DA5" w:rsidRPr="006B3DEC">
        <w:rPr>
          <w:rStyle w:val="xcontentpasted0"/>
          <w:bdr w:val="none" w:sz="0" w:space="0" w:color="auto" w:frame="1"/>
          <w:vertAlign w:val="superscript"/>
        </w:rPr>
        <w:t>1</w:t>
      </w:r>
      <w:r w:rsidR="00B13737" w:rsidRPr="006B3DEC">
        <w:rPr>
          <w:rStyle w:val="xcontentpasted0"/>
          <w:bdr w:val="none" w:sz="0" w:space="0" w:color="auto" w:frame="1"/>
        </w:rPr>
        <w:t xml:space="preserve">  </w:t>
      </w:r>
      <w:r w:rsidR="00B13737" w:rsidRPr="006B3DEC">
        <w:rPr>
          <w:snapToGrid w:val="0"/>
          <w:lang w:eastAsia="en-US"/>
        </w:rPr>
        <w:t xml:space="preserve">As CSI values are derived from both Sens and PPV, they are dependent on both test threshold </w:t>
      </w:r>
      <w:r w:rsidR="00E5228D" w:rsidRPr="006B3DEC">
        <w:rPr>
          <w:snapToGrid w:val="0"/>
          <w:lang w:eastAsia="en-US"/>
        </w:rPr>
        <w:t xml:space="preserve">(Q) </w:t>
      </w:r>
      <w:r w:rsidR="00B13737" w:rsidRPr="006B3DEC">
        <w:rPr>
          <w:snapToGrid w:val="0"/>
          <w:lang w:eastAsia="en-US"/>
        </w:rPr>
        <w:t>and class prevalence</w:t>
      </w:r>
      <w:r w:rsidR="00E5228D" w:rsidRPr="006B3DEC">
        <w:rPr>
          <w:snapToGrid w:val="0"/>
          <w:lang w:eastAsia="en-US"/>
        </w:rPr>
        <w:t xml:space="preserve"> (P)</w:t>
      </w:r>
      <w:r w:rsidR="00B13737" w:rsidRPr="006B3DEC">
        <w:rPr>
          <w:snapToGrid w:val="0"/>
          <w:lang w:eastAsia="en-US"/>
        </w:rPr>
        <w:t>.</w:t>
      </w:r>
      <w:r w:rsidR="00B13737" w:rsidRPr="006B3DEC">
        <w:rPr>
          <w:snapToGrid w:val="0"/>
          <w:vertAlign w:val="superscript"/>
          <w:lang w:eastAsia="en-US"/>
        </w:rPr>
        <w:t>21</w:t>
      </w:r>
    </w:p>
    <w:p w14:paraId="609A9563" w14:textId="26CC1FB4" w:rsidR="00443038" w:rsidRPr="006B3DEC" w:rsidRDefault="00B13737" w:rsidP="001E434E">
      <w:pPr>
        <w:jc w:val="both"/>
        <w:rPr>
          <w:bdr w:val="none" w:sz="0" w:space="0" w:color="auto" w:frame="1"/>
        </w:rPr>
      </w:pPr>
      <w:r w:rsidRPr="006B3DEC">
        <w:rPr>
          <w:snapToGrid w:val="0"/>
          <w:lang w:eastAsia="en-US"/>
        </w:rPr>
        <w:t xml:space="preserve"> </w:t>
      </w:r>
    </w:p>
    <w:p w14:paraId="243F168D" w14:textId="77777777" w:rsidR="00462555" w:rsidRPr="006B3DEC" w:rsidRDefault="00462555" w:rsidP="00462555">
      <w:pPr>
        <w:jc w:val="both"/>
        <w:rPr>
          <w:b/>
          <w:bCs/>
          <w:snapToGrid w:val="0"/>
          <w:lang w:eastAsia="en-US"/>
        </w:rPr>
      </w:pPr>
      <w:r w:rsidRPr="006B3DEC">
        <w:rPr>
          <w:b/>
          <w:bCs/>
          <w:snapToGrid w:val="0"/>
          <w:lang w:eastAsia="en-US"/>
        </w:rPr>
        <w:t>Declarations</w:t>
      </w:r>
    </w:p>
    <w:p w14:paraId="2350E9EE" w14:textId="77777777" w:rsidR="00462555" w:rsidRPr="006B3DEC" w:rsidRDefault="00462555" w:rsidP="00462555">
      <w:pPr>
        <w:spacing w:before="120"/>
        <w:jc w:val="both"/>
        <w:rPr>
          <w:b/>
          <w:bCs/>
          <w:snapToGrid w:val="0"/>
          <w:lang w:eastAsia="en-US"/>
        </w:rPr>
      </w:pPr>
      <w:r w:rsidRPr="006B3DEC">
        <w:rPr>
          <w:b/>
          <w:bCs/>
          <w:snapToGrid w:val="0"/>
          <w:lang w:eastAsia="en-US"/>
        </w:rPr>
        <w:t xml:space="preserve">Ethics approval and consent to participate: </w:t>
      </w:r>
      <w:r w:rsidRPr="006B3DEC">
        <w:rPr>
          <w:bCs/>
          <w:snapToGrid w:val="0"/>
          <w:lang w:eastAsia="en-US"/>
        </w:rPr>
        <w:t>not applicable as this is a commentary article on a previously publish study.</w:t>
      </w:r>
    </w:p>
    <w:p w14:paraId="722B069B" w14:textId="77777777" w:rsidR="00462555" w:rsidRPr="006B3DEC" w:rsidRDefault="00462555" w:rsidP="00462555">
      <w:pPr>
        <w:spacing w:before="120"/>
        <w:jc w:val="both"/>
        <w:rPr>
          <w:b/>
          <w:bCs/>
          <w:snapToGrid w:val="0"/>
          <w:lang w:eastAsia="en-US"/>
        </w:rPr>
      </w:pPr>
      <w:r w:rsidRPr="006B3DEC">
        <w:rPr>
          <w:b/>
          <w:bCs/>
          <w:snapToGrid w:val="0"/>
          <w:lang w:eastAsia="en-US"/>
        </w:rPr>
        <w:t xml:space="preserve">Consent for publication: </w:t>
      </w:r>
      <w:r w:rsidRPr="006B3DEC">
        <w:rPr>
          <w:bCs/>
          <w:snapToGrid w:val="0"/>
          <w:lang w:eastAsia="en-US"/>
        </w:rPr>
        <w:t>not applicable.</w:t>
      </w:r>
    </w:p>
    <w:p w14:paraId="77A95C85" w14:textId="77777777" w:rsidR="00462555" w:rsidRPr="006B3DEC" w:rsidRDefault="00462555" w:rsidP="00462555">
      <w:pPr>
        <w:spacing w:before="120"/>
        <w:jc w:val="both"/>
        <w:rPr>
          <w:b/>
          <w:bCs/>
          <w:snapToGrid w:val="0"/>
          <w:lang w:eastAsia="en-US"/>
        </w:rPr>
      </w:pPr>
      <w:r w:rsidRPr="006B3DEC">
        <w:rPr>
          <w:b/>
          <w:bCs/>
          <w:snapToGrid w:val="0"/>
          <w:lang w:eastAsia="en-US"/>
        </w:rPr>
        <w:t xml:space="preserve">Availability of data and materials: </w:t>
      </w:r>
      <w:r w:rsidRPr="006B3DEC">
        <w:rPr>
          <w:bCs/>
          <w:snapToGrid w:val="0"/>
          <w:lang w:eastAsia="en-US"/>
        </w:rPr>
        <w:t>No datasets used and/or analysed during the current study.</w:t>
      </w:r>
    </w:p>
    <w:p w14:paraId="374F5008" w14:textId="6CB20655" w:rsidR="00462555" w:rsidRPr="006B3DEC" w:rsidRDefault="00462555" w:rsidP="00462555">
      <w:pPr>
        <w:spacing w:before="120"/>
        <w:jc w:val="both"/>
        <w:rPr>
          <w:b/>
          <w:bCs/>
          <w:snapToGrid w:val="0"/>
          <w:lang w:eastAsia="en-US"/>
        </w:rPr>
      </w:pPr>
      <w:r w:rsidRPr="006B3DEC">
        <w:rPr>
          <w:b/>
          <w:bCs/>
          <w:snapToGrid w:val="0"/>
          <w:lang w:eastAsia="en-US"/>
        </w:rPr>
        <w:t xml:space="preserve">Competing interests: </w:t>
      </w:r>
      <w:r w:rsidRPr="006B3DEC">
        <w:rPr>
          <w:bCs/>
          <w:snapToGrid w:val="0"/>
          <w:lang w:eastAsia="en-US"/>
        </w:rPr>
        <w:t>The authors declare that they have no competing interests</w:t>
      </w:r>
      <w:r w:rsidR="005C1F96">
        <w:rPr>
          <w:bCs/>
          <w:snapToGrid w:val="0"/>
          <w:lang w:eastAsia="en-US"/>
        </w:rPr>
        <w:t>.</w:t>
      </w:r>
    </w:p>
    <w:p w14:paraId="78BE042A" w14:textId="42EEA6C6" w:rsidR="00462555" w:rsidRPr="006B3DEC" w:rsidRDefault="00462555" w:rsidP="00462555">
      <w:pPr>
        <w:spacing w:before="120"/>
        <w:jc w:val="both"/>
        <w:rPr>
          <w:b/>
          <w:bCs/>
          <w:snapToGrid w:val="0"/>
          <w:lang w:eastAsia="en-US"/>
        </w:rPr>
      </w:pPr>
      <w:r w:rsidRPr="006B3DEC">
        <w:rPr>
          <w:b/>
          <w:bCs/>
          <w:snapToGrid w:val="0"/>
          <w:lang w:eastAsia="en-US"/>
        </w:rPr>
        <w:t xml:space="preserve">Funding: </w:t>
      </w:r>
      <w:r w:rsidRPr="006B3DEC">
        <w:rPr>
          <w:bCs/>
          <w:snapToGrid w:val="0"/>
          <w:lang w:eastAsia="en-US"/>
        </w:rPr>
        <w:t>GKM is supported by a National Institute for Health and Care Research (NIHR) Clinical Lectureship (CL-2022-07-002).</w:t>
      </w:r>
      <w:r w:rsidRPr="006B3DEC">
        <w:rPr>
          <w:b/>
          <w:bCs/>
          <w:snapToGrid w:val="0"/>
          <w:lang w:eastAsia="en-US"/>
        </w:rPr>
        <w:t xml:space="preserve"> </w:t>
      </w:r>
      <w:r w:rsidR="009649C4" w:rsidRPr="009649C4">
        <w:rPr>
          <w:bCs/>
          <w:snapToGrid w:val="0"/>
          <w:lang w:eastAsia="en-US"/>
        </w:rPr>
        <w:t>For the purpose of open access, the author has applied a Creative Commons Attribution (CC BY) licence</w:t>
      </w:r>
      <w:r w:rsidR="009649C4">
        <w:rPr>
          <w:bCs/>
          <w:snapToGrid w:val="0"/>
          <w:lang w:eastAsia="en-US"/>
        </w:rPr>
        <w:t xml:space="preserve"> </w:t>
      </w:r>
      <w:r w:rsidR="009649C4" w:rsidRPr="009649C4">
        <w:rPr>
          <w:bCs/>
          <w:snapToGrid w:val="0"/>
          <w:lang w:eastAsia="en-US"/>
        </w:rPr>
        <w:t>to any Author Accepted Manuscript version arising</w:t>
      </w:r>
      <w:bookmarkStart w:id="0" w:name="_GoBack"/>
      <w:bookmarkEnd w:id="0"/>
      <w:r w:rsidR="009649C4" w:rsidRPr="009649C4">
        <w:rPr>
          <w:bCs/>
          <w:snapToGrid w:val="0"/>
          <w:lang w:eastAsia="en-US"/>
        </w:rPr>
        <w:t>.</w:t>
      </w:r>
    </w:p>
    <w:p w14:paraId="2CB2C77B" w14:textId="77777777" w:rsidR="00462555" w:rsidRPr="006B3DEC" w:rsidRDefault="00462555" w:rsidP="00462555">
      <w:pPr>
        <w:spacing w:before="120"/>
        <w:jc w:val="both"/>
        <w:rPr>
          <w:b/>
          <w:bCs/>
          <w:snapToGrid w:val="0"/>
          <w:lang w:eastAsia="en-US"/>
        </w:rPr>
      </w:pPr>
      <w:r w:rsidRPr="006B3DEC">
        <w:rPr>
          <w:b/>
          <w:bCs/>
          <w:snapToGrid w:val="0"/>
          <w:lang w:eastAsia="en-US"/>
        </w:rPr>
        <w:t xml:space="preserve">Authors' contributions: </w:t>
      </w:r>
      <w:r w:rsidRPr="006B3DEC">
        <w:rPr>
          <w:bCs/>
          <w:snapToGrid w:val="0"/>
          <w:lang w:eastAsia="en-US"/>
        </w:rPr>
        <w:t>Conceptualization, A.J.L; Methodology, A.J.L.; Formal Analysis, A.J.L; Writing – Original Draft, A.J.L.; Writing – Review &amp; Editing, G.K.M., A.J.L., Supervision, A.J.L..</w:t>
      </w:r>
    </w:p>
    <w:p w14:paraId="21B1E346" w14:textId="24050091" w:rsidR="001E434E" w:rsidRPr="006B3DEC" w:rsidRDefault="00462555" w:rsidP="001E434E">
      <w:pPr>
        <w:spacing w:before="120"/>
        <w:jc w:val="both"/>
        <w:rPr>
          <w:b/>
          <w:bCs/>
          <w:snapToGrid w:val="0"/>
          <w:lang w:eastAsia="en-US"/>
        </w:rPr>
      </w:pPr>
      <w:r w:rsidRPr="006B3DEC">
        <w:rPr>
          <w:b/>
          <w:bCs/>
          <w:snapToGrid w:val="0"/>
          <w:lang w:eastAsia="en-US"/>
        </w:rPr>
        <w:t xml:space="preserve">Acknowledgements: </w:t>
      </w:r>
      <w:r w:rsidRPr="006B3DEC">
        <w:rPr>
          <w:bCs/>
          <w:snapToGrid w:val="0"/>
          <w:lang w:eastAsia="en-US"/>
        </w:rPr>
        <w:t xml:space="preserve">We are grateful to Professor Iain Buchan and Dr Glen Martin for strategic advice on this work. </w:t>
      </w:r>
    </w:p>
    <w:p w14:paraId="1381B97A" w14:textId="77777777" w:rsidR="001E434E" w:rsidRPr="006B3DEC" w:rsidRDefault="001E434E" w:rsidP="001E434E">
      <w:pPr>
        <w:jc w:val="both"/>
      </w:pPr>
    </w:p>
    <w:p w14:paraId="72B531FE" w14:textId="77777777" w:rsidR="001E434E" w:rsidRPr="006B3DEC" w:rsidRDefault="001E434E" w:rsidP="001E434E">
      <w:pPr>
        <w:jc w:val="both"/>
        <w:rPr>
          <w:b/>
        </w:rPr>
      </w:pPr>
      <w:r w:rsidRPr="006B3DEC">
        <w:rPr>
          <w:b/>
        </w:rPr>
        <w:t>References</w:t>
      </w:r>
    </w:p>
    <w:p w14:paraId="2C4BD1B7" w14:textId="1B99F5DD" w:rsidR="001E434E" w:rsidRPr="006B3DEC" w:rsidRDefault="001E434E" w:rsidP="001E434E">
      <w:pPr>
        <w:pStyle w:val="ListParagraph"/>
        <w:numPr>
          <w:ilvl w:val="0"/>
          <w:numId w:val="8"/>
        </w:numPr>
        <w:jc w:val="both"/>
        <w:rPr>
          <w:bCs/>
        </w:rPr>
      </w:pPr>
      <w:proofErr w:type="spellStart"/>
      <w:r w:rsidRPr="006B3DEC">
        <w:rPr>
          <w:bCs/>
        </w:rPr>
        <w:t>Larner</w:t>
      </w:r>
      <w:proofErr w:type="spellEnd"/>
      <w:r w:rsidRPr="006B3DEC">
        <w:rPr>
          <w:bCs/>
        </w:rPr>
        <w:t xml:space="preserve"> AJ. </w:t>
      </w:r>
      <w:r w:rsidRPr="006B3DEC">
        <w:rPr>
          <w:bCs/>
          <w:i/>
          <w:iCs/>
        </w:rPr>
        <w:t>The 2x2 matrix. Contingency, confusion, and the metrics of binary classification</w:t>
      </w:r>
      <w:r w:rsidRPr="006B3DEC">
        <w:rPr>
          <w:bCs/>
        </w:rPr>
        <w:t xml:space="preserve"> (2</w:t>
      </w:r>
      <w:r w:rsidRPr="006B3DEC">
        <w:rPr>
          <w:bCs/>
          <w:vertAlign w:val="superscript"/>
        </w:rPr>
        <w:t>nd</w:t>
      </w:r>
      <w:r w:rsidRPr="006B3DEC">
        <w:rPr>
          <w:bCs/>
        </w:rPr>
        <w:t xml:space="preserve"> edition). London: Springer, 2024.</w:t>
      </w:r>
    </w:p>
    <w:p w14:paraId="73B91771" w14:textId="77777777" w:rsidR="001E434E" w:rsidRPr="006B3DEC" w:rsidRDefault="001E434E" w:rsidP="001E434E">
      <w:pPr>
        <w:pStyle w:val="ListParagraph"/>
        <w:numPr>
          <w:ilvl w:val="0"/>
          <w:numId w:val="8"/>
        </w:numPr>
        <w:jc w:val="both"/>
      </w:pPr>
      <w:r w:rsidRPr="006B3DEC">
        <w:t xml:space="preserve">Powers DMW. What the F measure doesn’t measure … Features, flaws, fallacies and fixes. </w:t>
      </w:r>
      <w:proofErr w:type="spellStart"/>
      <w:r w:rsidRPr="006B3DEC">
        <w:rPr>
          <w:i/>
          <w:iCs/>
        </w:rPr>
        <w:t>arXiv</w:t>
      </w:r>
      <w:proofErr w:type="spellEnd"/>
      <w:r w:rsidRPr="006B3DEC">
        <w:t xml:space="preserve"> 2015; doi:1503.06410.2015.</w:t>
      </w:r>
    </w:p>
    <w:p w14:paraId="1EC55293" w14:textId="77777777" w:rsidR="001E434E" w:rsidRPr="006B3DEC" w:rsidRDefault="001E434E" w:rsidP="001E434E">
      <w:pPr>
        <w:pStyle w:val="ListParagraph"/>
        <w:numPr>
          <w:ilvl w:val="0"/>
          <w:numId w:val="8"/>
        </w:numPr>
        <w:jc w:val="both"/>
      </w:pPr>
      <w:r w:rsidRPr="006B3DEC">
        <w:t xml:space="preserve">Dice LR. Measures of the amount of ecological association between species. </w:t>
      </w:r>
      <w:r w:rsidRPr="006B3DEC">
        <w:rPr>
          <w:i/>
          <w:iCs/>
        </w:rPr>
        <w:t>Ecology</w:t>
      </w:r>
      <w:r w:rsidRPr="006B3DEC">
        <w:t xml:space="preserve"> 1945; 26(3): 297-302.</w:t>
      </w:r>
    </w:p>
    <w:p w14:paraId="12FD8315" w14:textId="77777777" w:rsidR="001E434E" w:rsidRPr="006B3DEC" w:rsidRDefault="001E434E" w:rsidP="001E434E">
      <w:pPr>
        <w:pStyle w:val="ListParagraph"/>
        <w:numPr>
          <w:ilvl w:val="0"/>
          <w:numId w:val="8"/>
        </w:numPr>
        <w:jc w:val="both"/>
        <w:rPr>
          <w:bCs/>
        </w:rPr>
      </w:pPr>
      <w:proofErr w:type="spellStart"/>
      <w:r w:rsidRPr="006B3DEC">
        <w:t>Sørensen</w:t>
      </w:r>
      <w:proofErr w:type="spellEnd"/>
      <w:r w:rsidRPr="006B3DEC">
        <w:t xml:space="preserve"> T. A method of establishing groups of equal amplitude in plant sociology based on similarity of species and its application to analyses of the vegetation on Danish commons. </w:t>
      </w:r>
      <w:proofErr w:type="spellStart"/>
      <w:r w:rsidRPr="006B3DEC">
        <w:rPr>
          <w:i/>
          <w:iCs/>
        </w:rPr>
        <w:t>Kongelige</w:t>
      </w:r>
      <w:proofErr w:type="spellEnd"/>
      <w:r w:rsidRPr="006B3DEC">
        <w:rPr>
          <w:i/>
          <w:iCs/>
        </w:rPr>
        <w:t xml:space="preserve"> Danske </w:t>
      </w:r>
      <w:proofErr w:type="spellStart"/>
      <w:r w:rsidRPr="006B3DEC">
        <w:rPr>
          <w:i/>
          <w:iCs/>
        </w:rPr>
        <w:t>Videnskabernes</w:t>
      </w:r>
      <w:proofErr w:type="spellEnd"/>
      <w:r w:rsidRPr="006B3DEC">
        <w:rPr>
          <w:i/>
          <w:iCs/>
        </w:rPr>
        <w:t xml:space="preserve"> </w:t>
      </w:r>
      <w:proofErr w:type="spellStart"/>
      <w:r w:rsidRPr="006B3DEC">
        <w:rPr>
          <w:i/>
          <w:iCs/>
        </w:rPr>
        <w:t>Selskab</w:t>
      </w:r>
      <w:proofErr w:type="spellEnd"/>
      <w:r w:rsidRPr="006B3DEC">
        <w:t xml:space="preserve"> 1948; 5(4): 1-34.</w:t>
      </w:r>
    </w:p>
    <w:p w14:paraId="229A8084" w14:textId="77777777" w:rsidR="001E434E" w:rsidRPr="006B3DEC" w:rsidRDefault="001E434E" w:rsidP="001E434E">
      <w:pPr>
        <w:pStyle w:val="ListParagraph"/>
        <w:numPr>
          <w:ilvl w:val="0"/>
          <w:numId w:val="8"/>
        </w:numPr>
        <w:jc w:val="both"/>
        <w:rPr>
          <w:bCs/>
        </w:rPr>
      </w:pPr>
      <w:r w:rsidRPr="006B3DEC">
        <w:rPr>
          <w:snapToGrid w:val="0"/>
          <w:lang w:eastAsia="en-US"/>
        </w:rPr>
        <w:t xml:space="preserve">van </w:t>
      </w:r>
      <w:proofErr w:type="spellStart"/>
      <w:r w:rsidRPr="006B3DEC">
        <w:rPr>
          <w:snapToGrid w:val="0"/>
          <w:lang w:eastAsia="en-US"/>
        </w:rPr>
        <w:t>Rijsbergen</w:t>
      </w:r>
      <w:proofErr w:type="spellEnd"/>
      <w:r w:rsidRPr="006B3DEC">
        <w:rPr>
          <w:bCs/>
        </w:rPr>
        <w:t xml:space="preserve"> CJ. Foundation of evaluation. </w:t>
      </w:r>
      <w:r w:rsidRPr="006B3DEC">
        <w:rPr>
          <w:bCs/>
          <w:i/>
          <w:iCs/>
        </w:rPr>
        <w:t>Journal of Documentation</w:t>
      </w:r>
      <w:r w:rsidRPr="006B3DEC">
        <w:rPr>
          <w:bCs/>
        </w:rPr>
        <w:t xml:space="preserve"> 1974; 30: 365-373.</w:t>
      </w:r>
    </w:p>
    <w:p w14:paraId="1C411129" w14:textId="77777777" w:rsidR="001E434E" w:rsidRPr="006B3DEC" w:rsidRDefault="001E434E" w:rsidP="001E434E">
      <w:pPr>
        <w:pStyle w:val="ListParagraph"/>
        <w:numPr>
          <w:ilvl w:val="0"/>
          <w:numId w:val="8"/>
        </w:numPr>
        <w:jc w:val="both"/>
        <w:rPr>
          <w:bCs/>
        </w:rPr>
      </w:pPr>
      <w:r w:rsidRPr="006B3DEC">
        <w:rPr>
          <w:bCs/>
        </w:rPr>
        <w:t xml:space="preserve">Hand DJ, Christen P, </w:t>
      </w:r>
      <w:proofErr w:type="spellStart"/>
      <w:r w:rsidRPr="006B3DEC">
        <w:rPr>
          <w:bCs/>
        </w:rPr>
        <w:t>Kirielle</w:t>
      </w:r>
      <w:proofErr w:type="spellEnd"/>
      <w:r w:rsidRPr="006B3DEC">
        <w:rPr>
          <w:bCs/>
        </w:rPr>
        <w:t xml:space="preserve"> N. F*: an interpretable transformation of the F measure. </w:t>
      </w:r>
      <w:r w:rsidRPr="006B3DEC">
        <w:rPr>
          <w:bCs/>
          <w:i/>
          <w:iCs/>
        </w:rPr>
        <w:t>Machine Learning</w:t>
      </w:r>
      <w:r w:rsidRPr="006B3DEC">
        <w:rPr>
          <w:bCs/>
        </w:rPr>
        <w:t xml:space="preserve"> 2021; 110(3): 451-456.</w:t>
      </w:r>
    </w:p>
    <w:p w14:paraId="073C1722" w14:textId="77777777" w:rsidR="001E434E" w:rsidRPr="006B3DEC" w:rsidRDefault="001E434E" w:rsidP="001E434E">
      <w:pPr>
        <w:pStyle w:val="ListParagraph"/>
        <w:numPr>
          <w:ilvl w:val="0"/>
          <w:numId w:val="8"/>
        </w:numPr>
        <w:jc w:val="both"/>
      </w:pPr>
      <w:r w:rsidRPr="006B3DEC">
        <w:t xml:space="preserve">Gilbert GK. Finley’s tornado predictions. </w:t>
      </w:r>
      <w:r w:rsidRPr="006B3DEC">
        <w:rPr>
          <w:i/>
          <w:iCs/>
        </w:rPr>
        <w:t>American Meteorological Journal</w:t>
      </w:r>
      <w:r w:rsidRPr="006B3DEC">
        <w:t xml:space="preserve"> 1884; 1: 166-172.</w:t>
      </w:r>
    </w:p>
    <w:p w14:paraId="27502089" w14:textId="77777777" w:rsidR="001E434E" w:rsidRPr="006B3DEC" w:rsidRDefault="001E434E" w:rsidP="001E434E">
      <w:pPr>
        <w:pStyle w:val="ListParagraph"/>
        <w:numPr>
          <w:ilvl w:val="0"/>
          <w:numId w:val="8"/>
        </w:numPr>
        <w:jc w:val="both"/>
      </w:pPr>
      <w:r w:rsidRPr="006B3DEC">
        <w:rPr>
          <w:bCs/>
        </w:rPr>
        <w:lastRenderedPageBreak/>
        <w:t xml:space="preserve">Jaccard P. </w:t>
      </w:r>
      <w:r w:rsidRPr="006B3DEC">
        <w:t xml:space="preserve">The distribution of the flora in the alpine zone. </w:t>
      </w:r>
      <w:r w:rsidRPr="006B3DEC">
        <w:rPr>
          <w:i/>
          <w:iCs/>
        </w:rPr>
        <w:t xml:space="preserve">New </w:t>
      </w:r>
      <w:proofErr w:type="spellStart"/>
      <w:r w:rsidRPr="006B3DEC">
        <w:rPr>
          <w:i/>
          <w:iCs/>
        </w:rPr>
        <w:t>Phytologist</w:t>
      </w:r>
      <w:proofErr w:type="spellEnd"/>
      <w:r w:rsidRPr="006B3DEC">
        <w:t xml:space="preserve"> 1912; 11: 37-50.</w:t>
      </w:r>
    </w:p>
    <w:p w14:paraId="47FCEF8D" w14:textId="77777777" w:rsidR="001E434E" w:rsidRPr="006B3DEC" w:rsidRDefault="001E434E" w:rsidP="001E434E">
      <w:pPr>
        <w:pStyle w:val="ListParagraph"/>
        <w:numPr>
          <w:ilvl w:val="0"/>
          <w:numId w:val="8"/>
        </w:numPr>
        <w:jc w:val="both"/>
      </w:pPr>
      <w:r w:rsidRPr="006B3DEC">
        <w:t xml:space="preserve">Palmer WC, Allen RA. </w:t>
      </w:r>
      <w:r w:rsidRPr="006B3DEC">
        <w:rPr>
          <w:i/>
          <w:iCs/>
        </w:rPr>
        <w:t>Note on the accuracy of forecasts concerning the rain problem</w:t>
      </w:r>
      <w:r w:rsidRPr="006B3DEC">
        <w:t>. U.S. Weather Bureau manuscript: Washington, DC., 1949.</w:t>
      </w:r>
    </w:p>
    <w:p w14:paraId="4D7ECE83" w14:textId="77777777" w:rsidR="001E434E" w:rsidRPr="006B3DEC" w:rsidRDefault="001E434E" w:rsidP="001E434E">
      <w:pPr>
        <w:pStyle w:val="ListParagraph"/>
        <w:numPr>
          <w:ilvl w:val="0"/>
          <w:numId w:val="8"/>
        </w:numPr>
        <w:jc w:val="both"/>
        <w:rPr>
          <w:bCs/>
        </w:rPr>
      </w:pPr>
      <w:proofErr w:type="spellStart"/>
      <w:r w:rsidRPr="006B3DEC">
        <w:rPr>
          <w:bCs/>
        </w:rPr>
        <w:t>Tanimoto</w:t>
      </w:r>
      <w:proofErr w:type="spellEnd"/>
      <w:r w:rsidRPr="006B3DEC">
        <w:rPr>
          <w:bCs/>
        </w:rPr>
        <w:t xml:space="preserve"> TT. </w:t>
      </w:r>
      <w:r w:rsidRPr="006B3DEC">
        <w:rPr>
          <w:bCs/>
          <w:i/>
          <w:iCs/>
        </w:rPr>
        <w:t>An elementary mathematical theory of classification and prediction</w:t>
      </w:r>
      <w:r w:rsidRPr="006B3DEC">
        <w:rPr>
          <w:bCs/>
        </w:rPr>
        <w:t>. Internal IBM Technical Report 17</w:t>
      </w:r>
      <w:r w:rsidRPr="006B3DEC">
        <w:rPr>
          <w:bCs/>
          <w:vertAlign w:val="superscript"/>
        </w:rPr>
        <w:t>th</w:t>
      </w:r>
      <w:r w:rsidRPr="006B3DEC">
        <w:rPr>
          <w:bCs/>
        </w:rPr>
        <w:t xml:space="preserve"> November 1958. </w:t>
      </w:r>
      <w:hyperlink r:id="rId8" w:history="1">
        <w:r w:rsidRPr="006B3DEC">
          <w:rPr>
            <w:rStyle w:val="Hyperlink"/>
            <w:bCs/>
            <w:color w:val="auto"/>
          </w:rPr>
          <w:t>http://dalkescientific.com/tanimoto.pdf</w:t>
        </w:r>
      </w:hyperlink>
    </w:p>
    <w:p w14:paraId="14C54CB6" w14:textId="77777777" w:rsidR="001E434E" w:rsidRPr="006B3DEC" w:rsidRDefault="001E434E" w:rsidP="001E434E">
      <w:pPr>
        <w:pStyle w:val="ListParagraph"/>
        <w:numPr>
          <w:ilvl w:val="0"/>
          <w:numId w:val="8"/>
        </w:numPr>
        <w:jc w:val="both"/>
        <w:rPr>
          <w:bCs/>
        </w:rPr>
      </w:pPr>
      <w:r w:rsidRPr="006B3DEC">
        <w:rPr>
          <w:bCs/>
        </w:rPr>
        <w:t xml:space="preserve">Donaldson RJ, Dyer RM, Kraus MJ. An objective evaluator of techniques for predicting severe weather events. </w:t>
      </w:r>
      <w:r w:rsidRPr="006B3DEC">
        <w:rPr>
          <w:bCs/>
          <w:i/>
          <w:iCs/>
        </w:rPr>
        <w:t>Preprints, 9</w:t>
      </w:r>
      <w:r w:rsidRPr="006B3DEC">
        <w:rPr>
          <w:bCs/>
          <w:i/>
          <w:iCs/>
          <w:vertAlign w:val="superscript"/>
        </w:rPr>
        <w:t>th</w:t>
      </w:r>
      <w:r w:rsidRPr="006B3DEC">
        <w:rPr>
          <w:bCs/>
          <w:i/>
          <w:iCs/>
        </w:rPr>
        <w:t xml:space="preserve"> Conference on Severe Local Storms</w:t>
      </w:r>
      <w:r w:rsidRPr="006B3DEC">
        <w:rPr>
          <w:bCs/>
        </w:rPr>
        <w:t>. Norman, Oklahoma, 1975: 312-326.</w:t>
      </w:r>
    </w:p>
    <w:p w14:paraId="701CA2C7" w14:textId="70200BBD" w:rsidR="001E434E" w:rsidRPr="006B3DEC" w:rsidRDefault="001E434E" w:rsidP="001E434E">
      <w:pPr>
        <w:pStyle w:val="ListParagraph"/>
        <w:numPr>
          <w:ilvl w:val="0"/>
          <w:numId w:val="8"/>
        </w:numPr>
        <w:jc w:val="both"/>
      </w:pPr>
      <w:r w:rsidRPr="006B3DEC">
        <w:t xml:space="preserve">Schaefer JT. The critical success index as an indicator of warning skill. </w:t>
      </w:r>
      <w:r w:rsidRPr="006B3DEC">
        <w:rPr>
          <w:i/>
          <w:iCs/>
        </w:rPr>
        <w:t>Weather Forecasting</w:t>
      </w:r>
      <w:r w:rsidRPr="006B3DEC">
        <w:t xml:space="preserve"> 1990; 5</w:t>
      </w:r>
      <w:r w:rsidR="00524473" w:rsidRPr="006B3DEC">
        <w:t>:</w:t>
      </w:r>
      <w:r w:rsidRPr="006B3DEC">
        <w:t xml:space="preserve"> 570-575.</w:t>
      </w:r>
    </w:p>
    <w:p w14:paraId="159DA322" w14:textId="77777777" w:rsidR="001E434E" w:rsidRPr="006B3DEC" w:rsidRDefault="001E434E" w:rsidP="001E434E">
      <w:pPr>
        <w:pStyle w:val="ListParagraph"/>
        <w:numPr>
          <w:ilvl w:val="0"/>
          <w:numId w:val="8"/>
        </w:numPr>
        <w:jc w:val="both"/>
      </w:pPr>
      <w:r w:rsidRPr="006B3DEC">
        <w:t xml:space="preserve">Jolliffe IT. The Dice co-efficient: a neglected verification performance measure for deterministic forecasts of binary events. </w:t>
      </w:r>
      <w:r w:rsidRPr="006B3DEC">
        <w:rPr>
          <w:i/>
          <w:iCs/>
        </w:rPr>
        <w:t>Meteorological Applications</w:t>
      </w:r>
      <w:r w:rsidRPr="006B3DEC">
        <w:t xml:space="preserve"> 2016; 23(1): 89-90. </w:t>
      </w:r>
    </w:p>
    <w:p w14:paraId="5B88061F" w14:textId="77777777" w:rsidR="001E434E" w:rsidRPr="006B3DEC" w:rsidRDefault="001E434E" w:rsidP="001E434E">
      <w:pPr>
        <w:pStyle w:val="ListParagraph"/>
        <w:numPr>
          <w:ilvl w:val="0"/>
          <w:numId w:val="8"/>
        </w:numPr>
        <w:jc w:val="both"/>
      </w:pPr>
      <w:r w:rsidRPr="006B3DEC">
        <w:rPr>
          <w:bCs/>
        </w:rPr>
        <w:t xml:space="preserve">Jaccard, P. Nouvelles </w:t>
      </w:r>
      <w:proofErr w:type="spellStart"/>
      <w:r w:rsidRPr="006B3DEC">
        <w:rPr>
          <w:bCs/>
        </w:rPr>
        <w:t>recherches</w:t>
      </w:r>
      <w:proofErr w:type="spellEnd"/>
      <w:r w:rsidRPr="006B3DEC">
        <w:rPr>
          <w:bCs/>
        </w:rPr>
        <w:t xml:space="preserve"> sur la distribution </w:t>
      </w:r>
      <w:proofErr w:type="spellStart"/>
      <w:r w:rsidRPr="006B3DEC">
        <w:rPr>
          <w:bCs/>
        </w:rPr>
        <w:t>florale</w:t>
      </w:r>
      <w:proofErr w:type="spellEnd"/>
      <w:r w:rsidRPr="006B3DEC">
        <w:rPr>
          <w:bCs/>
        </w:rPr>
        <w:t xml:space="preserve">. </w:t>
      </w:r>
      <w:r w:rsidRPr="006B3DEC">
        <w:rPr>
          <w:bCs/>
          <w:i/>
          <w:iCs/>
        </w:rPr>
        <w:t xml:space="preserve">Bulletin de la Société </w:t>
      </w:r>
      <w:proofErr w:type="spellStart"/>
      <w:r w:rsidRPr="006B3DEC">
        <w:rPr>
          <w:bCs/>
          <w:i/>
          <w:iCs/>
        </w:rPr>
        <w:t>Vaudoise</w:t>
      </w:r>
      <w:proofErr w:type="spellEnd"/>
      <w:r w:rsidRPr="006B3DEC">
        <w:rPr>
          <w:bCs/>
          <w:i/>
          <w:iCs/>
        </w:rPr>
        <w:t xml:space="preserve"> des Sciences </w:t>
      </w:r>
      <w:proofErr w:type="spellStart"/>
      <w:r w:rsidRPr="006B3DEC">
        <w:rPr>
          <w:bCs/>
          <w:i/>
          <w:iCs/>
        </w:rPr>
        <w:t>Naturelles</w:t>
      </w:r>
      <w:proofErr w:type="spellEnd"/>
      <w:r w:rsidRPr="006B3DEC">
        <w:rPr>
          <w:bCs/>
        </w:rPr>
        <w:t xml:space="preserve"> 1908; 44: 223-270.</w:t>
      </w:r>
    </w:p>
    <w:p w14:paraId="0C5FCB00" w14:textId="77777777" w:rsidR="001E434E" w:rsidRPr="006B3DEC" w:rsidRDefault="001E434E" w:rsidP="001E434E">
      <w:pPr>
        <w:pStyle w:val="ListParagraph"/>
        <w:numPr>
          <w:ilvl w:val="0"/>
          <w:numId w:val="8"/>
        </w:numPr>
        <w:jc w:val="both"/>
      </w:pPr>
      <w:r w:rsidRPr="006B3DEC">
        <w:t xml:space="preserve">Jaccard P. Étude comparative de la distribution </w:t>
      </w:r>
      <w:proofErr w:type="spellStart"/>
      <w:r w:rsidRPr="006B3DEC">
        <w:t>florale</w:t>
      </w:r>
      <w:proofErr w:type="spellEnd"/>
      <w:r w:rsidRPr="006B3DEC">
        <w:t xml:space="preserve"> </w:t>
      </w:r>
      <w:proofErr w:type="spellStart"/>
      <w:r w:rsidRPr="006B3DEC">
        <w:t>dans</w:t>
      </w:r>
      <w:proofErr w:type="spellEnd"/>
      <w:r w:rsidRPr="006B3DEC">
        <w:t xml:space="preserve"> </w:t>
      </w:r>
      <w:proofErr w:type="spellStart"/>
      <w:r w:rsidRPr="006B3DEC">
        <w:t>une</w:t>
      </w:r>
      <w:proofErr w:type="spellEnd"/>
      <w:r w:rsidRPr="006B3DEC">
        <w:t xml:space="preserve"> portion des Alpes et des Jura. </w:t>
      </w:r>
      <w:r w:rsidRPr="006B3DEC">
        <w:rPr>
          <w:bCs/>
          <w:i/>
          <w:iCs/>
        </w:rPr>
        <w:t xml:space="preserve">Bulletin de la Société </w:t>
      </w:r>
      <w:proofErr w:type="spellStart"/>
      <w:r w:rsidRPr="006B3DEC">
        <w:rPr>
          <w:bCs/>
          <w:i/>
          <w:iCs/>
        </w:rPr>
        <w:t>Vaudoise</w:t>
      </w:r>
      <w:proofErr w:type="spellEnd"/>
      <w:r w:rsidRPr="006B3DEC">
        <w:rPr>
          <w:bCs/>
          <w:i/>
          <w:iCs/>
        </w:rPr>
        <w:t xml:space="preserve"> des Sciences </w:t>
      </w:r>
      <w:proofErr w:type="spellStart"/>
      <w:r w:rsidRPr="006B3DEC">
        <w:rPr>
          <w:bCs/>
          <w:i/>
          <w:iCs/>
        </w:rPr>
        <w:t>Naturelles</w:t>
      </w:r>
      <w:proofErr w:type="spellEnd"/>
      <w:r w:rsidRPr="006B3DEC">
        <w:t xml:space="preserve"> 1901; 37: 547-579.</w:t>
      </w:r>
    </w:p>
    <w:p w14:paraId="51FB7C84" w14:textId="77777777" w:rsidR="001E434E" w:rsidRPr="006B3DEC" w:rsidRDefault="001E434E" w:rsidP="001E434E">
      <w:pPr>
        <w:pStyle w:val="ListParagraph"/>
        <w:numPr>
          <w:ilvl w:val="0"/>
          <w:numId w:val="8"/>
        </w:numPr>
        <w:jc w:val="both"/>
      </w:pPr>
      <w:proofErr w:type="spellStart"/>
      <w:r w:rsidRPr="006B3DEC">
        <w:t>Larner</w:t>
      </w:r>
      <w:proofErr w:type="spellEnd"/>
      <w:r w:rsidRPr="006B3DEC">
        <w:t xml:space="preserve"> AJ. Assessing cognitive screening instruments with the critical success index. </w:t>
      </w:r>
      <w:r w:rsidRPr="006B3DEC">
        <w:rPr>
          <w:i/>
          <w:iCs/>
        </w:rPr>
        <w:t>Progress in Neurology and Psychiatry</w:t>
      </w:r>
      <w:r w:rsidRPr="006B3DEC">
        <w:t xml:space="preserve"> 2021; 25(3): 33-37.</w:t>
      </w:r>
    </w:p>
    <w:p w14:paraId="37E4B2AA" w14:textId="77777777" w:rsidR="001E434E" w:rsidRPr="006B3DEC" w:rsidRDefault="001E434E" w:rsidP="001E434E">
      <w:pPr>
        <w:pStyle w:val="ListParagraph"/>
        <w:numPr>
          <w:ilvl w:val="0"/>
          <w:numId w:val="8"/>
        </w:numPr>
        <w:jc w:val="both"/>
      </w:pPr>
      <w:r w:rsidRPr="006B3DEC">
        <w:t xml:space="preserve">Mbizvo GK, Bennett KH, Simpson CR, Duncan SE, Chin RFM, </w:t>
      </w:r>
      <w:proofErr w:type="spellStart"/>
      <w:r w:rsidRPr="006B3DEC">
        <w:t>Larner</w:t>
      </w:r>
      <w:proofErr w:type="spellEnd"/>
      <w:r w:rsidRPr="006B3DEC">
        <w:t xml:space="preserve"> AJ. Using Critical Success Index or Gilbert Skill Score as composite measures of positive predictive value and sensitivity in diagnostic accuracy studies: weather forecasting informing epilepsy research. </w:t>
      </w:r>
      <w:r w:rsidRPr="006B3DEC">
        <w:rPr>
          <w:i/>
          <w:iCs/>
        </w:rPr>
        <w:t>Epilepsia</w:t>
      </w:r>
      <w:r w:rsidRPr="006B3DEC">
        <w:t xml:space="preserve"> 2023; 64: 1466-1468.</w:t>
      </w:r>
    </w:p>
    <w:p w14:paraId="5BA6EE03" w14:textId="77777777" w:rsidR="001E434E" w:rsidRPr="006B3DEC" w:rsidRDefault="001E434E" w:rsidP="001E434E">
      <w:pPr>
        <w:pStyle w:val="ListParagraph"/>
        <w:numPr>
          <w:ilvl w:val="0"/>
          <w:numId w:val="8"/>
        </w:numPr>
        <w:jc w:val="both"/>
      </w:pPr>
      <w:r w:rsidRPr="006B3DEC">
        <w:t xml:space="preserve">Mbizvo GK, </w:t>
      </w:r>
      <w:proofErr w:type="spellStart"/>
      <w:r w:rsidRPr="006B3DEC">
        <w:t>Larner</w:t>
      </w:r>
      <w:proofErr w:type="spellEnd"/>
      <w:r w:rsidRPr="006B3DEC">
        <w:t xml:space="preserve"> AJ. Isolated headache is not a reliable indicator for brain cancer. </w:t>
      </w:r>
      <w:r w:rsidRPr="006B3DEC">
        <w:rPr>
          <w:i/>
          <w:iCs/>
        </w:rPr>
        <w:t>Clinical Medicine</w:t>
      </w:r>
      <w:r w:rsidRPr="006B3DEC">
        <w:t xml:space="preserve"> 2022; 22(1): 92-93.</w:t>
      </w:r>
    </w:p>
    <w:p w14:paraId="2E05C328" w14:textId="62F6FCB1" w:rsidR="001E434E" w:rsidRPr="006B3DEC" w:rsidRDefault="001E434E" w:rsidP="001E434E">
      <w:pPr>
        <w:pStyle w:val="ListParagraph"/>
        <w:numPr>
          <w:ilvl w:val="0"/>
          <w:numId w:val="8"/>
        </w:numPr>
        <w:jc w:val="both"/>
      </w:pPr>
      <w:r w:rsidRPr="006B3DEC">
        <w:t xml:space="preserve">Mbizvo GK, </w:t>
      </w:r>
      <w:proofErr w:type="spellStart"/>
      <w:r w:rsidRPr="006B3DEC">
        <w:t>Larner</w:t>
      </w:r>
      <w:proofErr w:type="spellEnd"/>
      <w:r w:rsidRPr="006B3DEC">
        <w:t xml:space="preserve"> AJ. Re: </w:t>
      </w:r>
      <w:r w:rsidRPr="006B3DEC">
        <w:rPr>
          <w:bCs/>
        </w:rPr>
        <w:t>Realistic expectations are key to realising the benefits of polygenic scores</w:t>
      </w:r>
      <w:r w:rsidRPr="006B3DEC">
        <w:t xml:space="preserve">. </w:t>
      </w:r>
      <w:r w:rsidRPr="006B3DEC">
        <w:rPr>
          <w:i/>
          <w:iCs/>
        </w:rPr>
        <w:t>BMJ</w:t>
      </w:r>
      <w:r w:rsidRPr="006B3DEC">
        <w:t xml:space="preserve"> </w:t>
      </w:r>
      <w:hyperlink r:id="rId9" w:history="1">
        <w:r w:rsidRPr="006B3DEC">
          <w:rPr>
            <w:rStyle w:val="Hyperlink"/>
            <w:color w:val="auto"/>
          </w:rPr>
          <w:t>https://www.bmj.com/content/380/bmj-2022-073149/rapid-responses</w:t>
        </w:r>
      </w:hyperlink>
      <w:r w:rsidRPr="006B3DEC">
        <w:rPr>
          <w:bCs/>
        </w:rPr>
        <w:t xml:space="preserve">  (Published 11 March 2023).</w:t>
      </w:r>
    </w:p>
    <w:p w14:paraId="3D83286F" w14:textId="77777777" w:rsidR="002874BF" w:rsidRPr="006B3DEC" w:rsidRDefault="00735D1D" w:rsidP="002874BF">
      <w:pPr>
        <w:pStyle w:val="ListParagraph"/>
        <w:numPr>
          <w:ilvl w:val="0"/>
          <w:numId w:val="8"/>
        </w:numPr>
        <w:jc w:val="both"/>
      </w:pPr>
      <w:r w:rsidRPr="006B3DEC">
        <w:t xml:space="preserve">Mbizvo GK, Simpson CR, Duncan SE, Chin RFM, </w:t>
      </w:r>
      <w:proofErr w:type="spellStart"/>
      <w:r w:rsidRPr="006B3DEC">
        <w:t>Larner</w:t>
      </w:r>
      <w:proofErr w:type="spellEnd"/>
      <w:r w:rsidRPr="006B3DEC">
        <w:t xml:space="preserve"> AJ. Critical success index or F measure to validate the accuracy of administrative healthcare data identifying epilepsy in deceased adults in Scotland. </w:t>
      </w:r>
      <w:r w:rsidRPr="006B3DEC">
        <w:rPr>
          <w:i/>
        </w:rPr>
        <w:t>Epilepsy Res</w:t>
      </w:r>
      <w:r w:rsidRPr="006B3DEC">
        <w:t>. 2024;</w:t>
      </w:r>
      <w:r w:rsidR="00524473" w:rsidRPr="006B3DEC">
        <w:t xml:space="preserve"> </w:t>
      </w:r>
      <w:r w:rsidRPr="006B3DEC">
        <w:t>199:</w:t>
      </w:r>
      <w:r w:rsidR="00524473" w:rsidRPr="006B3DEC">
        <w:t xml:space="preserve"> </w:t>
      </w:r>
      <w:r w:rsidRPr="006B3DEC">
        <w:t xml:space="preserve">107275. </w:t>
      </w:r>
    </w:p>
    <w:p w14:paraId="2A1A1773" w14:textId="0F5A8F86" w:rsidR="006C3EB2" w:rsidRPr="006B3DEC" w:rsidRDefault="002874BF" w:rsidP="002874BF">
      <w:pPr>
        <w:pStyle w:val="ListParagraph"/>
        <w:numPr>
          <w:ilvl w:val="0"/>
          <w:numId w:val="8"/>
        </w:numPr>
        <w:jc w:val="both"/>
      </w:pPr>
      <w:r w:rsidRPr="006B3DEC">
        <w:rPr>
          <w:bCs/>
        </w:rPr>
        <w:t xml:space="preserve">Mbizvo GK, </w:t>
      </w:r>
      <w:proofErr w:type="spellStart"/>
      <w:r w:rsidRPr="006B3DEC">
        <w:rPr>
          <w:bCs/>
        </w:rPr>
        <w:t>Larner</w:t>
      </w:r>
      <w:proofErr w:type="spellEnd"/>
      <w:r w:rsidRPr="006B3DEC">
        <w:rPr>
          <w:bCs/>
        </w:rPr>
        <w:t xml:space="preserve"> AJ. On the dependence of the critical success index (CSI) on prevalence. </w:t>
      </w:r>
      <w:proofErr w:type="spellStart"/>
      <w:r w:rsidRPr="006B3DEC">
        <w:rPr>
          <w:bCs/>
          <w:i/>
        </w:rPr>
        <w:t>medRxiv</w:t>
      </w:r>
      <w:proofErr w:type="spellEnd"/>
      <w:r w:rsidRPr="006B3DEC">
        <w:rPr>
          <w:bCs/>
          <w:bdr w:val="none" w:sz="0" w:space="0" w:color="auto" w:frame="1"/>
        </w:rPr>
        <w:t xml:space="preserve"> </w:t>
      </w:r>
      <w:r w:rsidRPr="006B3DEC">
        <w:rPr>
          <w:rStyle w:val="label"/>
          <w:bCs/>
          <w:bdr w:val="none" w:sz="0" w:space="0" w:color="auto" w:frame="1"/>
        </w:rPr>
        <w:t>doi:</w:t>
      </w:r>
      <w:r w:rsidRPr="006B3DEC">
        <w:rPr>
          <w:bCs/>
          <w:shd w:val="clear" w:color="auto" w:fill="FFFFFF"/>
        </w:rPr>
        <w:t>10.1101/2023.12.03.23299335.</w:t>
      </w:r>
    </w:p>
    <w:sectPr w:rsidR="006C3EB2" w:rsidRPr="006B3DEC" w:rsidSect="00024C5C">
      <w:footerReference w:type="even" r:id="rId10"/>
      <w:footerReference w:type="default" r:id="rId11"/>
      <w:pgSz w:w="11906" w:h="16838"/>
      <w:pgMar w:top="1077" w:right="1077" w:bottom="1077"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E7BEE" w14:textId="77777777" w:rsidR="004071EF" w:rsidRDefault="004071EF" w:rsidP="007F610C">
      <w:r>
        <w:separator/>
      </w:r>
    </w:p>
  </w:endnote>
  <w:endnote w:type="continuationSeparator" w:id="0">
    <w:p w14:paraId="306E8022" w14:textId="77777777" w:rsidR="004071EF" w:rsidRDefault="004071EF" w:rsidP="007F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8538000"/>
      <w:docPartObj>
        <w:docPartGallery w:val="Page Numbers (Bottom of Page)"/>
        <w:docPartUnique/>
      </w:docPartObj>
    </w:sdtPr>
    <w:sdtEndPr>
      <w:rPr>
        <w:rStyle w:val="PageNumber"/>
      </w:rPr>
    </w:sdtEndPr>
    <w:sdtContent>
      <w:p w14:paraId="6B76266B" w14:textId="37A706F1" w:rsidR="007F610C" w:rsidRDefault="007F610C" w:rsidP="008F2A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E62714" w14:textId="77777777" w:rsidR="007F610C" w:rsidRDefault="007F610C" w:rsidP="007F61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2320672"/>
      <w:docPartObj>
        <w:docPartGallery w:val="Page Numbers (Bottom of Page)"/>
        <w:docPartUnique/>
      </w:docPartObj>
    </w:sdtPr>
    <w:sdtEndPr>
      <w:rPr>
        <w:rStyle w:val="PageNumber"/>
      </w:rPr>
    </w:sdtEndPr>
    <w:sdtContent>
      <w:p w14:paraId="03E93A78" w14:textId="2E3502B2" w:rsidR="007F610C" w:rsidRDefault="007F610C" w:rsidP="008F2A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DD3FE6" w14:textId="77777777" w:rsidR="007F610C" w:rsidRDefault="007F610C" w:rsidP="007F61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D8BFA" w14:textId="77777777" w:rsidR="004071EF" w:rsidRDefault="004071EF" w:rsidP="007F610C">
      <w:r>
        <w:separator/>
      </w:r>
    </w:p>
  </w:footnote>
  <w:footnote w:type="continuationSeparator" w:id="0">
    <w:p w14:paraId="0D4B8EE7" w14:textId="77777777" w:rsidR="004071EF" w:rsidRDefault="004071EF" w:rsidP="007F6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3100"/>
    <w:multiLevelType w:val="hybridMultilevel"/>
    <w:tmpl w:val="3280AB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3B68A7"/>
    <w:multiLevelType w:val="hybridMultilevel"/>
    <w:tmpl w:val="14AA1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21D09"/>
    <w:multiLevelType w:val="hybridMultilevel"/>
    <w:tmpl w:val="4AFE6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6116B"/>
    <w:multiLevelType w:val="hybridMultilevel"/>
    <w:tmpl w:val="A9965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EE7BF0"/>
    <w:multiLevelType w:val="hybridMultilevel"/>
    <w:tmpl w:val="22580256"/>
    <w:lvl w:ilvl="0" w:tplc="9906FF70">
      <w:start w:val="1"/>
      <w:numFmt w:val="lowerLetter"/>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1A0C18"/>
    <w:multiLevelType w:val="hybridMultilevel"/>
    <w:tmpl w:val="2F182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3A2DF4"/>
    <w:multiLevelType w:val="hybridMultilevel"/>
    <w:tmpl w:val="37A2A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790DAF"/>
    <w:multiLevelType w:val="hybridMultilevel"/>
    <w:tmpl w:val="5A84E7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DAE0302"/>
    <w:multiLevelType w:val="hybridMultilevel"/>
    <w:tmpl w:val="0D026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163BD0"/>
    <w:multiLevelType w:val="hybridMultilevel"/>
    <w:tmpl w:val="914EF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6"/>
  </w:num>
  <w:num w:numId="5">
    <w:abstractNumId w:val="8"/>
  </w:num>
  <w:num w:numId="6">
    <w:abstractNumId w:val="1"/>
  </w:num>
  <w:num w:numId="7">
    <w:abstractNumId w:val="5"/>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F3"/>
    <w:rsid w:val="00003CDE"/>
    <w:rsid w:val="00003E43"/>
    <w:rsid w:val="00006DC6"/>
    <w:rsid w:val="0001012F"/>
    <w:rsid w:val="00013763"/>
    <w:rsid w:val="00024C5C"/>
    <w:rsid w:val="00025A1A"/>
    <w:rsid w:val="00025FB5"/>
    <w:rsid w:val="00040D13"/>
    <w:rsid w:val="000446D5"/>
    <w:rsid w:val="000630BA"/>
    <w:rsid w:val="000762D1"/>
    <w:rsid w:val="000A0880"/>
    <w:rsid w:val="000B4BC3"/>
    <w:rsid w:val="000B6BBF"/>
    <w:rsid w:val="000C2730"/>
    <w:rsid w:val="000C315E"/>
    <w:rsid w:val="000F4315"/>
    <w:rsid w:val="00106D06"/>
    <w:rsid w:val="001508B3"/>
    <w:rsid w:val="0015121A"/>
    <w:rsid w:val="00151EB2"/>
    <w:rsid w:val="00161A02"/>
    <w:rsid w:val="00172C42"/>
    <w:rsid w:val="00181976"/>
    <w:rsid w:val="001830EE"/>
    <w:rsid w:val="001974C5"/>
    <w:rsid w:val="001A065F"/>
    <w:rsid w:val="001B033E"/>
    <w:rsid w:val="001B1096"/>
    <w:rsid w:val="001B4563"/>
    <w:rsid w:val="001C1BE2"/>
    <w:rsid w:val="001C778F"/>
    <w:rsid w:val="001D1479"/>
    <w:rsid w:val="001D59AE"/>
    <w:rsid w:val="001E3BFB"/>
    <w:rsid w:val="001E434E"/>
    <w:rsid w:val="001E4870"/>
    <w:rsid w:val="001E4D68"/>
    <w:rsid w:val="001E60F6"/>
    <w:rsid w:val="00201F32"/>
    <w:rsid w:val="00201F6C"/>
    <w:rsid w:val="00203F83"/>
    <w:rsid w:val="0022153B"/>
    <w:rsid w:val="00224161"/>
    <w:rsid w:val="00232FFC"/>
    <w:rsid w:val="002402EF"/>
    <w:rsid w:val="00240433"/>
    <w:rsid w:val="002503C4"/>
    <w:rsid w:val="00250AF1"/>
    <w:rsid w:val="00251919"/>
    <w:rsid w:val="00251D0E"/>
    <w:rsid w:val="00254590"/>
    <w:rsid w:val="00261246"/>
    <w:rsid w:val="00265267"/>
    <w:rsid w:val="00272DC5"/>
    <w:rsid w:val="002739A6"/>
    <w:rsid w:val="00273F8C"/>
    <w:rsid w:val="002743AA"/>
    <w:rsid w:val="00286F9F"/>
    <w:rsid w:val="002874BF"/>
    <w:rsid w:val="00290C01"/>
    <w:rsid w:val="002B67A1"/>
    <w:rsid w:val="002E30A2"/>
    <w:rsid w:val="002E6131"/>
    <w:rsid w:val="002F4649"/>
    <w:rsid w:val="00306DF7"/>
    <w:rsid w:val="00320681"/>
    <w:rsid w:val="00330E99"/>
    <w:rsid w:val="00331006"/>
    <w:rsid w:val="00336A99"/>
    <w:rsid w:val="00340F7D"/>
    <w:rsid w:val="00341B5B"/>
    <w:rsid w:val="00352A2E"/>
    <w:rsid w:val="00361B7B"/>
    <w:rsid w:val="00366528"/>
    <w:rsid w:val="003710EC"/>
    <w:rsid w:val="0037732D"/>
    <w:rsid w:val="00380159"/>
    <w:rsid w:val="00390F18"/>
    <w:rsid w:val="00391F67"/>
    <w:rsid w:val="00395A96"/>
    <w:rsid w:val="00396083"/>
    <w:rsid w:val="003A31A0"/>
    <w:rsid w:val="003B0006"/>
    <w:rsid w:val="003B2045"/>
    <w:rsid w:val="003B3BC5"/>
    <w:rsid w:val="003D3228"/>
    <w:rsid w:val="003D467E"/>
    <w:rsid w:val="003D50D0"/>
    <w:rsid w:val="003D5825"/>
    <w:rsid w:val="003D6131"/>
    <w:rsid w:val="003E08EB"/>
    <w:rsid w:val="003E0E29"/>
    <w:rsid w:val="003F2A8D"/>
    <w:rsid w:val="004071EF"/>
    <w:rsid w:val="00420961"/>
    <w:rsid w:val="00423A6E"/>
    <w:rsid w:val="00436E64"/>
    <w:rsid w:val="00443038"/>
    <w:rsid w:val="00462555"/>
    <w:rsid w:val="00474D73"/>
    <w:rsid w:val="00495C17"/>
    <w:rsid w:val="004A3806"/>
    <w:rsid w:val="004B4399"/>
    <w:rsid w:val="004B6E9C"/>
    <w:rsid w:val="004B73EB"/>
    <w:rsid w:val="004C026F"/>
    <w:rsid w:val="004C0765"/>
    <w:rsid w:val="004C5FF5"/>
    <w:rsid w:val="004D6DB3"/>
    <w:rsid w:val="004E3E30"/>
    <w:rsid w:val="004F03AB"/>
    <w:rsid w:val="005165D9"/>
    <w:rsid w:val="00523023"/>
    <w:rsid w:val="00524473"/>
    <w:rsid w:val="005278F3"/>
    <w:rsid w:val="0053099E"/>
    <w:rsid w:val="005313FE"/>
    <w:rsid w:val="00560631"/>
    <w:rsid w:val="00567FC6"/>
    <w:rsid w:val="00570AE6"/>
    <w:rsid w:val="00580514"/>
    <w:rsid w:val="00587473"/>
    <w:rsid w:val="005A3715"/>
    <w:rsid w:val="005B72C3"/>
    <w:rsid w:val="005C1F96"/>
    <w:rsid w:val="005D22DE"/>
    <w:rsid w:val="005D3DC0"/>
    <w:rsid w:val="005D56C1"/>
    <w:rsid w:val="005D6055"/>
    <w:rsid w:val="005E3CB0"/>
    <w:rsid w:val="005F1C27"/>
    <w:rsid w:val="005F3140"/>
    <w:rsid w:val="00606755"/>
    <w:rsid w:val="006215DC"/>
    <w:rsid w:val="006270E1"/>
    <w:rsid w:val="0063677D"/>
    <w:rsid w:val="00643536"/>
    <w:rsid w:val="0064739E"/>
    <w:rsid w:val="00654EAC"/>
    <w:rsid w:val="00661A5F"/>
    <w:rsid w:val="00674E8B"/>
    <w:rsid w:val="006777DC"/>
    <w:rsid w:val="00682E8C"/>
    <w:rsid w:val="0068456B"/>
    <w:rsid w:val="00687CA2"/>
    <w:rsid w:val="00692995"/>
    <w:rsid w:val="006936FF"/>
    <w:rsid w:val="00694610"/>
    <w:rsid w:val="006949F7"/>
    <w:rsid w:val="006A0F20"/>
    <w:rsid w:val="006B3DEC"/>
    <w:rsid w:val="006C232E"/>
    <w:rsid w:val="006C3EB2"/>
    <w:rsid w:val="006D3BE2"/>
    <w:rsid w:val="006E2891"/>
    <w:rsid w:val="006F061E"/>
    <w:rsid w:val="00704F70"/>
    <w:rsid w:val="00706579"/>
    <w:rsid w:val="007073C7"/>
    <w:rsid w:val="00735D1D"/>
    <w:rsid w:val="00765BB5"/>
    <w:rsid w:val="0077350F"/>
    <w:rsid w:val="00782428"/>
    <w:rsid w:val="007A36F7"/>
    <w:rsid w:val="007B29DD"/>
    <w:rsid w:val="007C078E"/>
    <w:rsid w:val="007C2D03"/>
    <w:rsid w:val="007C50BC"/>
    <w:rsid w:val="007C771D"/>
    <w:rsid w:val="007D4F9A"/>
    <w:rsid w:val="007D707E"/>
    <w:rsid w:val="007E06CC"/>
    <w:rsid w:val="007E06CD"/>
    <w:rsid w:val="007E3F9E"/>
    <w:rsid w:val="007E7D4D"/>
    <w:rsid w:val="007E7DD9"/>
    <w:rsid w:val="007F5352"/>
    <w:rsid w:val="007F5984"/>
    <w:rsid w:val="007F610C"/>
    <w:rsid w:val="007F7E33"/>
    <w:rsid w:val="00804EC5"/>
    <w:rsid w:val="00805BBF"/>
    <w:rsid w:val="008149F9"/>
    <w:rsid w:val="00815CEA"/>
    <w:rsid w:val="00827155"/>
    <w:rsid w:val="00827AF1"/>
    <w:rsid w:val="0083335C"/>
    <w:rsid w:val="00877747"/>
    <w:rsid w:val="008845E5"/>
    <w:rsid w:val="0088739A"/>
    <w:rsid w:val="0089522B"/>
    <w:rsid w:val="008A049A"/>
    <w:rsid w:val="008A0DFC"/>
    <w:rsid w:val="008A3CC2"/>
    <w:rsid w:val="008A6AAE"/>
    <w:rsid w:val="008B0257"/>
    <w:rsid w:val="008B23B4"/>
    <w:rsid w:val="008D4725"/>
    <w:rsid w:val="008D62F6"/>
    <w:rsid w:val="008E0679"/>
    <w:rsid w:val="008E108B"/>
    <w:rsid w:val="008E1B90"/>
    <w:rsid w:val="008E32B4"/>
    <w:rsid w:val="009005DF"/>
    <w:rsid w:val="00902CD5"/>
    <w:rsid w:val="0090703D"/>
    <w:rsid w:val="009227D9"/>
    <w:rsid w:val="00923A25"/>
    <w:rsid w:val="009259AB"/>
    <w:rsid w:val="00925AE4"/>
    <w:rsid w:val="00934901"/>
    <w:rsid w:val="00942A72"/>
    <w:rsid w:val="00950A56"/>
    <w:rsid w:val="0095398C"/>
    <w:rsid w:val="00955F56"/>
    <w:rsid w:val="0096095C"/>
    <w:rsid w:val="00962989"/>
    <w:rsid w:val="009649C4"/>
    <w:rsid w:val="00972430"/>
    <w:rsid w:val="00975278"/>
    <w:rsid w:val="00980300"/>
    <w:rsid w:val="00987181"/>
    <w:rsid w:val="00995E57"/>
    <w:rsid w:val="009A7601"/>
    <w:rsid w:val="009B64C6"/>
    <w:rsid w:val="009D0C63"/>
    <w:rsid w:val="009D3B45"/>
    <w:rsid w:val="009D3BAC"/>
    <w:rsid w:val="009D63EC"/>
    <w:rsid w:val="009D73B2"/>
    <w:rsid w:val="009E007F"/>
    <w:rsid w:val="009E4C95"/>
    <w:rsid w:val="009F5D5A"/>
    <w:rsid w:val="009F5ED1"/>
    <w:rsid w:val="00A00BA0"/>
    <w:rsid w:val="00A02484"/>
    <w:rsid w:val="00A03A19"/>
    <w:rsid w:val="00A04E56"/>
    <w:rsid w:val="00A058A3"/>
    <w:rsid w:val="00A10E3D"/>
    <w:rsid w:val="00A14B94"/>
    <w:rsid w:val="00A1509A"/>
    <w:rsid w:val="00A26748"/>
    <w:rsid w:val="00A42530"/>
    <w:rsid w:val="00A50A11"/>
    <w:rsid w:val="00A51121"/>
    <w:rsid w:val="00A52B50"/>
    <w:rsid w:val="00A57F2B"/>
    <w:rsid w:val="00A67902"/>
    <w:rsid w:val="00A832B0"/>
    <w:rsid w:val="00A8474E"/>
    <w:rsid w:val="00A951D0"/>
    <w:rsid w:val="00A97976"/>
    <w:rsid w:val="00A97FFE"/>
    <w:rsid w:val="00AA2ED7"/>
    <w:rsid w:val="00AA3EB7"/>
    <w:rsid w:val="00AA752D"/>
    <w:rsid w:val="00AB72A3"/>
    <w:rsid w:val="00AE16E5"/>
    <w:rsid w:val="00AE2E0C"/>
    <w:rsid w:val="00AF46BE"/>
    <w:rsid w:val="00AF4F86"/>
    <w:rsid w:val="00B03500"/>
    <w:rsid w:val="00B10AF5"/>
    <w:rsid w:val="00B12112"/>
    <w:rsid w:val="00B13737"/>
    <w:rsid w:val="00B21A49"/>
    <w:rsid w:val="00B2217E"/>
    <w:rsid w:val="00B2258C"/>
    <w:rsid w:val="00B34693"/>
    <w:rsid w:val="00B43BCA"/>
    <w:rsid w:val="00B46359"/>
    <w:rsid w:val="00B60409"/>
    <w:rsid w:val="00B71784"/>
    <w:rsid w:val="00B76298"/>
    <w:rsid w:val="00B86DD3"/>
    <w:rsid w:val="00BA133B"/>
    <w:rsid w:val="00BA1605"/>
    <w:rsid w:val="00BA24E8"/>
    <w:rsid w:val="00BA39A2"/>
    <w:rsid w:val="00BA6337"/>
    <w:rsid w:val="00BE3372"/>
    <w:rsid w:val="00BE42AE"/>
    <w:rsid w:val="00BE6376"/>
    <w:rsid w:val="00BF0C86"/>
    <w:rsid w:val="00BF6FDE"/>
    <w:rsid w:val="00BF73EC"/>
    <w:rsid w:val="00C013A5"/>
    <w:rsid w:val="00C02245"/>
    <w:rsid w:val="00C02B6C"/>
    <w:rsid w:val="00C1527C"/>
    <w:rsid w:val="00C21AD9"/>
    <w:rsid w:val="00C2490C"/>
    <w:rsid w:val="00C4335A"/>
    <w:rsid w:val="00C66DA2"/>
    <w:rsid w:val="00C67AD6"/>
    <w:rsid w:val="00C74C0C"/>
    <w:rsid w:val="00C804F9"/>
    <w:rsid w:val="00C817A6"/>
    <w:rsid w:val="00C86959"/>
    <w:rsid w:val="00C901F2"/>
    <w:rsid w:val="00CA3F4A"/>
    <w:rsid w:val="00CB3458"/>
    <w:rsid w:val="00CB38A1"/>
    <w:rsid w:val="00CC708E"/>
    <w:rsid w:val="00CD25D6"/>
    <w:rsid w:val="00CE37A8"/>
    <w:rsid w:val="00CF20E9"/>
    <w:rsid w:val="00D01344"/>
    <w:rsid w:val="00D02BAE"/>
    <w:rsid w:val="00D15550"/>
    <w:rsid w:val="00D16D6D"/>
    <w:rsid w:val="00D204A0"/>
    <w:rsid w:val="00D26F6B"/>
    <w:rsid w:val="00D32487"/>
    <w:rsid w:val="00D54EB3"/>
    <w:rsid w:val="00D5611D"/>
    <w:rsid w:val="00D67767"/>
    <w:rsid w:val="00D73E22"/>
    <w:rsid w:val="00D7665A"/>
    <w:rsid w:val="00D87536"/>
    <w:rsid w:val="00D9338F"/>
    <w:rsid w:val="00D9433B"/>
    <w:rsid w:val="00D963DC"/>
    <w:rsid w:val="00DB43E5"/>
    <w:rsid w:val="00DC253E"/>
    <w:rsid w:val="00DC2CA8"/>
    <w:rsid w:val="00DC4193"/>
    <w:rsid w:val="00DE0A1C"/>
    <w:rsid w:val="00DE36AD"/>
    <w:rsid w:val="00DE53D6"/>
    <w:rsid w:val="00DF5BAA"/>
    <w:rsid w:val="00E03118"/>
    <w:rsid w:val="00E05D9C"/>
    <w:rsid w:val="00E1086D"/>
    <w:rsid w:val="00E316C4"/>
    <w:rsid w:val="00E3271A"/>
    <w:rsid w:val="00E37625"/>
    <w:rsid w:val="00E5228D"/>
    <w:rsid w:val="00E52C95"/>
    <w:rsid w:val="00E63974"/>
    <w:rsid w:val="00E76BE8"/>
    <w:rsid w:val="00E87EFF"/>
    <w:rsid w:val="00E91ACE"/>
    <w:rsid w:val="00E95D65"/>
    <w:rsid w:val="00EA1714"/>
    <w:rsid w:val="00EB444D"/>
    <w:rsid w:val="00EB6B20"/>
    <w:rsid w:val="00EC0DA5"/>
    <w:rsid w:val="00EC230C"/>
    <w:rsid w:val="00EC4B11"/>
    <w:rsid w:val="00EC4F81"/>
    <w:rsid w:val="00ED18E2"/>
    <w:rsid w:val="00ED66D5"/>
    <w:rsid w:val="00EE2B25"/>
    <w:rsid w:val="00EE392E"/>
    <w:rsid w:val="00EF188E"/>
    <w:rsid w:val="00F01E77"/>
    <w:rsid w:val="00F12425"/>
    <w:rsid w:val="00F33E29"/>
    <w:rsid w:val="00F42EF1"/>
    <w:rsid w:val="00F52122"/>
    <w:rsid w:val="00F56728"/>
    <w:rsid w:val="00F60EB1"/>
    <w:rsid w:val="00F6250C"/>
    <w:rsid w:val="00F64039"/>
    <w:rsid w:val="00F7027D"/>
    <w:rsid w:val="00F7072E"/>
    <w:rsid w:val="00F8529A"/>
    <w:rsid w:val="00F8577D"/>
    <w:rsid w:val="00F952BA"/>
    <w:rsid w:val="00FA2B66"/>
    <w:rsid w:val="00FA2BDA"/>
    <w:rsid w:val="00FB4F89"/>
    <w:rsid w:val="00FB51A1"/>
    <w:rsid w:val="00FC299F"/>
    <w:rsid w:val="00FD14F1"/>
    <w:rsid w:val="00FD55BB"/>
    <w:rsid w:val="00FD583D"/>
    <w:rsid w:val="00FD61FF"/>
    <w:rsid w:val="00FE0DA5"/>
    <w:rsid w:val="00FE45CA"/>
    <w:rsid w:val="00FE4CE9"/>
    <w:rsid w:val="00FE739D"/>
    <w:rsid w:val="00FF4290"/>
    <w:rsid w:val="00FF7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23AC7"/>
  <w15:docId w15:val="{E6077EF4-CB69-465A-B67F-307AE571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D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n-label1">
    <w:name w:val="fn-label1"/>
    <w:basedOn w:val="DefaultParagraphFont"/>
    <w:rsid w:val="004B6E9C"/>
    <w:rPr>
      <w:b/>
      <w:bCs/>
    </w:rPr>
  </w:style>
  <w:style w:type="character" w:styleId="Hyperlink">
    <w:name w:val="Hyperlink"/>
    <w:basedOn w:val="DefaultParagraphFont"/>
    <w:rsid w:val="00E91ACE"/>
    <w:rPr>
      <w:color w:val="0000FF" w:themeColor="hyperlink"/>
      <w:u w:val="single"/>
    </w:rPr>
  </w:style>
  <w:style w:type="paragraph" w:styleId="ListParagraph">
    <w:name w:val="List Paragraph"/>
    <w:basedOn w:val="Normal"/>
    <w:link w:val="ListParagraphChar"/>
    <w:uiPriority w:val="99"/>
    <w:qFormat/>
    <w:rsid w:val="00BA24E8"/>
    <w:pPr>
      <w:ind w:left="720"/>
      <w:contextualSpacing/>
    </w:pPr>
  </w:style>
  <w:style w:type="paragraph" w:styleId="Footer">
    <w:name w:val="footer"/>
    <w:basedOn w:val="Normal"/>
    <w:link w:val="FooterChar"/>
    <w:uiPriority w:val="99"/>
    <w:rsid w:val="001E4870"/>
    <w:pPr>
      <w:widowControl w:val="0"/>
      <w:tabs>
        <w:tab w:val="center" w:pos="4320"/>
        <w:tab w:val="right" w:pos="8640"/>
      </w:tabs>
    </w:pPr>
    <w:rPr>
      <w:sz w:val="22"/>
      <w:szCs w:val="22"/>
      <w:lang w:val="en-AU" w:eastAsia="en-US"/>
    </w:rPr>
  </w:style>
  <w:style w:type="character" w:customStyle="1" w:styleId="FooterChar">
    <w:name w:val="Footer Char"/>
    <w:basedOn w:val="DefaultParagraphFont"/>
    <w:link w:val="Footer"/>
    <w:uiPriority w:val="99"/>
    <w:rsid w:val="001E4870"/>
    <w:rPr>
      <w:sz w:val="22"/>
      <w:szCs w:val="22"/>
      <w:lang w:val="en-AU" w:eastAsia="en-US"/>
    </w:rPr>
  </w:style>
  <w:style w:type="character" w:customStyle="1" w:styleId="ListParagraphChar">
    <w:name w:val="List Paragraph Char"/>
    <w:link w:val="ListParagraph"/>
    <w:uiPriority w:val="99"/>
    <w:rsid w:val="009D3B45"/>
    <w:rPr>
      <w:sz w:val="24"/>
      <w:szCs w:val="24"/>
    </w:rPr>
  </w:style>
  <w:style w:type="character" w:styleId="UnresolvedMention">
    <w:name w:val="Unresolved Mention"/>
    <w:basedOn w:val="DefaultParagraphFont"/>
    <w:uiPriority w:val="99"/>
    <w:semiHidden/>
    <w:unhideWhenUsed/>
    <w:rsid w:val="00040D13"/>
    <w:rPr>
      <w:color w:val="605E5C"/>
      <w:shd w:val="clear" w:color="auto" w:fill="E1DFDD"/>
    </w:rPr>
  </w:style>
  <w:style w:type="paragraph" w:styleId="NormalWeb">
    <w:name w:val="Normal (Web)"/>
    <w:basedOn w:val="Normal"/>
    <w:uiPriority w:val="99"/>
    <w:semiHidden/>
    <w:unhideWhenUsed/>
    <w:rsid w:val="00F952BA"/>
    <w:pPr>
      <w:spacing w:before="100" w:beforeAutospacing="1" w:after="100" w:afterAutospacing="1"/>
    </w:pPr>
  </w:style>
  <w:style w:type="character" w:customStyle="1" w:styleId="highwire-citation-authors">
    <w:name w:val="highwire-citation-authors"/>
    <w:basedOn w:val="DefaultParagraphFont"/>
    <w:rsid w:val="005B72C3"/>
  </w:style>
  <w:style w:type="character" w:customStyle="1" w:styleId="highwire-citation-author">
    <w:name w:val="highwire-citation-author"/>
    <w:basedOn w:val="DefaultParagraphFont"/>
    <w:rsid w:val="005B72C3"/>
  </w:style>
  <w:style w:type="character" w:customStyle="1" w:styleId="nlm-surname">
    <w:name w:val="nlm-surname"/>
    <w:basedOn w:val="DefaultParagraphFont"/>
    <w:rsid w:val="005B72C3"/>
  </w:style>
  <w:style w:type="character" w:customStyle="1" w:styleId="citation-et">
    <w:name w:val="citation-et"/>
    <w:basedOn w:val="DefaultParagraphFont"/>
    <w:rsid w:val="005B72C3"/>
  </w:style>
  <w:style w:type="character" w:customStyle="1" w:styleId="highwire-cite-metadata-journal">
    <w:name w:val="highwire-cite-metadata-journal"/>
    <w:basedOn w:val="DefaultParagraphFont"/>
    <w:rsid w:val="005B72C3"/>
  </w:style>
  <w:style w:type="character" w:customStyle="1" w:styleId="highwire-cite-metadata-date">
    <w:name w:val="highwire-cite-metadata-date"/>
    <w:basedOn w:val="DefaultParagraphFont"/>
    <w:rsid w:val="005B72C3"/>
  </w:style>
  <w:style w:type="character" w:customStyle="1" w:styleId="label">
    <w:name w:val="label"/>
    <w:basedOn w:val="DefaultParagraphFont"/>
    <w:rsid w:val="005B72C3"/>
  </w:style>
  <w:style w:type="character" w:customStyle="1" w:styleId="highwire-cite-metadata-doi">
    <w:name w:val="highwire-cite-metadata-doi"/>
    <w:basedOn w:val="DefaultParagraphFont"/>
    <w:rsid w:val="005B72C3"/>
  </w:style>
  <w:style w:type="paragraph" w:styleId="BodyText">
    <w:name w:val="Body Text"/>
    <w:basedOn w:val="Normal"/>
    <w:link w:val="BodyTextChar"/>
    <w:uiPriority w:val="99"/>
    <w:unhideWhenUsed/>
    <w:rsid w:val="00FF4290"/>
    <w:pPr>
      <w:spacing w:after="120"/>
    </w:pPr>
  </w:style>
  <w:style w:type="character" w:customStyle="1" w:styleId="BodyTextChar">
    <w:name w:val="Body Text Char"/>
    <w:basedOn w:val="DefaultParagraphFont"/>
    <w:link w:val="BodyText"/>
    <w:uiPriority w:val="99"/>
    <w:rsid w:val="00FF4290"/>
    <w:rPr>
      <w:sz w:val="24"/>
      <w:szCs w:val="24"/>
    </w:rPr>
  </w:style>
  <w:style w:type="table" w:styleId="TableGrid">
    <w:name w:val="Table Grid"/>
    <w:basedOn w:val="TableNormal"/>
    <w:uiPriority w:val="59"/>
    <w:rsid w:val="00FF42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B43E5"/>
    <w:rPr>
      <w:sz w:val="16"/>
      <w:szCs w:val="16"/>
    </w:rPr>
  </w:style>
  <w:style w:type="paragraph" w:styleId="CommentText">
    <w:name w:val="annotation text"/>
    <w:basedOn w:val="Normal"/>
    <w:link w:val="CommentTextChar"/>
    <w:semiHidden/>
    <w:unhideWhenUsed/>
    <w:rsid w:val="00DB43E5"/>
    <w:rPr>
      <w:sz w:val="20"/>
      <w:szCs w:val="20"/>
    </w:rPr>
  </w:style>
  <w:style w:type="character" w:customStyle="1" w:styleId="CommentTextChar">
    <w:name w:val="Comment Text Char"/>
    <w:basedOn w:val="DefaultParagraphFont"/>
    <w:link w:val="CommentText"/>
    <w:semiHidden/>
    <w:rsid w:val="00DB43E5"/>
  </w:style>
  <w:style w:type="paragraph" w:customStyle="1" w:styleId="EndNoteBibliography">
    <w:name w:val="EndNote Bibliography"/>
    <w:basedOn w:val="Normal"/>
    <w:link w:val="EndNoteBibliographyChar"/>
    <w:rsid w:val="00DB43E5"/>
    <w:pPr>
      <w:spacing w:line="360" w:lineRule="auto"/>
      <w:jc w:val="both"/>
    </w:pPr>
    <w:rPr>
      <w:rFonts w:eastAsiaTheme="minorHAnsi"/>
      <w:sz w:val="22"/>
      <w:lang w:eastAsia="ja-JP"/>
    </w:rPr>
  </w:style>
  <w:style w:type="character" w:customStyle="1" w:styleId="EndNoteBibliographyChar">
    <w:name w:val="EndNote Bibliography Char"/>
    <w:basedOn w:val="DefaultParagraphFont"/>
    <w:link w:val="EndNoteBibliography"/>
    <w:rsid w:val="00DB43E5"/>
    <w:rPr>
      <w:rFonts w:eastAsiaTheme="minorHAnsi"/>
      <w:sz w:val="22"/>
      <w:szCs w:val="24"/>
      <w:lang w:eastAsia="ja-JP"/>
    </w:rPr>
  </w:style>
  <w:style w:type="character" w:styleId="PageNumber">
    <w:name w:val="page number"/>
    <w:basedOn w:val="DefaultParagraphFont"/>
    <w:semiHidden/>
    <w:unhideWhenUsed/>
    <w:rsid w:val="007F610C"/>
  </w:style>
  <w:style w:type="character" w:customStyle="1" w:styleId="xcontentpasted0">
    <w:name w:val="x_contentpasted0"/>
    <w:basedOn w:val="DefaultParagraphFont"/>
    <w:rsid w:val="00FE0DA5"/>
  </w:style>
  <w:style w:type="paragraph" w:styleId="BalloonText">
    <w:name w:val="Balloon Text"/>
    <w:basedOn w:val="Normal"/>
    <w:link w:val="BalloonTextChar"/>
    <w:rsid w:val="0088739A"/>
    <w:rPr>
      <w:sz w:val="18"/>
      <w:szCs w:val="18"/>
    </w:rPr>
  </w:style>
  <w:style w:type="character" w:customStyle="1" w:styleId="BalloonTextChar">
    <w:name w:val="Balloon Text Char"/>
    <w:basedOn w:val="DefaultParagraphFont"/>
    <w:link w:val="BalloonText"/>
    <w:rsid w:val="008873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0391">
      <w:bodyDiv w:val="1"/>
      <w:marLeft w:val="0"/>
      <w:marRight w:val="0"/>
      <w:marTop w:val="0"/>
      <w:marBottom w:val="0"/>
      <w:divBdr>
        <w:top w:val="none" w:sz="0" w:space="0" w:color="auto"/>
        <w:left w:val="none" w:sz="0" w:space="0" w:color="auto"/>
        <w:bottom w:val="none" w:sz="0" w:space="0" w:color="auto"/>
        <w:right w:val="none" w:sz="0" w:space="0" w:color="auto"/>
      </w:divBdr>
      <w:divsChild>
        <w:div w:id="23870889">
          <w:marLeft w:val="0"/>
          <w:marRight w:val="0"/>
          <w:marTop w:val="0"/>
          <w:marBottom w:val="0"/>
          <w:divBdr>
            <w:top w:val="none" w:sz="0" w:space="0" w:color="auto"/>
            <w:left w:val="none" w:sz="0" w:space="0" w:color="auto"/>
            <w:bottom w:val="none" w:sz="0" w:space="0" w:color="auto"/>
            <w:right w:val="none" w:sz="0" w:space="0" w:color="auto"/>
          </w:divBdr>
        </w:div>
        <w:div w:id="599023854">
          <w:marLeft w:val="0"/>
          <w:marRight w:val="0"/>
          <w:marTop w:val="0"/>
          <w:marBottom w:val="0"/>
          <w:divBdr>
            <w:top w:val="none" w:sz="0" w:space="0" w:color="auto"/>
            <w:left w:val="none" w:sz="0" w:space="0" w:color="auto"/>
            <w:bottom w:val="none" w:sz="0" w:space="0" w:color="auto"/>
            <w:right w:val="none" w:sz="0" w:space="0" w:color="auto"/>
          </w:divBdr>
        </w:div>
        <w:div w:id="721028460">
          <w:marLeft w:val="0"/>
          <w:marRight w:val="0"/>
          <w:marTop w:val="0"/>
          <w:marBottom w:val="0"/>
          <w:divBdr>
            <w:top w:val="none" w:sz="0" w:space="0" w:color="auto"/>
            <w:left w:val="none" w:sz="0" w:space="0" w:color="auto"/>
            <w:bottom w:val="none" w:sz="0" w:space="0" w:color="auto"/>
            <w:right w:val="none" w:sz="0" w:space="0" w:color="auto"/>
          </w:divBdr>
        </w:div>
      </w:divsChild>
    </w:div>
    <w:div w:id="987631836">
      <w:bodyDiv w:val="1"/>
      <w:marLeft w:val="0"/>
      <w:marRight w:val="0"/>
      <w:marTop w:val="0"/>
      <w:marBottom w:val="0"/>
      <w:divBdr>
        <w:top w:val="none" w:sz="0" w:space="0" w:color="auto"/>
        <w:left w:val="none" w:sz="0" w:space="0" w:color="auto"/>
        <w:bottom w:val="none" w:sz="0" w:space="0" w:color="auto"/>
        <w:right w:val="none" w:sz="0" w:space="0" w:color="auto"/>
      </w:divBdr>
      <w:divsChild>
        <w:div w:id="540900538">
          <w:marLeft w:val="0"/>
          <w:marRight w:val="0"/>
          <w:marTop w:val="0"/>
          <w:marBottom w:val="0"/>
          <w:divBdr>
            <w:top w:val="none" w:sz="0" w:space="0" w:color="auto"/>
            <w:left w:val="none" w:sz="0" w:space="0" w:color="auto"/>
            <w:bottom w:val="none" w:sz="0" w:space="0" w:color="auto"/>
            <w:right w:val="none" w:sz="0" w:space="0" w:color="auto"/>
          </w:divBdr>
        </w:div>
        <w:div w:id="218902987">
          <w:marLeft w:val="0"/>
          <w:marRight w:val="0"/>
          <w:marTop w:val="0"/>
          <w:marBottom w:val="0"/>
          <w:divBdr>
            <w:top w:val="none" w:sz="0" w:space="0" w:color="auto"/>
            <w:left w:val="none" w:sz="0" w:space="0" w:color="auto"/>
            <w:bottom w:val="none" w:sz="0" w:space="0" w:color="auto"/>
            <w:right w:val="none" w:sz="0" w:space="0" w:color="auto"/>
          </w:divBdr>
        </w:div>
        <w:div w:id="1369455851">
          <w:marLeft w:val="0"/>
          <w:marRight w:val="0"/>
          <w:marTop w:val="0"/>
          <w:marBottom w:val="0"/>
          <w:divBdr>
            <w:top w:val="none" w:sz="0" w:space="0" w:color="auto"/>
            <w:left w:val="none" w:sz="0" w:space="0" w:color="auto"/>
            <w:bottom w:val="none" w:sz="0" w:space="0" w:color="auto"/>
            <w:right w:val="none" w:sz="0" w:space="0" w:color="auto"/>
          </w:divBdr>
        </w:div>
        <w:div w:id="348455558">
          <w:marLeft w:val="0"/>
          <w:marRight w:val="0"/>
          <w:marTop w:val="0"/>
          <w:marBottom w:val="0"/>
          <w:divBdr>
            <w:top w:val="none" w:sz="0" w:space="0" w:color="auto"/>
            <w:left w:val="none" w:sz="0" w:space="0" w:color="auto"/>
            <w:bottom w:val="none" w:sz="0" w:space="0" w:color="auto"/>
            <w:right w:val="none" w:sz="0" w:space="0" w:color="auto"/>
          </w:divBdr>
        </w:div>
        <w:div w:id="1179734604">
          <w:marLeft w:val="0"/>
          <w:marRight w:val="0"/>
          <w:marTop w:val="0"/>
          <w:marBottom w:val="0"/>
          <w:divBdr>
            <w:top w:val="none" w:sz="0" w:space="0" w:color="auto"/>
            <w:left w:val="none" w:sz="0" w:space="0" w:color="auto"/>
            <w:bottom w:val="none" w:sz="0" w:space="0" w:color="auto"/>
            <w:right w:val="none" w:sz="0" w:space="0" w:color="auto"/>
          </w:divBdr>
        </w:div>
        <w:div w:id="1482700176">
          <w:marLeft w:val="0"/>
          <w:marRight w:val="0"/>
          <w:marTop w:val="0"/>
          <w:marBottom w:val="0"/>
          <w:divBdr>
            <w:top w:val="none" w:sz="0" w:space="0" w:color="auto"/>
            <w:left w:val="none" w:sz="0" w:space="0" w:color="auto"/>
            <w:bottom w:val="none" w:sz="0" w:space="0" w:color="auto"/>
            <w:right w:val="none" w:sz="0" w:space="0" w:color="auto"/>
          </w:divBdr>
        </w:div>
        <w:div w:id="1930573856">
          <w:marLeft w:val="0"/>
          <w:marRight w:val="0"/>
          <w:marTop w:val="0"/>
          <w:marBottom w:val="0"/>
          <w:divBdr>
            <w:top w:val="none" w:sz="0" w:space="0" w:color="auto"/>
            <w:left w:val="none" w:sz="0" w:space="0" w:color="auto"/>
            <w:bottom w:val="none" w:sz="0" w:space="0" w:color="auto"/>
            <w:right w:val="none" w:sz="0" w:space="0" w:color="auto"/>
          </w:divBdr>
        </w:div>
        <w:div w:id="825827665">
          <w:marLeft w:val="0"/>
          <w:marRight w:val="0"/>
          <w:marTop w:val="0"/>
          <w:marBottom w:val="0"/>
          <w:divBdr>
            <w:top w:val="none" w:sz="0" w:space="0" w:color="auto"/>
            <w:left w:val="none" w:sz="0" w:space="0" w:color="auto"/>
            <w:bottom w:val="none" w:sz="0" w:space="0" w:color="auto"/>
            <w:right w:val="none" w:sz="0" w:space="0" w:color="auto"/>
          </w:divBdr>
        </w:div>
        <w:div w:id="576982353">
          <w:marLeft w:val="0"/>
          <w:marRight w:val="0"/>
          <w:marTop w:val="0"/>
          <w:marBottom w:val="0"/>
          <w:divBdr>
            <w:top w:val="none" w:sz="0" w:space="0" w:color="auto"/>
            <w:left w:val="none" w:sz="0" w:space="0" w:color="auto"/>
            <w:bottom w:val="none" w:sz="0" w:space="0" w:color="auto"/>
            <w:right w:val="none" w:sz="0" w:space="0" w:color="auto"/>
          </w:divBdr>
        </w:div>
        <w:div w:id="1970892370">
          <w:marLeft w:val="0"/>
          <w:marRight w:val="0"/>
          <w:marTop w:val="0"/>
          <w:marBottom w:val="0"/>
          <w:divBdr>
            <w:top w:val="none" w:sz="0" w:space="0" w:color="auto"/>
            <w:left w:val="none" w:sz="0" w:space="0" w:color="auto"/>
            <w:bottom w:val="none" w:sz="0" w:space="0" w:color="auto"/>
            <w:right w:val="none" w:sz="0" w:space="0" w:color="auto"/>
          </w:divBdr>
        </w:div>
        <w:div w:id="1443456484">
          <w:marLeft w:val="0"/>
          <w:marRight w:val="0"/>
          <w:marTop w:val="0"/>
          <w:marBottom w:val="0"/>
          <w:divBdr>
            <w:top w:val="none" w:sz="0" w:space="0" w:color="auto"/>
            <w:left w:val="none" w:sz="0" w:space="0" w:color="auto"/>
            <w:bottom w:val="none" w:sz="0" w:space="0" w:color="auto"/>
            <w:right w:val="none" w:sz="0" w:space="0" w:color="auto"/>
          </w:divBdr>
        </w:div>
        <w:div w:id="340666929">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
      </w:divsChild>
    </w:div>
    <w:div w:id="1999653676">
      <w:bodyDiv w:val="1"/>
      <w:marLeft w:val="0"/>
      <w:marRight w:val="0"/>
      <w:marTop w:val="0"/>
      <w:marBottom w:val="0"/>
      <w:divBdr>
        <w:top w:val="none" w:sz="0" w:space="0" w:color="auto"/>
        <w:left w:val="none" w:sz="0" w:space="0" w:color="auto"/>
        <w:bottom w:val="none" w:sz="0" w:space="0" w:color="auto"/>
        <w:right w:val="none" w:sz="0" w:space="0" w:color="auto"/>
      </w:divBdr>
    </w:div>
    <w:div w:id="2064713519">
      <w:bodyDiv w:val="1"/>
      <w:marLeft w:val="0"/>
      <w:marRight w:val="0"/>
      <w:marTop w:val="0"/>
      <w:marBottom w:val="0"/>
      <w:divBdr>
        <w:top w:val="none" w:sz="0" w:space="0" w:color="auto"/>
        <w:left w:val="none" w:sz="0" w:space="0" w:color="auto"/>
        <w:bottom w:val="none" w:sz="0" w:space="0" w:color="auto"/>
        <w:right w:val="none" w:sz="0" w:space="0" w:color="auto"/>
      </w:divBdr>
      <w:divsChild>
        <w:div w:id="58480983">
          <w:blockQuote w:val="1"/>
          <w:marLeft w:val="0"/>
          <w:marRight w:val="0"/>
          <w:marTop w:val="0"/>
          <w:marBottom w:val="0"/>
          <w:divBdr>
            <w:top w:val="none" w:sz="0" w:space="0" w:color="auto"/>
            <w:left w:val="none" w:sz="0" w:space="0" w:color="auto"/>
            <w:bottom w:val="none" w:sz="0" w:space="0" w:color="auto"/>
            <w:right w:val="none" w:sz="0" w:space="0" w:color="auto"/>
          </w:divBdr>
          <w:divsChild>
            <w:div w:id="573201885">
              <w:marLeft w:val="0"/>
              <w:marRight w:val="0"/>
              <w:marTop w:val="0"/>
              <w:marBottom w:val="0"/>
              <w:divBdr>
                <w:top w:val="none" w:sz="0" w:space="0" w:color="auto"/>
                <w:left w:val="none" w:sz="0" w:space="0" w:color="auto"/>
                <w:bottom w:val="none" w:sz="0" w:space="0" w:color="auto"/>
                <w:right w:val="none" w:sz="0" w:space="0" w:color="auto"/>
              </w:divBdr>
              <w:divsChild>
                <w:div w:id="126025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65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lkescientific.com/tanimoto.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ashirai.Mbizvo@liverpool.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mj.com/content/380/bmj-2022-073149/rapid-respo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7</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WCFT</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Larner, A.J.</dc:creator>
  <cp:keywords/>
  <dc:description/>
  <cp:lastModifiedBy>Gashirai Mbizvo</cp:lastModifiedBy>
  <cp:revision>42</cp:revision>
  <dcterms:created xsi:type="dcterms:W3CDTF">2024-02-10T17:59:00Z</dcterms:created>
  <dcterms:modified xsi:type="dcterms:W3CDTF">2024-02-28T09:17:00Z</dcterms:modified>
</cp:coreProperties>
</file>