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D5681F" w14:textId="77777777" w:rsidR="0037561F" w:rsidRPr="0037561F" w:rsidRDefault="0037561F" w:rsidP="0037561F">
      <w:pPr>
        <w:pStyle w:val="NormalWeb"/>
        <w:rPr>
          <w:rFonts w:ascii="Arial" w:hAnsi="Arial" w:cs="Arial"/>
        </w:rPr>
      </w:pPr>
      <w:r w:rsidRPr="0037561F">
        <w:rPr>
          <w:rStyle w:val="Strong"/>
          <w:rFonts w:ascii="Arial" w:eastAsiaTheme="majorEastAsia" w:hAnsi="Arial" w:cs="Arial"/>
        </w:rPr>
        <w:t>WED-471</w:t>
      </w:r>
      <w:r w:rsidRPr="0037561F">
        <w:rPr>
          <w:rFonts w:ascii="Arial" w:hAnsi="Arial" w:cs="Arial"/>
        </w:rPr>
        <w:br/>
      </w:r>
      <w:r w:rsidRPr="0037561F">
        <w:rPr>
          <w:rStyle w:val="Strong"/>
          <w:rFonts w:ascii="Arial" w:eastAsiaTheme="majorEastAsia" w:hAnsi="Arial" w:cs="Arial"/>
        </w:rPr>
        <w:t>Retrospective analysis of longitudinal data for UK adults living with chronic HBV: characteristics of the population on dual therapy</w:t>
      </w:r>
    </w:p>
    <w:p w14:paraId="480854AA" w14:textId="77777777" w:rsidR="0037561F" w:rsidRPr="0037561F" w:rsidRDefault="0037561F" w:rsidP="0037561F">
      <w:pPr>
        <w:pStyle w:val="NormalWeb"/>
        <w:rPr>
          <w:rFonts w:ascii="Arial" w:hAnsi="Arial" w:cs="Arial"/>
        </w:rPr>
      </w:pPr>
      <w:r w:rsidRPr="0037561F">
        <w:rPr>
          <w:rStyle w:val="Strong"/>
          <w:rFonts w:ascii="Arial" w:eastAsiaTheme="majorEastAsia" w:hAnsi="Arial" w:cs="Arial"/>
        </w:rPr>
        <w:t>Authors</w:t>
      </w:r>
      <w:r w:rsidRPr="0037561F">
        <w:rPr>
          <w:rFonts w:ascii="Arial" w:hAnsi="Arial" w:cs="Arial"/>
        </w:rPr>
        <w:t xml:space="preserve">: Cedric Tan¹², Tingyan Wang³⁴, Jakub Jaworski⁵, Ben </w:t>
      </w:r>
      <w:proofErr w:type="spellStart"/>
      <w:r w:rsidRPr="0037561F">
        <w:rPr>
          <w:rFonts w:ascii="Arial" w:hAnsi="Arial" w:cs="Arial"/>
        </w:rPr>
        <w:t>Glampson</w:t>
      </w:r>
      <w:proofErr w:type="spellEnd"/>
      <w:r w:rsidRPr="0037561F">
        <w:rPr>
          <w:rFonts w:ascii="Arial" w:hAnsi="Arial" w:cs="Arial"/>
        </w:rPr>
        <w:t xml:space="preserve">⁶, Dimitri Papadimitriou⁶⁷, Luca Mercuri⁸, Christopher R. Jones⁷⁹, Stacy Todd¹⁰, Karl McIntyre¹¹, Andrew Frankland¹¹, </w:t>
      </w:r>
      <w:proofErr w:type="spellStart"/>
      <w:r w:rsidRPr="0037561F">
        <w:rPr>
          <w:rFonts w:ascii="Arial" w:hAnsi="Arial" w:cs="Arial"/>
        </w:rPr>
        <w:t>Hizni</w:t>
      </w:r>
      <w:proofErr w:type="spellEnd"/>
      <w:r w:rsidRPr="0037561F">
        <w:rPr>
          <w:rFonts w:ascii="Arial" w:hAnsi="Arial" w:cs="Arial"/>
        </w:rPr>
        <w:t xml:space="preserve"> Salih⁴¹², Gail Roadknight⁴¹², Stephanie Little⁴¹², Theresa Noble⁴¹², Kinga A. Várnai⁴¹², Cori Campbell⁴¹³, Cai Davis¹⁴, Ashley I. Heinson¹⁴, Michael George¹⁴, Florina Borca¹⁴, Louise English¹⁵, Luis Romão¹⁵, David Ramlakhan¹⁵, William Frisby¹⁶, John Taylor¹⁶, Kerrie Woods⁴, Jim Davies⁴, Eleni Nastouli¹⁷, Salim I. Khakoo¹⁸, Alexander J. Stockdale¹⁰, Nicholas Easom¹⁶, Graham S. Cooke⁶, William Gelson¹⁹, Eleanor Barnes³⁴, Philippa C. Matthews¹²¹³²⁰²¹²².</w:t>
      </w:r>
    </w:p>
    <w:p w14:paraId="02A4CAB7" w14:textId="77777777" w:rsidR="0037561F" w:rsidRPr="0037561F" w:rsidRDefault="0037561F" w:rsidP="0037561F">
      <w:pPr>
        <w:pStyle w:val="NormalWeb"/>
        <w:rPr>
          <w:rFonts w:ascii="Arial" w:hAnsi="Arial" w:cs="Arial"/>
        </w:rPr>
      </w:pPr>
      <w:r w:rsidRPr="0037561F">
        <w:rPr>
          <w:rFonts w:ascii="Arial" w:hAnsi="Arial" w:cs="Arial"/>
        </w:rPr>
        <w:t>¹UCL Genetics Institute, University College London, London, United Kingdom; ²The Francis Crick Institute, London, United Kingdom; ³Nuffield Department of Medicine, Oxford, United Kingdom; ⁴NIHR Oxford Biomedical Research Centre, Oxford, United Kingdom; ⁵Cambridge University Hospitals NHS Foundation Trust, Cambridge, United Kingdom; ⁶NIHR Health Informatics Collaborative, Imperial College Healthcare NHS Trust, London, United Kingdom; ⁷NIHR Imperial Biomedical Research Centre, London, United Kingdom; ⁸NIHR Health Informatics Collaborative, Imperial College Healthcare NHS Trust, NIHR Imperial Biomedical Research Centre, London, United Kingdom; ⁹Department of Infectious Disease, Imperial College London, London, United Kingdom; ¹⁰Tropical Infectious Diseases Unit, Royal Liverpool Hospital, Liverpool University Hospitals NHS Trust, Liverpool, United Kingdom; ¹¹Liverpool Clinical Laboratories, Liverpool University Hospitals NHS Trust, Liverpool, United Kingdom; ¹²NIHR Health Informatics Collaborative, Oxford University Hospitals NHS Foundation Trust, Oxford, United Kingdom; ¹³Nuffield Department of Medicine, University of Oxford, Oxford, United Kingdom; ¹⁴Southampton Emerging Therapies and Technologies Centre, University Hospital Southampton NHS Foundation Trust, Southampton, United Kingdom; ¹⁵NIHR University College London Hospitals Biomedical Research Centre, London, United Kingdom; ¹⁶Hull University Teaching Hospitals NHS Trust, Hull, United Kingdom; ¹⁷Department of Infection, Immunity and Inflammation, UCL Great Ormond Street Institute of Child Health, London, United Kingdom; ¹⁸School of Clinical and Experimental Sciences, Faculty of Medicine, University of Southampton, Southampton, United Kingdom; ¹⁹Cambridge Liver Unit, Cambridge University Hospitals NHS Foundation Trust, Cambridge, United Kingdom; ²⁰The Francis Crick Institute, London, United Kingdom; ²¹Division of Infection and Immunity, University College London, London, United Kingdom; ²²Department of Infectious Diseases, University College London Hospital, London, United Kingdom.</w:t>
      </w:r>
    </w:p>
    <w:p w14:paraId="07017080" w14:textId="77777777" w:rsidR="0037561F" w:rsidRPr="0037561F" w:rsidRDefault="0037561F" w:rsidP="0037561F">
      <w:pPr>
        <w:pStyle w:val="NormalWeb"/>
        <w:rPr>
          <w:rFonts w:ascii="Arial" w:hAnsi="Arial" w:cs="Arial"/>
        </w:rPr>
      </w:pPr>
      <w:r w:rsidRPr="0037561F">
        <w:rPr>
          <w:rStyle w:val="Strong"/>
          <w:rFonts w:ascii="Arial" w:eastAsiaTheme="majorEastAsia" w:hAnsi="Arial" w:cs="Arial"/>
        </w:rPr>
        <w:t>Email</w:t>
      </w:r>
      <w:r w:rsidRPr="0037561F">
        <w:rPr>
          <w:rFonts w:ascii="Arial" w:hAnsi="Arial" w:cs="Arial"/>
        </w:rPr>
        <w:t>: cedric.tan@crick.ac.uk</w:t>
      </w:r>
    </w:p>
    <w:p w14:paraId="5D45A3CF" w14:textId="77777777" w:rsidR="0037561F" w:rsidRPr="0037561F" w:rsidRDefault="0037561F" w:rsidP="0037561F">
      <w:pPr>
        <w:pStyle w:val="NormalWeb"/>
        <w:rPr>
          <w:rFonts w:ascii="Arial" w:hAnsi="Arial" w:cs="Arial"/>
        </w:rPr>
      </w:pPr>
      <w:r w:rsidRPr="0037561F">
        <w:rPr>
          <w:rStyle w:val="Strong"/>
          <w:rFonts w:ascii="Arial" w:eastAsiaTheme="majorEastAsia" w:hAnsi="Arial" w:cs="Arial"/>
        </w:rPr>
        <w:t>Background and aims</w:t>
      </w:r>
      <w:r w:rsidRPr="0037561F">
        <w:rPr>
          <w:rFonts w:ascii="Arial" w:hAnsi="Arial" w:cs="Arial"/>
        </w:rPr>
        <w:t xml:space="preserve">: The treatment landscape for hepatitis B virus (HBV) is changing as clinical guidelines for the use of </w:t>
      </w:r>
      <w:proofErr w:type="spellStart"/>
      <w:r w:rsidRPr="0037561F">
        <w:rPr>
          <w:rFonts w:ascii="Arial" w:hAnsi="Arial" w:cs="Arial"/>
        </w:rPr>
        <w:t>nucleos</w:t>
      </w:r>
      <w:proofErr w:type="spellEnd"/>
      <w:r w:rsidRPr="0037561F">
        <w:rPr>
          <w:rFonts w:ascii="Arial" w:hAnsi="Arial" w:cs="Arial"/>
        </w:rPr>
        <w:t>(t)ide analogue (NA) agents move towards simplified assessment and broader treatment eligibility. Dual treatment may be prescribed for people living with HBV who are HIV co-infected, who are accessing Pre-Exposure Prophylaxis (</w:t>
      </w:r>
      <w:proofErr w:type="spellStart"/>
      <w:r w:rsidRPr="0037561F">
        <w:rPr>
          <w:rFonts w:ascii="Arial" w:hAnsi="Arial" w:cs="Arial"/>
        </w:rPr>
        <w:t>PrEP</w:t>
      </w:r>
      <w:proofErr w:type="spellEnd"/>
      <w:r w:rsidRPr="0037561F">
        <w:rPr>
          <w:rFonts w:ascii="Arial" w:hAnsi="Arial" w:cs="Arial"/>
        </w:rPr>
        <w:t xml:space="preserve">) to protect against HIV acquisition, and in individuals in whom HBV viraemia is not suppressed on monotherapy. In many global settings, dual therapy is also more widely available and </w:t>
      </w:r>
      <w:r w:rsidRPr="0037561F">
        <w:rPr>
          <w:rFonts w:ascii="Arial" w:hAnsi="Arial" w:cs="Arial"/>
        </w:rPr>
        <w:lastRenderedPageBreak/>
        <w:t>affordable than monotherapy. It is therefore important to explore outcomes of dual therapy and to consider its impact on outcomes, cost, and accessibility.</w:t>
      </w:r>
    </w:p>
    <w:p w14:paraId="53AA2DB5" w14:textId="77777777" w:rsidR="0037561F" w:rsidRPr="0037561F" w:rsidRDefault="0037561F" w:rsidP="0037561F">
      <w:pPr>
        <w:pStyle w:val="NormalWeb"/>
        <w:rPr>
          <w:rFonts w:ascii="Arial" w:hAnsi="Arial" w:cs="Arial"/>
        </w:rPr>
      </w:pPr>
      <w:r w:rsidRPr="0037561F">
        <w:rPr>
          <w:rStyle w:val="Strong"/>
          <w:rFonts w:ascii="Arial" w:eastAsiaTheme="majorEastAsia" w:hAnsi="Arial" w:cs="Arial"/>
        </w:rPr>
        <w:t>Method</w:t>
      </w:r>
      <w:r w:rsidRPr="0037561F">
        <w:rPr>
          <w:rFonts w:ascii="Arial" w:hAnsi="Arial" w:cs="Arial"/>
        </w:rPr>
        <w:t>: We analysed routinely-collected longitudinal clinical records from over 14,000 adults with chronic HBV infection across six secondary care centres in the UK, as part of the National Institute for Health and Care Research (NIHR) Health Informatics Collaborative (HIC) programme, to characterise those receiving dual therapy.</w:t>
      </w:r>
    </w:p>
    <w:p w14:paraId="42A84A6D" w14:textId="77777777" w:rsidR="0037561F" w:rsidRPr="0037561F" w:rsidRDefault="0037561F" w:rsidP="0037561F">
      <w:pPr>
        <w:pStyle w:val="NormalWeb"/>
        <w:rPr>
          <w:rFonts w:ascii="Arial" w:hAnsi="Arial" w:cs="Arial"/>
        </w:rPr>
      </w:pPr>
      <w:r w:rsidRPr="0037561F">
        <w:rPr>
          <w:rStyle w:val="Strong"/>
          <w:rFonts w:ascii="Arial" w:eastAsiaTheme="majorEastAsia" w:hAnsi="Arial" w:cs="Arial"/>
        </w:rPr>
        <w:t>Results</w:t>
      </w:r>
      <w:r w:rsidRPr="0037561F">
        <w:rPr>
          <w:rFonts w:ascii="Arial" w:hAnsi="Arial" w:cs="Arial"/>
        </w:rPr>
        <w:t>: In this cohort, 2,688/14,587 (18%) individuals had a record of NA treatment, among whom 230/2,688 (9%) were on dual therapy for at least a year. The most common dual regimens were Entecavir-Tenofovir (93/230) and Lamivudine-Tenofovir (82/230). Males accounted for the majority of individuals on both dual therapy (158/230, 69%) and monotherapy (1,546/2,458, 63%) (p = 0.086). There were no significant differences in median HBV viral load during mono- or dual therapy, after excluding the first six months of therapy (p = 0.74). There were also no significant differences between the proportion of patients with abnormal ALT levels (&gt;40 IU/ml) or APRI scores for patients undergoing mono versus dual therapy both at baseline and at the last recorded timepoint during therapy (ALT: p = 1, p = 0.65; APRI: p = 0.4, p = 0.25). However, patients on dual therapy had significantly higher FIB-4 scores than those on monotherapy, both at baseline (p = 0.0043) and at the last timepoint (p = 0.0082).</w:t>
      </w:r>
    </w:p>
    <w:p w14:paraId="4D3C10FD" w14:textId="77777777" w:rsidR="0037561F" w:rsidRPr="0037561F" w:rsidRDefault="0037561F" w:rsidP="0037561F">
      <w:pPr>
        <w:pStyle w:val="NormalWeb"/>
        <w:rPr>
          <w:rFonts w:ascii="Arial" w:hAnsi="Arial" w:cs="Arial"/>
        </w:rPr>
      </w:pPr>
      <w:r w:rsidRPr="0037561F">
        <w:rPr>
          <w:rStyle w:val="Strong"/>
          <w:rFonts w:ascii="Arial" w:eastAsiaTheme="majorEastAsia" w:hAnsi="Arial" w:cs="Arial"/>
        </w:rPr>
        <w:t>Conclusion</w:t>
      </w:r>
      <w:r w:rsidRPr="0037561F">
        <w:rPr>
          <w:rFonts w:ascii="Arial" w:hAnsi="Arial" w:cs="Arial"/>
        </w:rPr>
        <w:t>: Our finding that 9% of adults receiving HBV therapy in the UK are on dual agents highlights a need for more data collection to characterise this group. In particular, more data are needed to focus on those with HIV co-infection who may be under the care of sexual health services rather than hepatology clinics. Most outcome markers for dual and monotherapy are comparable; however, FIB-4 scores may point to a disadvantage in the dual therapy group, with advanced disease potentially being the indication for adding a second agent.</w:t>
      </w:r>
    </w:p>
    <w:p w14:paraId="2D69F139" w14:textId="77777777" w:rsidR="00C639DD" w:rsidRPr="0037561F" w:rsidRDefault="00C639DD">
      <w:pPr>
        <w:rPr>
          <w:rFonts w:ascii="Arial" w:hAnsi="Arial" w:cs="Arial"/>
        </w:rPr>
      </w:pPr>
    </w:p>
    <w:sectPr w:rsidR="00C639DD" w:rsidRPr="0037561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61F"/>
    <w:rsid w:val="001E5D7E"/>
    <w:rsid w:val="0037561F"/>
    <w:rsid w:val="00A13FE4"/>
    <w:rsid w:val="00C639D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44FE5"/>
  <w15:chartTrackingRefBased/>
  <w15:docId w15:val="{1A587DCE-4EA5-4A31-97FC-980F39548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56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56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56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56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56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56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56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56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56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56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56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56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56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56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56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56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56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561F"/>
    <w:rPr>
      <w:rFonts w:eastAsiaTheme="majorEastAsia" w:cstheme="majorBidi"/>
      <w:color w:val="272727" w:themeColor="text1" w:themeTint="D8"/>
    </w:rPr>
  </w:style>
  <w:style w:type="paragraph" w:styleId="Title">
    <w:name w:val="Title"/>
    <w:basedOn w:val="Normal"/>
    <w:next w:val="Normal"/>
    <w:link w:val="TitleChar"/>
    <w:uiPriority w:val="10"/>
    <w:qFormat/>
    <w:rsid w:val="003756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56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56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56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561F"/>
    <w:pPr>
      <w:spacing w:before="160"/>
      <w:jc w:val="center"/>
    </w:pPr>
    <w:rPr>
      <w:i/>
      <w:iCs/>
      <w:color w:val="404040" w:themeColor="text1" w:themeTint="BF"/>
    </w:rPr>
  </w:style>
  <w:style w:type="character" w:customStyle="1" w:styleId="QuoteChar">
    <w:name w:val="Quote Char"/>
    <w:basedOn w:val="DefaultParagraphFont"/>
    <w:link w:val="Quote"/>
    <w:uiPriority w:val="29"/>
    <w:rsid w:val="0037561F"/>
    <w:rPr>
      <w:i/>
      <w:iCs/>
      <w:color w:val="404040" w:themeColor="text1" w:themeTint="BF"/>
    </w:rPr>
  </w:style>
  <w:style w:type="paragraph" w:styleId="ListParagraph">
    <w:name w:val="List Paragraph"/>
    <w:basedOn w:val="Normal"/>
    <w:uiPriority w:val="34"/>
    <w:qFormat/>
    <w:rsid w:val="0037561F"/>
    <w:pPr>
      <w:ind w:left="720"/>
      <w:contextualSpacing/>
    </w:pPr>
  </w:style>
  <w:style w:type="character" w:styleId="IntenseEmphasis">
    <w:name w:val="Intense Emphasis"/>
    <w:basedOn w:val="DefaultParagraphFont"/>
    <w:uiPriority w:val="21"/>
    <w:qFormat/>
    <w:rsid w:val="0037561F"/>
    <w:rPr>
      <w:i/>
      <w:iCs/>
      <w:color w:val="0F4761" w:themeColor="accent1" w:themeShade="BF"/>
    </w:rPr>
  </w:style>
  <w:style w:type="paragraph" w:styleId="IntenseQuote">
    <w:name w:val="Intense Quote"/>
    <w:basedOn w:val="Normal"/>
    <w:next w:val="Normal"/>
    <w:link w:val="IntenseQuoteChar"/>
    <w:uiPriority w:val="30"/>
    <w:qFormat/>
    <w:rsid w:val="003756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561F"/>
    <w:rPr>
      <w:i/>
      <w:iCs/>
      <w:color w:val="0F4761" w:themeColor="accent1" w:themeShade="BF"/>
    </w:rPr>
  </w:style>
  <w:style w:type="character" w:styleId="IntenseReference">
    <w:name w:val="Intense Reference"/>
    <w:basedOn w:val="DefaultParagraphFont"/>
    <w:uiPriority w:val="32"/>
    <w:qFormat/>
    <w:rsid w:val="0037561F"/>
    <w:rPr>
      <w:b/>
      <w:bCs/>
      <w:smallCaps/>
      <w:color w:val="0F4761" w:themeColor="accent1" w:themeShade="BF"/>
      <w:spacing w:val="5"/>
    </w:rPr>
  </w:style>
  <w:style w:type="paragraph" w:styleId="NormalWeb">
    <w:name w:val="Normal (Web)"/>
    <w:basedOn w:val="Normal"/>
    <w:uiPriority w:val="99"/>
    <w:semiHidden/>
    <w:unhideWhenUsed/>
    <w:rsid w:val="0037561F"/>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37561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1647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816</Words>
  <Characters>4653</Characters>
  <Application>Microsoft Office Word</Application>
  <DocSecurity>0</DocSecurity>
  <Lines>38</Lines>
  <Paragraphs>10</Paragraphs>
  <ScaleCrop>false</ScaleCrop>
  <Company/>
  <LinksUpToDate>false</LinksUpToDate>
  <CharactersWithSpaces>5459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Stockdale, Alexander</dc:creator>
  <cp:keywords/>
  <dc:description/>
  <cp:lastModifiedBy>Stockdale, Alexander</cp:lastModifiedBy>
  <cp:revision>1</cp:revision>
  <dcterms:created xsi:type="dcterms:W3CDTF">2024-06-26T16:26:00Z</dcterms:created>
  <dcterms:modified xsi:type="dcterms:W3CDTF">2024-06-26T16:27:00Z</dcterms:modified>
</cp:coreProperties>
</file>