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88B" w:rsidRDefault="00F8188B" w:rsidP="009D2525">
      <w:pPr>
        <w:rPr>
          <w:b/>
          <w:i/>
          <w:sz w:val="32"/>
          <w:szCs w:val="32"/>
          <w:u w:val="single"/>
        </w:rPr>
      </w:pPr>
    </w:p>
    <w:p w:rsidR="00F8188B" w:rsidRPr="00F8188B" w:rsidRDefault="00F8188B" w:rsidP="00F8188B">
      <w:pPr>
        <w:jc w:val="center"/>
        <w:rPr>
          <w:b/>
          <w:i/>
          <w:sz w:val="32"/>
          <w:szCs w:val="32"/>
          <w:u w:val="single"/>
        </w:rPr>
      </w:pPr>
      <w:r w:rsidRPr="00F8188B">
        <w:rPr>
          <w:b/>
          <w:i/>
          <w:sz w:val="32"/>
          <w:szCs w:val="32"/>
          <w:u w:val="single"/>
        </w:rPr>
        <w:t xml:space="preserve">Communitarianism Bankruptcy Law &amp; Policy as a Bulwark against Neo-Liberalism: Forging a </w:t>
      </w:r>
      <w:r>
        <w:rPr>
          <w:b/>
          <w:i/>
          <w:sz w:val="32"/>
          <w:szCs w:val="32"/>
          <w:u w:val="single"/>
        </w:rPr>
        <w:t>H</w:t>
      </w:r>
      <w:r w:rsidRPr="00F8188B">
        <w:rPr>
          <w:b/>
          <w:i/>
          <w:sz w:val="32"/>
          <w:szCs w:val="32"/>
          <w:u w:val="single"/>
        </w:rPr>
        <w:t>umane</w:t>
      </w:r>
      <w:r>
        <w:rPr>
          <w:b/>
          <w:i/>
          <w:sz w:val="32"/>
          <w:szCs w:val="32"/>
          <w:u w:val="single"/>
        </w:rPr>
        <w:t xml:space="preserve"> F</w:t>
      </w:r>
      <w:r w:rsidRPr="00F8188B">
        <w:rPr>
          <w:b/>
          <w:i/>
          <w:sz w:val="32"/>
          <w:szCs w:val="32"/>
          <w:u w:val="single"/>
        </w:rPr>
        <w:t>uture with Stakeholder Insolvency</w:t>
      </w:r>
      <w:r w:rsidR="00AA4772">
        <w:rPr>
          <w:b/>
          <w:i/>
          <w:sz w:val="32"/>
          <w:szCs w:val="32"/>
          <w:u w:val="single"/>
        </w:rPr>
        <w:t xml:space="preserve"> Responses</w:t>
      </w:r>
      <w:r w:rsidR="003E7CD6">
        <w:rPr>
          <w:b/>
          <w:i/>
          <w:sz w:val="32"/>
          <w:szCs w:val="32"/>
          <w:u w:val="single"/>
        </w:rPr>
        <w:t xml:space="preserve"> to Public Interest and Sports Club Insolvency</w:t>
      </w:r>
      <w:r w:rsidR="00AA4772">
        <w:rPr>
          <w:b/>
          <w:i/>
          <w:sz w:val="32"/>
          <w:szCs w:val="32"/>
          <w:u w:val="single"/>
        </w:rPr>
        <w:t xml:space="preserve"> </w:t>
      </w:r>
    </w:p>
    <w:p w:rsidR="00F8188B" w:rsidRDefault="00F8188B" w:rsidP="00F8188B"/>
    <w:p w:rsidR="009D2525" w:rsidRDefault="009D2525" w:rsidP="00F8188B"/>
    <w:p w:rsidR="00FD509E" w:rsidRDefault="00FD509E" w:rsidP="00F8188B"/>
    <w:p w:rsidR="00894CBB" w:rsidRPr="004659FC" w:rsidRDefault="00894CBB" w:rsidP="00894CBB">
      <w:pPr>
        <w:jc w:val="center"/>
        <w:rPr>
          <w:rFonts w:ascii="Times New Roman" w:hAnsi="Times New Roman" w:cs="Times New Roman"/>
        </w:rPr>
      </w:pPr>
      <w:r w:rsidRPr="004659FC">
        <w:rPr>
          <w:rFonts w:ascii="Times New Roman" w:hAnsi="Times New Roman" w:cs="Times New Roman"/>
        </w:rPr>
        <w:t>By</w:t>
      </w:r>
    </w:p>
    <w:p w:rsidR="00894CBB" w:rsidRPr="004659FC" w:rsidRDefault="00894CBB" w:rsidP="00894CBB">
      <w:pPr>
        <w:jc w:val="center"/>
        <w:rPr>
          <w:rFonts w:ascii="Times New Roman" w:hAnsi="Times New Roman" w:cs="Times New Roman"/>
        </w:rPr>
      </w:pPr>
    </w:p>
    <w:p w:rsidR="00894CBB" w:rsidRDefault="00894CBB" w:rsidP="00894CBB">
      <w:pPr>
        <w:jc w:val="center"/>
      </w:pPr>
      <w:r w:rsidRPr="004659FC">
        <w:rPr>
          <w:rFonts w:ascii="Times New Roman" w:hAnsi="Times New Roman" w:cs="Times New Roman"/>
        </w:rPr>
        <w:t>Dr. John Tribe</w:t>
      </w:r>
      <w:r w:rsidRPr="00611D65">
        <w:rPr>
          <w:rStyle w:val="FootnoteReference"/>
          <w:rFonts w:ascii="Times New Roman" w:hAnsi="Times New Roman" w:cs="Times New Roman"/>
        </w:rPr>
        <w:footnoteReference w:customMarkFollows="1" w:id="1"/>
        <w:sym w:font="Symbol" w:char="F0A7"/>
      </w:r>
    </w:p>
    <w:p w:rsidR="00894CBB" w:rsidRDefault="00894CBB" w:rsidP="00F8188B"/>
    <w:p w:rsidR="00FD509E" w:rsidRDefault="00FD509E" w:rsidP="00F8188B"/>
    <w:p w:rsidR="003C135E" w:rsidRDefault="003C135E" w:rsidP="00F8188B"/>
    <w:p w:rsidR="003C135E" w:rsidRDefault="003C135E" w:rsidP="003B380E">
      <w:pPr>
        <w:jc w:val="both"/>
      </w:pPr>
      <w:r w:rsidRPr="00054C8A">
        <w:rPr>
          <w:b/>
        </w:rPr>
        <w:t>Key words:</w:t>
      </w:r>
      <w:r>
        <w:t xml:space="preserve"> Insolvency, Company, Community, Rescue, Communitarianism, Public Interest, Sports Clubs </w:t>
      </w:r>
    </w:p>
    <w:p w:rsidR="003C135E" w:rsidRDefault="003C135E" w:rsidP="00F8188B"/>
    <w:p w:rsidR="003C135E" w:rsidRDefault="003C135E" w:rsidP="00F8188B"/>
    <w:p w:rsidR="009D2525" w:rsidRDefault="009D2525" w:rsidP="00F8188B"/>
    <w:p w:rsidR="00F8188B" w:rsidRPr="00F8188B" w:rsidRDefault="00F8188B" w:rsidP="00F8188B">
      <w:pPr>
        <w:rPr>
          <w:b/>
          <w:u w:val="single"/>
        </w:rPr>
      </w:pPr>
      <w:r w:rsidRPr="00F8188B">
        <w:rPr>
          <w:b/>
          <w:u w:val="single"/>
        </w:rPr>
        <w:t>Introduction</w:t>
      </w:r>
    </w:p>
    <w:p w:rsidR="00F8188B" w:rsidRDefault="00F8188B" w:rsidP="00F8188B"/>
    <w:p w:rsidR="001356E9" w:rsidRDefault="00F8188B" w:rsidP="007E1768">
      <w:pPr>
        <w:spacing w:line="360" w:lineRule="auto"/>
        <w:jc w:val="both"/>
      </w:pPr>
      <w:r>
        <w:t xml:space="preserve">Insolvency provides a </w:t>
      </w:r>
      <w:r w:rsidR="00162528">
        <w:t>pressurised furnace like</w:t>
      </w:r>
      <w:r w:rsidR="003510CF">
        <w:t xml:space="preserve"> </w:t>
      </w:r>
      <w:r>
        <w:t>environment in which fundamental questions</w:t>
      </w:r>
      <w:r w:rsidR="00140779">
        <w:t xml:space="preserve"> arise</w:t>
      </w:r>
      <w:r w:rsidR="000307B3">
        <w:t xml:space="preserve"> a</w:t>
      </w:r>
      <w:r w:rsidR="007A631F">
        <w:t>bout</w:t>
      </w:r>
      <w:r w:rsidR="000307B3">
        <w:t xml:space="preserve"> how we </w:t>
      </w:r>
      <w:r w:rsidR="00383AC5">
        <w:t>deal with insolven</w:t>
      </w:r>
      <w:r w:rsidR="001315A1">
        <w:t xml:space="preserve">t </w:t>
      </w:r>
      <w:r w:rsidR="005C7781">
        <w:t>companies</w:t>
      </w:r>
      <w:r>
        <w:t xml:space="preserve">. </w:t>
      </w:r>
      <w:r w:rsidR="00140779">
        <w:t>T</w:t>
      </w:r>
      <w:r w:rsidR="005C7781">
        <w:t>hese issue</w:t>
      </w:r>
      <w:r w:rsidR="00140779">
        <w:t>s</w:t>
      </w:r>
      <w:r w:rsidR="005C7781">
        <w:t xml:space="preserve"> can be extrapolated outwards to broader questions a</w:t>
      </w:r>
      <w:r w:rsidR="00140779">
        <w:t>round</w:t>
      </w:r>
      <w:r w:rsidR="005C7781">
        <w:t xml:space="preserve"> how we organise</w:t>
      </w:r>
      <w:r w:rsidR="001315A1">
        <w:t xml:space="preserve"> </w:t>
      </w:r>
      <w:r w:rsidR="00E77759">
        <w:t xml:space="preserve">solvent </w:t>
      </w:r>
      <w:r w:rsidR="001315A1">
        <w:t>companies</w:t>
      </w:r>
      <w:r w:rsidR="00B94A2F">
        <w:t xml:space="preserve"> generally</w:t>
      </w:r>
      <w:r w:rsidR="001315A1">
        <w:t>, and then in turn, how</w:t>
      </w:r>
      <w:r w:rsidR="005C7781">
        <w:t xml:space="preserve"> our society</w:t>
      </w:r>
      <w:r w:rsidR="001315A1">
        <w:t xml:space="preserve"> is organised</w:t>
      </w:r>
      <w:r w:rsidR="001356E9">
        <w:t>.</w:t>
      </w:r>
      <w:r w:rsidR="005C7781">
        <w:t xml:space="preserve"> </w:t>
      </w:r>
      <w:r w:rsidR="001356E9" w:rsidRPr="001356E9">
        <w:t>Such questions arise because we recognise, as we must, that companies exist within a broader social context</w:t>
      </w:r>
      <w:r w:rsidR="008216F8">
        <w:t>.</w:t>
      </w:r>
    </w:p>
    <w:p w:rsidR="001356E9" w:rsidRDefault="001356E9" w:rsidP="007E1768">
      <w:pPr>
        <w:spacing w:line="360" w:lineRule="auto"/>
        <w:jc w:val="both"/>
      </w:pPr>
    </w:p>
    <w:p w:rsidR="00E76995" w:rsidRDefault="00F8188B" w:rsidP="007E1768">
      <w:pPr>
        <w:spacing w:line="360" w:lineRule="auto"/>
        <w:jc w:val="both"/>
      </w:pPr>
      <w:r>
        <w:t>This</w:t>
      </w:r>
      <w:r w:rsidR="005C7781">
        <w:t xml:space="preserve"> insolvency</w:t>
      </w:r>
      <w:r w:rsidR="00FA5AFD">
        <w:t xml:space="preserve"> environment</w:t>
      </w:r>
      <w:r w:rsidR="005C7781">
        <w:t xml:space="preserve"> </w:t>
      </w:r>
      <w:r>
        <w:t>is</w:t>
      </w:r>
      <w:r w:rsidR="005C7781">
        <w:t xml:space="preserve"> fruitful</w:t>
      </w:r>
      <w:r>
        <w:t xml:space="preserve"> because questions become critical</w:t>
      </w:r>
      <w:r w:rsidR="000307B3">
        <w:t xml:space="preserve"> </w:t>
      </w:r>
      <w:r w:rsidR="00A85EFD">
        <w:t>in</w:t>
      </w:r>
      <w:r w:rsidR="000307B3">
        <w:t xml:space="preserve"> both a time sense</w:t>
      </w:r>
      <w:r w:rsidR="00FA5AFD">
        <w:t>,</w:t>
      </w:r>
      <w:r w:rsidR="000307B3">
        <w:t xml:space="preserve"> but also because of the </w:t>
      </w:r>
      <w:r w:rsidR="00A85EFD">
        <w:t xml:space="preserve">various </w:t>
      </w:r>
      <w:r w:rsidR="000307B3">
        <w:t xml:space="preserve">stakeholders that are affected by </w:t>
      </w:r>
      <w:r w:rsidR="00140779">
        <w:t xml:space="preserve">an </w:t>
      </w:r>
      <w:r w:rsidR="000307B3">
        <w:t>insolvent compan</w:t>
      </w:r>
      <w:r w:rsidR="00140779">
        <w:t>y and how it is dealt with</w:t>
      </w:r>
      <w:r>
        <w:t>. The</w:t>
      </w:r>
      <w:r w:rsidR="000307B3">
        <w:t>se questions cannot be</w:t>
      </w:r>
      <w:r>
        <w:t xml:space="preserve"> postponed for the future</w:t>
      </w:r>
      <w:r w:rsidR="000307B3">
        <w:t xml:space="preserve"> or mulled on at length</w:t>
      </w:r>
      <w:r w:rsidR="00A85EFD">
        <w:t>.</w:t>
      </w:r>
      <w:r w:rsidR="00701FF0">
        <w:t xml:space="preserve"> They are not hypothetical or abstract. Issues must be dealt with</w:t>
      </w:r>
      <w:r w:rsidR="00140779">
        <w:t xml:space="preserve"> in a</w:t>
      </w:r>
      <w:r w:rsidR="003510CF">
        <w:t>n expeditious</w:t>
      </w:r>
      <w:r w:rsidR="00140779">
        <w:t xml:space="preserve"> manner</w:t>
      </w:r>
      <w:r w:rsidR="00701FF0">
        <w:t>.</w:t>
      </w:r>
      <w:r w:rsidR="00A85EFD">
        <w:t xml:space="preserve"> </w:t>
      </w:r>
      <w:r w:rsidR="00140779">
        <w:t>This high tempo,</w:t>
      </w:r>
      <w:r w:rsidR="001356E9">
        <w:t xml:space="preserve"> roiling</w:t>
      </w:r>
      <w:r w:rsidR="00140779">
        <w:t xml:space="preserve"> </w:t>
      </w:r>
      <w:r w:rsidR="00162528">
        <w:t xml:space="preserve">caldron </w:t>
      </w:r>
      <w:r w:rsidR="00A85EFD">
        <w:t>of insolvency</w:t>
      </w:r>
      <w:r w:rsidR="00140779">
        <w:t xml:space="preserve"> </w:t>
      </w:r>
      <w:r w:rsidR="0085016B">
        <w:t xml:space="preserve">brings attention to </w:t>
      </w:r>
      <w:r w:rsidR="009C46AB">
        <w:t>the</w:t>
      </w:r>
      <w:r w:rsidR="00A85EFD">
        <w:t xml:space="preserve"> “corporation focus”, namely, </w:t>
      </w:r>
      <w:r w:rsidR="001356E9">
        <w:t>the interrelated questions regarding the purpose and objects of companies and how they are used.</w:t>
      </w:r>
    </w:p>
    <w:p w:rsidR="00E76995" w:rsidRDefault="00E76995" w:rsidP="007E1768">
      <w:pPr>
        <w:spacing w:line="360" w:lineRule="auto"/>
        <w:jc w:val="both"/>
      </w:pPr>
    </w:p>
    <w:p w:rsidR="00F8188B" w:rsidRDefault="00423660" w:rsidP="007E1768">
      <w:pPr>
        <w:spacing w:line="360" w:lineRule="auto"/>
        <w:jc w:val="both"/>
      </w:pPr>
      <w:r>
        <w:lastRenderedPageBreak/>
        <w:t xml:space="preserve">The company, insolvent or otherwise, is the main tool of capitalism. Therefore questions around the “corporation focus” </w:t>
      </w:r>
      <w:r w:rsidR="001E7F46">
        <w:t>become particularly acute against the backdrop of neo-liberal</w:t>
      </w:r>
      <w:r w:rsidR="00F809F2">
        <w:t xml:space="preserve">ism </w:t>
      </w:r>
      <w:r w:rsidR="001E7F46">
        <w:t xml:space="preserve">in society more generally. </w:t>
      </w:r>
      <w:r w:rsidR="00DF49E0">
        <w:t>There are</w:t>
      </w:r>
      <w:r w:rsidR="00DA4F48">
        <w:t xml:space="preserve"> ever</w:t>
      </w:r>
      <w:r w:rsidR="00DF49E0">
        <w:t xml:space="preserve"> </w:t>
      </w:r>
      <w:r w:rsidR="001E7F46">
        <w:t xml:space="preserve">increasing </w:t>
      </w:r>
      <w:r w:rsidR="00F809F2">
        <w:t xml:space="preserve">competitive </w:t>
      </w:r>
      <w:r w:rsidR="001E7F46">
        <w:t>pressures to make profit an all-encompassing goal</w:t>
      </w:r>
      <w:r w:rsidR="00BD080A">
        <w:t xml:space="preserve"> and the market pre-eminent</w:t>
      </w:r>
      <w:r w:rsidR="00DF49E0">
        <w:t xml:space="preserve"> to the exclusion of</w:t>
      </w:r>
      <w:r w:rsidR="006C79D4">
        <w:t>:</w:t>
      </w:r>
      <w:r w:rsidR="00DF49E0">
        <w:t xml:space="preserve"> workers’ rights</w:t>
      </w:r>
      <w:r w:rsidR="00A153DB">
        <w:t xml:space="preserve">, </w:t>
      </w:r>
      <w:r w:rsidR="006D6A66">
        <w:t>safe employment conditions,</w:t>
      </w:r>
      <w:r w:rsidR="00DF49E0">
        <w:t xml:space="preserve"> the</w:t>
      </w:r>
      <w:r w:rsidR="006D6A66">
        <w:t xml:space="preserve"> health of our</w:t>
      </w:r>
      <w:r w:rsidR="00DF49E0">
        <w:t xml:space="preserve"> environment</w:t>
      </w:r>
      <w:r w:rsidR="00F809F2">
        <w:t xml:space="preserve">, </w:t>
      </w:r>
      <w:r w:rsidR="005D438D">
        <w:t xml:space="preserve">good </w:t>
      </w:r>
      <w:r w:rsidR="00F809F2">
        <w:t>educational opportunit</w:t>
      </w:r>
      <w:r w:rsidR="006D6A66">
        <w:t>ies</w:t>
      </w:r>
      <w:r w:rsidR="00F809F2">
        <w:t>,</w:t>
      </w:r>
      <w:r w:rsidR="006D6A66">
        <w:t xml:space="preserve"> </w:t>
      </w:r>
      <w:r w:rsidR="005D438D">
        <w:t xml:space="preserve">good </w:t>
      </w:r>
      <w:r w:rsidR="006D6A66">
        <w:t>healthcare standards,</w:t>
      </w:r>
      <w:r w:rsidR="00F809F2">
        <w:t xml:space="preserve"> </w:t>
      </w:r>
      <w:r w:rsidR="006C79D4">
        <w:t xml:space="preserve">as well as </w:t>
      </w:r>
      <w:r w:rsidR="00F809F2">
        <w:t>the encouragement of over-consumption,</w:t>
      </w:r>
      <w:r w:rsidR="00A153DB">
        <w:t xml:space="preserve"> suppressed wages,</w:t>
      </w:r>
      <w:r w:rsidR="00F809F2">
        <w:t xml:space="preserve"> etc</w:t>
      </w:r>
      <w:r w:rsidR="00DF49E0">
        <w:t xml:space="preserve">. Against this backdrop </w:t>
      </w:r>
      <w:r w:rsidR="001E7F46">
        <w:t>do</w:t>
      </w:r>
      <w:r w:rsidR="00B528B9">
        <w:t xml:space="preserve"> insolvency law </w:t>
      </w:r>
      <w:r w:rsidR="00B95C06">
        <w:t xml:space="preserve">and policy </w:t>
      </w:r>
      <w:r w:rsidR="00B528B9">
        <w:t xml:space="preserve">responses </w:t>
      </w:r>
      <w:r w:rsidR="001E7F46">
        <w:t xml:space="preserve">teach us anything </w:t>
      </w:r>
      <w:r w:rsidR="002F1BCF">
        <w:t xml:space="preserve">that may </w:t>
      </w:r>
      <w:r w:rsidR="001E7F46">
        <w:t>show a fairer</w:t>
      </w:r>
      <w:r w:rsidR="005D438D">
        <w:t xml:space="preserve">, </w:t>
      </w:r>
      <w:r w:rsidR="00DF49E0">
        <w:t>more</w:t>
      </w:r>
      <w:r w:rsidR="00B95C06">
        <w:t xml:space="preserve"> humane and</w:t>
      </w:r>
      <w:r w:rsidR="00DF49E0">
        <w:t xml:space="preserve"> sustainable future </w:t>
      </w:r>
      <w:r w:rsidR="001E7F46">
        <w:t>path?</w:t>
      </w:r>
      <w:r w:rsidR="00BF70AD">
        <w:t xml:space="preserve"> Or put another way, is community a better model tha</w:t>
      </w:r>
      <w:r w:rsidR="00B95C06">
        <w:t>n</w:t>
      </w:r>
      <w:r w:rsidR="00BF70AD">
        <w:t xml:space="preserve"> </w:t>
      </w:r>
      <w:r w:rsidR="005D438D">
        <w:t xml:space="preserve">the </w:t>
      </w:r>
      <w:r w:rsidR="00BF70AD">
        <w:t>relentless competition</w:t>
      </w:r>
      <w:r w:rsidR="00005D87">
        <w:t xml:space="preserve"> of neo-liberalism</w:t>
      </w:r>
      <w:r w:rsidR="00BF70AD">
        <w:t>?</w:t>
      </w:r>
      <w:r w:rsidR="00005D87">
        <w:t xml:space="preserve"> (</w:t>
      </w:r>
      <w:r w:rsidR="000411CB">
        <w:t xml:space="preserve">for an overview </w:t>
      </w:r>
      <w:r w:rsidR="00005D87">
        <w:t>o</w:t>
      </w:r>
      <w:r w:rsidR="000411CB">
        <w:t>f</w:t>
      </w:r>
      <w:r w:rsidR="00005D87">
        <w:t xml:space="preserve"> this ideology see: Monbiot, G. </w:t>
      </w:r>
      <w:r w:rsidR="00005D87" w:rsidRPr="00005D87">
        <w:rPr>
          <w:i/>
        </w:rPr>
        <w:t>Neoliberalism – the ideology at the root of all our problems.</w:t>
      </w:r>
      <w:r w:rsidR="00005D87">
        <w:t xml:space="preserve"> The Guardian, Fri 15</w:t>
      </w:r>
      <w:r w:rsidR="00005D87" w:rsidRPr="00005D87">
        <w:rPr>
          <w:vertAlign w:val="superscript"/>
        </w:rPr>
        <w:t>th</w:t>
      </w:r>
      <w:r w:rsidR="00005D87">
        <w:t xml:space="preserve"> April 2016).</w:t>
      </w:r>
    </w:p>
    <w:p w:rsidR="000307B3" w:rsidRDefault="000307B3" w:rsidP="007E1768">
      <w:pPr>
        <w:spacing w:line="360" w:lineRule="auto"/>
        <w:jc w:val="both"/>
      </w:pPr>
    </w:p>
    <w:p w:rsidR="000307B3" w:rsidRDefault="000307B3" w:rsidP="007E1768">
      <w:pPr>
        <w:spacing w:line="360" w:lineRule="auto"/>
        <w:jc w:val="both"/>
      </w:pPr>
      <w:r>
        <w:t xml:space="preserve">In English and Welsh </w:t>
      </w:r>
      <w:r w:rsidR="00A85EFD">
        <w:t xml:space="preserve">insolvency </w:t>
      </w:r>
      <w:r>
        <w:t xml:space="preserve">law the answers to questions involving </w:t>
      </w:r>
      <w:r w:rsidR="00DF49E0">
        <w:t xml:space="preserve">broader </w:t>
      </w:r>
      <w:r>
        <w:t>stakeholders such as employees, communities, and the environment</w:t>
      </w:r>
      <w:r w:rsidR="003E493A">
        <w:t>,</w:t>
      </w:r>
      <w:r>
        <w:t xml:space="preserve"> </w:t>
      </w:r>
      <w:r w:rsidR="00A85EFD">
        <w:t>can be</w:t>
      </w:r>
      <w:r>
        <w:t xml:space="preserve"> answered in a positive manner. This article attempts to explain why this is using two area</w:t>
      </w:r>
      <w:r w:rsidR="001315A1">
        <w:t>s</w:t>
      </w:r>
      <w:r>
        <w:t xml:space="preserve">, (1) Public </w:t>
      </w:r>
      <w:r w:rsidR="00722B7B">
        <w:t>i</w:t>
      </w:r>
      <w:r>
        <w:t xml:space="preserve">nterest </w:t>
      </w:r>
      <w:r w:rsidR="00722B7B">
        <w:t>i</w:t>
      </w:r>
      <w:r>
        <w:t xml:space="preserve">nsolvency, and (2) Sports </w:t>
      </w:r>
      <w:r w:rsidR="00722B7B">
        <w:t>c</w:t>
      </w:r>
      <w:r w:rsidR="001315A1">
        <w:t xml:space="preserve">lub </w:t>
      </w:r>
      <w:r w:rsidR="00722B7B">
        <w:t>i</w:t>
      </w:r>
      <w:r>
        <w:t>nsolvency. Both areas</w:t>
      </w:r>
      <w:r w:rsidR="001315A1">
        <w:t xml:space="preserve"> of insolvency</w:t>
      </w:r>
      <w:r>
        <w:t xml:space="preserve"> exhibit </w:t>
      </w:r>
      <w:r w:rsidR="00E53953">
        <w:t xml:space="preserve">similar traits in terms of pressures but they also both show how insolvency law is able to respond in a humane way </w:t>
      </w:r>
      <w:r w:rsidR="00D17B75">
        <w:t>that</w:t>
      </w:r>
      <w:r w:rsidR="00E53953">
        <w:t xml:space="preserve"> reflects the wider stakeholder environment in which the insolven</w:t>
      </w:r>
      <w:r w:rsidR="001315A1">
        <w:t>t</w:t>
      </w:r>
      <w:r w:rsidR="00E53953">
        <w:t xml:space="preserve"> company resides. Additionally public interest insolvency and sports club insolvency demonstrate approaches that can also be used beyond the insolvent environment</w:t>
      </w:r>
      <w:r w:rsidR="00B131BD">
        <w:t xml:space="preserve"> and as part of our quest to answer the “corporation focus” problem</w:t>
      </w:r>
      <w:r w:rsidR="00E53953">
        <w:t>. Practices can be harnessed to help us manage companies in solvent times in a way which much better reflects the human actors who sit behind the legal fiction</w:t>
      </w:r>
      <w:r w:rsidR="009C46AB">
        <w:t>s</w:t>
      </w:r>
      <w:r w:rsidR="00E53953">
        <w:t xml:space="preserve"> that are used to transact the artificial entit</w:t>
      </w:r>
      <w:r w:rsidR="009C46AB">
        <w:t>y’s</w:t>
      </w:r>
      <w:r w:rsidR="00E53953">
        <w:t xml:space="preserve"> purposes, in whatever sector they might reside. Ultimately this essay is a plea to remember the human in this contested arena and in future policy making. </w:t>
      </w:r>
    </w:p>
    <w:p w:rsidR="00F8188B" w:rsidRDefault="00F8188B" w:rsidP="007E1768">
      <w:pPr>
        <w:spacing w:line="360" w:lineRule="auto"/>
        <w:jc w:val="both"/>
      </w:pPr>
    </w:p>
    <w:p w:rsidR="00F8188B" w:rsidRDefault="00F8188B" w:rsidP="007E1768">
      <w:pPr>
        <w:spacing w:line="360" w:lineRule="auto"/>
        <w:jc w:val="both"/>
      </w:pPr>
    </w:p>
    <w:p w:rsidR="00F8188B" w:rsidRPr="000307B3" w:rsidRDefault="00F8188B" w:rsidP="007E1768">
      <w:pPr>
        <w:spacing w:line="360" w:lineRule="auto"/>
        <w:jc w:val="both"/>
        <w:rPr>
          <w:b/>
          <w:u w:val="single"/>
        </w:rPr>
      </w:pPr>
      <w:r w:rsidRPr="000307B3">
        <w:rPr>
          <w:b/>
          <w:u w:val="single"/>
        </w:rPr>
        <w:t xml:space="preserve">A. Public </w:t>
      </w:r>
      <w:r w:rsidR="007776C1" w:rsidRPr="000307B3">
        <w:rPr>
          <w:b/>
          <w:u w:val="single"/>
        </w:rPr>
        <w:t>I</w:t>
      </w:r>
      <w:r w:rsidRPr="000307B3">
        <w:rPr>
          <w:b/>
          <w:u w:val="single"/>
        </w:rPr>
        <w:t xml:space="preserve">nterest </w:t>
      </w:r>
      <w:r w:rsidR="007776C1" w:rsidRPr="000307B3">
        <w:rPr>
          <w:b/>
          <w:u w:val="single"/>
        </w:rPr>
        <w:t>I</w:t>
      </w:r>
      <w:r w:rsidRPr="000307B3">
        <w:rPr>
          <w:b/>
          <w:u w:val="single"/>
        </w:rPr>
        <w:t>nsolvency</w:t>
      </w:r>
    </w:p>
    <w:p w:rsidR="00F8188B" w:rsidRDefault="00F8188B" w:rsidP="007E1768">
      <w:pPr>
        <w:spacing w:line="360" w:lineRule="auto"/>
        <w:jc w:val="both"/>
      </w:pPr>
    </w:p>
    <w:p w:rsidR="00F8188B" w:rsidRDefault="007776C1" w:rsidP="007E1768">
      <w:pPr>
        <w:spacing w:line="360" w:lineRule="auto"/>
        <w:jc w:val="both"/>
      </w:pPr>
      <w:r>
        <w:t>English and Welsh insolvency law has a long history of dealing with large</w:t>
      </w:r>
      <w:r w:rsidR="005C4057">
        <w:t>-</w:t>
      </w:r>
      <w:r>
        <w:t xml:space="preserve">scale insolvencies which concern the public interest. </w:t>
      </w:r>
      <w:r w:rsidR="00576331">
        <w:t xml:space="preserve">Public interest in this context is broadly </w:t>
      </w:r>
      <w:r w:rsidR="006812A1">
        <w:t>analogous</w:t>
      </w:r>
      <w:r w:rsidR="00576331">
        <w:t xml:space="preserve"> to the concept of </w:t>
      </w:r>
      <w:r w:rsidR="00784873">
        <w:t>public benefit</w:t>
      </w:r>
      <w:r w:rsidR="006812A1">
        <w:t xml:space="preserve"> in charity law, namely activity that benefits the public</w:t>
      </w:r>
      <w:r w:rsidR="00784873">
        <w:t xml:space="preserve">. Or in </w:t>
      </w:r>
      <w:r w:rsidR="00784873">
        <w:lastRenderedPageBreak/>
        <w:t xml:space="preserve">narrower terms </w:t>
      </w:r>
      <w:r w:rsidR="006812A1">
        <w:t>public interest</w:t>
      </w:r>
      <w:r w:rsidR="00784873">
        <w:t xml:space="preserve"> is whatever the relevant </w:t>
      </w:r>
      <w:r w:rsidR="006812A1">
        <w:t xml:space="preserve">Government </w:t>
      </w:r>
      <w:r w:rsidR="00784873">
        <w:t>minister</w:t>
      </w:r>
      <w:r w:rsidR="006812A1">
        <w:t>, usually at BEIS (The Department for Business, Energy &amp; Industrial Strategy) or the Chancellor of the Exchequer,</w:t>
      </w:r>
      <w:r w:rsidR="00784873">
        <w:t xml:space="preserve"> says it is a</w:t>
      </w:r>
      <w:r w:rsidR="008C340F">
        <w:t>t</w:t>
      </w:r>
      <w:r w:rsidR="00784873">
        <w:t xml:space="preserve"> the given time</w:t>
      </w:r>
      <w:r w:rsidR="006812A1">
        <w:t xml:space="preserve"> </w:t>
      </w:r>
      <w:r w:rsidR="00285637">
        <w:t xml:space="preserve">and </w:t>
      </w:r>
      <w:r w:rsidR="006812A1">
        <w:t>for various political reasons</w:t>
      </w:r>
      <w:r w:rsidR="00784873">
        <w:t>. Either way examples abound in this juris</w:t>
      </w:r>
      <w:r w:rsidR="00E42077">
        <w:t>diction</w:t>
      </w:r>
      <w:r w:rsidR="00784873">
        <w:t xml:space="preserve"> of insolvencies touching on the public interest. W</w:t>
      </w:r>
      <w:r w:rsidR="000307B3">
        <w:t>hether it has been, for example, steel works in South Wales or the North East</w:t>
      </w:r>
      <w:r w:rsidR="00FB7252">
        <w:t xml:space="preserve"> (British Steel)</w:t>
      </w:r>
      <w:r w:rsidR="000307B3">
        <w:t>, car plants in the Longbridge area of Birmingham</w:t>
      </w:r>
      <w:r w:rsidR="00FB7252">
        <w:t xml:space="preserve"> (MG Rover)</w:t>
      </w:r>
      <w:r w:rsidR="000307B3">
        <w:t>, aviation companies whose customers are abroad at the time of failure,</w:t>
      </w:r>
      <w:r w:rsidR="00FB7252">
        <w:t xml:space="preserve"> (Thomas Cook)</w:t>
      </w:r>
      <w:r w:rsidR="000307B3">
        <w:t xml:space="preserve"> or large scale office developments in the Docklands area of </w:t>
      </w:r>
      <w:r w:rsidR="007C04A8">
        <w:t xml:space="preserve">East </w:t>
      </w:r>
      <w:r w:rsidR="000307B3">
        <w:t>London</w:t>
      </w:r>
      <w:r w:rsidR="00FB7252">
        <w:t xml:space="preserve"> (Olympia &amp; York)</w:t>
      </w:r>
      <w:r w:rsidR="00784873">
        <w:t xml:space="preserve"> to name a sample. I</w:t>
      </w:r>
      <w:r w:rsidR="000307B3">
        <w:t>nsolvency practitioners (IP</w:t>
      </w:r>
      <w:r w:rsidR="007C04A8">
        <w:t>s</w:t>
      </w:r>
      <w:r w:rsidR="000307B3">
        <w:t>)</w:t>
      </w:r>
      <w:r w:rsidR="00845BC3">
        <w:t xml:space="preserve"> and the Official Receiver</w:t>
      </w:r>
      <w:r w:rsidR="000307B3">
        <w:t xml:space="preserve"> are well used to dealing with broader stakeholder issues that go beyond profit wealth maximisation</w:t>
      </w:r>
      <w:r w:rsidR="00487CA2">
        <w:t xml:space="preserve">, </w:t>
      </w:r>
      <w:r w:rsidR="000307B3">
        <w:t>creditor wealth maximisation</w:t>
      </w:r>
      <w:r w:rsidR="00487CA2">
        <w:t>, or the narrow confines of insolvency law and its provisions</w:t>
      </w:r>
      <w:r w:rsidR="00B470C5">
        <w:t xml:space="preserve"> (see</w:t>
      </w:r>
      <w:r w:rsidR="00EC6E7B">
        <w:t xml:space="preserve"> further</w:t>
      </w:r>
      <w:r w:rsidR="00B470C5">
        <w:t xml:space="preserve">: </w:t>
      </w:r>
      <w:r w:rsidR="00B470C5" w:rsidRPr="00B470C5">
        <w:t>Tribe, J.</w:t>
      </w:r>
      <w:r w:rsidR="00B470C5">
        <w:t xml:space="preserve"> </w:t>
      </w:r>
      <w:r w:rsidR="00B470C5" w:rsidRPr="00B470C5">
        <w:rPr>
          <w:i/>
        </w:rPr>
        <w:t>Communitarianism and the Public Interest in Large Corporate Insolvencies: Future Directions for Value and Potential in Commonweal Undertakings</w:t>
      </w:r>
      <w:r w:rsidR="00B470C5" w:rsidRPr="00B470C5">
        <w:t>. In Harris</w:t>
      </w:r>
      <w:r w:rsidR="000E26F8">
        <w:t>, J</w:t>
      </w:r>
      <w:r w:rsidR="00B470C5" w:rsidRPr="00B470C5">
        <w:t xml:space="preserve"> (Ed.), </w:t>
      </w:r>
      <w:r w:rsidR="00B470C5" w:rsidRPr="001315A1">
        <w:rPr>
          <w:i/>
        </w:rPr>
        <w:t>A Research Agenda for Insolvency Law</w:t>
      </w:r>
      <w:r w:rsidR="00B470C5" w:rsidRPr="00B470C5">
        <w:t>. Edward Elgar.</w:t>
      </w:r>
      <w:r w:rsidR="00B470C5">
        <w:t xml:space="preserve"> 2023</w:t>
      </w:r>
      <w:r w:rsidR="00682BBE">
        <w:t xml:space="preserve">, hereafter </w:t>
      </w:r>
      <w:r w:rsidR="00682BBE" w:rsidRPr="00682BBE">
        <w:rPr>
          <w:i/>
        </w:rPr>
        <w:t>Tribe Commonweal</w:t>
      </w:r>
      <w:r w:rsidR="00384704">
        <w:rPr>
          <w:i/>
        </w:rPr>
        <w:t xml:space="preserve">. </w:t>
      </w:r>
      <w:r w:rsidR="00A607F9">
        <w:t xml:space="preserve">Read before the Society of Legal Scholars’ Annual Conference, King’s College London, </w:t>
      </w:r>
      <w:r w:rsidR="00717D64">
        <w:t>7</w:t>
      </w:r>
      <w:r w:rsidR="00717D64" w:rsidRPr="00717D64">
        <w:rPr>
          <w:vertAlign w:val="superscript"/>
        </w:rPr>
        <w:t>th</w:t>
      </w:r>
      <w:r w:rsidR="00717D64">
        <w:t xml:space="preserve"> </w:t>
      </w:r>
      <w:r w:rsidR="00A607F9">
        <w:t>September 2022</w:t>
      </w:r>
      <w:r w:rsidR="00B470C5">
        <w:t>).</w:t>
      </w:r>
      <w:r w:rsidR="000307B3">
        <w:t xml:space="preserve"> </w:t>
      </w:r>
      <w:r w:rsidR="007C04A8">
        <w:t xml:space="preserve">Indeed, it could be argued that Sir Kenneth Cork’s imaginative use of receivership in the 1970s and early 1980s (See: </w:t>
      </w:r>
      <w:r w:rsidR="00B470C5">
        <w:t xml:space="preserve">Cork, K. </w:t>
      </w:r>
      <w:r w:rsidR="007C04A8" w:rsidRPr="00B470C5">
        <w:rPr>
          <w:i/>
        </w:rPr>
        <w:t>Cork on Cork</w:t>
      </w:r>
      <w:r w:rsidR="007C04A8">
        <w:t>,</w:t>
      </w:r>
      <w:r w:rsidR="00B470C5">
        <w:t xml:space="preserve"> Macmillan,</w:t>
      </w:r>
      <w:r w:rsidR="00794530">
        <w:t xml:space="preserve"> London, 1998,</w:t>
      </w:r>
      <w:r w:rsidR="007C04A8">
        <w:t xml:space="preserve"> Chapter</w:t>
      </w:r>
      <w:r w:rsidR="006E3612">
        <w:t>s</w:t>
      </w:r>
      <w:r w:rsidR="007C04A8">
        <w:t xml:space="preserve"> </w:t>
      </w:r>
      <w:r w:rsidR="006E3612">
        <w:t xml:space="preserve">6, 9 and </w:t>
      </w:r>
      <w:r w:rsidR="007C04A8">
        <w:t>10) is an example of an IP attempting to harness a company’s totality</w:t>
      </w:r>
      <w:r w:rsidR="00EC6E7B">
        <w:t xml:space="preserve"> of potential</w:t>
      </w:r>
      <w:r w:rsidR="007C04A8">
        <w:t xml:space="preserve"> to preserve value and to facilitate growth, not just for the benefit of the debenture holders but also for </w:t>
      </w:r>
      <w:r w:rsidR="00F4068B">
        <w:t xml:space="preserve">the </w:t>
      </w:r>
      <w:r w:rsidR="0076070C">
        <w:t>other stakeholder</w:t>
      </w:r>
      <w:r w:rsidR="00EC6E7B">
        <w:t>s who were</w:t>
      </w:r>
      <w:r w:rsidR="0076070C">
        <w:t xml:space="preserve"> affected by the insolvency, including </w:t>
      </w:r>
      <w:r w:rsidR="007C04A8">
        <w:t>those employed by the company in receivership</w:t>
      </w:r>
      <w:r w:rsidR="0076070C">
        <w:t xml:space="preserve"> and the wider community</w:t>
      </w:r>
      <w:r w:rsidR="00F94ABB">
        <w:t xml:space="preserve"> of stakeholders. </w:t>
      </w:r>
    </w:p>
    <w:p w:rsidR="000307B3" w:rsidRDefault="000307B3" w:rsidP="007E1768">
      <w:pPr>
        <w:spacing w:line="360" w:lineRule="auto"/>
        <w:jc w:val="both"/>
      </w:pPr>
    </w:p>
    <w:p w:rsidR="009D4242" w:rsidRDefault="007C04A8" w:rsidP="009F64EE">
      <w:pPr>
        <w:spacing w:line="360" w:lineRule="auto"/>
        <w:jc w:val="both"/>
      </w:pPr>
      <w:r>
        <w:t>Who are these stakeholders</w:t>
      </w:r>
      <w:r w:rsidR="00444D94">
        <w:t xml:space="preserve"> of the insolvent company</w:t>
      </w:r>
      <w:r>
        <w:t xml:space="preserve">? </w:t>
      </w:r>
      <w:r w:rsidR="009D4242">
        <w:t xml:space="preserve">The general corporate law stakeholder debate has long </w:t>
      </w:r>
      <w:r w:rsidR="00357E92">
        <w:t>historical roots</w:t>
      </w:r>
      <w:r w:rsidR="009D4242">
        <w:t>, stretching back at least to the seminal exchange between Professor Adolf Berle and Professor Merrick Dodd in the Harvard Law Review in 1932</w:t>
      </w:r>
      <w:r w:rsidR="00ED2170">
        <w:t xml:space="preserve">. </w:t>
      </w:r>
      <w:r w:rsidR="009D4242">
        <w:t xml:space="preserve">The two professors were debating the question </w:t>
      </w:r>
      <w:r w:rsidR="009D4242" w:rsidRPr="00357E92">
        <w:rPr>
          <w:i/>
        </w:rPr>
        <w:t xml:space="preserve">“For Whom are Corporate Managers Trustees?” </w:t>
      </w:r>
      <w:r w:rsidR="008D0638">
        <w:t>Berle had originally proposed that</w:t>
      </w:r>
      <w:r w:rsidR="00ED2170">
        <w:t xml:space="preserve"> a corporation</w:t>
      </w:r>
      <w:r w:rsidR="009142D4">
        <w:t>’</w:t>
      </w:r>
      <w:r w:rsidR="00ED2170">
        <w:t xml:space="preserve">s directors should be working </w:t>
      </w:r>
      <w:r w:rsidR="003622D1">
        <w:t xml:space="preserve">solely </w:t>
      </w:r>
      <w:r w:rsidR="00ED2170">
        <w:t xml:space="preserve">for shareholder </w:t>
      </w:r>
      <w:r w:rsidR="00723C7B">
        <w:t xml:space="preserve">wealth </w:t>
      </w:r>
      <w:r w:rsidR="00ED2170">
        <w:t>maximisation</w:t>
      </w:r>
      <w:r w:rsidR="0041400E">
        <w:t xml:space="preserve"> as “sole beneficiaries of the corporate enterprise”</w:t>
      </w:r>
      <w:r w:rsidR="00ED2170">
        <w:t xml:space="preserve"> (see: </w:t>
      </w:r>
      <w:r w:rsidR="00ED2170" w:rsidRPr="00ED2170">
        <w:t>Berle,</w:t>
      </w:r>
      <w:r w:rsidR="00ED2170">
        <w:t xml:space="preserve"> A.</w:t>
      </w:r>
      <w:r w:rsidR="00ED2170" w:rsidRPr="00ED2170">
        <w:t xml:space="preserve"> </w:t>
      </w:r>
      <w:r w:rsidR="00ED2170" w:rsidRPr="00ED2170">
        <w:rPr>
          <w:i/>
        </w:rPr>
        <w:t xml:space="preserve">Corporate Powers as Powers in Trust </w:t>
      </w:r>
      <w:r w:rsidR="00ED2170" w:rsidRPr="00ED2170">
        <w:t>(1931) 44 HARV.L.R</w:t>
      </w:r>
      <w:r w:rsidR="00ED2170">
        <w:t xml:space="preserve"> 1049). </w:t>
      </w:r>
      <w:r w:rsidR="00F84C75">
        <w:t xml:space="preserve">In </w:t>
      </w:r>
      <w:r w:rsidR="00ED2170">
        <w:t>a</w:t>
      </w:r>
      <w:r w:rsidR="00F84C75">
        <w:t xml:space="preserve"> response a</w:t>
      </w:r>
      <w:r w:rsidR="00934630">
        <w:t xml:space="preserve">rticle </w:t>
      </w:r>
      <w:r w:rsidR="009D4242">
        <w:t xml:space="preserve">Dodd </w:t>
      </w:r>
      <w:r w:rsidR="00934630">
        <w:t xml:space="preserve">observed that it was </w:t>
      </w:r>
      <w:r w:rsidR="00934630" w:rsidRPr="00934630">
        <w:t>"undesirable</w:t>
      </w:r>
      <w:r w:rsidR="00934630">
        <w:t>…</w:t>
      </w:r>
      <w:r w:rsidR="00934630" w:rsidRPr="00934630">
        <w:t xml:space="preserve">to give increased emphasis at the present time to the view that business corporations exist for the </w:t>
      </w:r>
      <w:r w:rsidR="00934630" w:rsidRPr="008B383B">
        <w:rPr>
          <w:i/>
          <w:u w:val="single"/>
        </w:rPr>
        <w:t>sole purpose</w:t>
      </w:r>
      <w:r w:rsidR="00934630" w:rsidRPr="00934630">
        <w:t xml:space="preserve"> of making profits for their stockholders."</w:t>
      </w:r>
      <w:r w:rsidR="00934630">
        <w:t xml:space="preserve"> (</w:t>
      </w:r>
      <w:r w:rsidR="00ED2170">
        <w:t xml:space="preserve">see: </w:t>
      </w:r>
      <w:r w:rsidR="00934630">
        <w:t xml:space="preserve">Dodd, EM. </w:t>
      </w:r>
      <w:r w:rsidR="00934630" w:rsidRPr="004E795E">
        <w:rPr>
          <w:i/>
        </w:rPr>
        <w:t>For Whom Are Corporate Managers Trustees?</w:t>
      </w:r>
      <w:r w:rsidR="00934630">
        <w:t xml:space="preserve"> (1932) </w:t>
      </w:r>
      <w:r w:rsidR="00934630">
        <w:lastRenderedPageBreak/>
        <w:t>H</w:t>
      </w:r>
      <w:r w:rsidR="00F57D6D">
        <w:t>ARV.L.R</w:t>
      </w:r>
      <w:r w:rsidR="00934630">
        <w:t>, Vol. 45, No. 7 (May), pp. 1145-1163, p.</w:t>
      </w:r>
      <w:r w:rsidR="00ED2170">
        <w:t>1147</w:t>
      </w:r>
      <w:r w:rsidR="00A46489">
        <w:t>,</w:t>
      </w:r>
      <w:r w:rsidR="004D0A3A">
        <w:t xml:space="preserve"> hereafter </w:t>
      </w:r>
      <w:r w:rsidR="004D0A3A" w:rsidRPr="004D0A3A">
        <w:rPr>
          <w:i/>
        </w:rPr>
        <w:t>Dodd Managers</w:t>
      </w:r>
      <w:r w:rsidR="004D0A3A">
        <w:t>,</w:t>
      </w:r>
      <w:r w:rsidR="00A46489">
        <w:t xml:space="preserve"> current author’s italicised</w:t>
      </w:r>
      <w:r w:rsidR="008B383B">
        <w:t xml:space="preserve"> and underlined</w:t>
      </w:r>
      <w:r w:rsidR="00A46489">
        <w:t xml:space="preserve"> emphasis</w:t>
      </w:r>
      <w:r w:rsidR="00934630">
        <w:t>). Dodd continued, “…public opinion, which ultimately makes law, has made and is today making substantial strides in the direction of a view of the business corporation as an economic institution</w:t>
      </w:r>
      <w:r w:rsidR="00934630" w:rsidRPr="00C7061A">
        <w:rPr>
          <w:u w:val="single"/>
        </w:rPr>
        <w:t xml:space="preserve"> </w:t>
      </w:r>
      <w:r w:rsidR="00934630" w:rsidRPr="00C7061A">
        <w:rPr>
          <w:i/>
          <w:u w:val="single"/>
        </w:rPr>
        <w:t>which has a social service as well as a profit-making function</w:t>
      </w:r>
      <w:r w:rsidR="00934630">
        <w:t>, that this view has already had some effect upon legal theory, and that it is likely to have a greatly increased effect upon the latter in the near future.” (</w:t>
      </w:r>
      <w:r w:rsidR="00934630" w:rsidRPr="00934630">
        <w:rPr>
          <w:i/>
        </w:rPr>
        <w:t>ibid</w:t>
      </w:r>
      <w:r w:rsidR="00ED2170">
        <w:rPr>
          <w:i/>
        </w:rPr>
        <w:t xml:space="preserve">, </w:t>
      </w:r>
      <w:r w:rsidR="00ED2170" w:rsidRPr="00ED2170">
        <w:t>p.1148</w:t>
      </w:r>
      <w:r w:rsidR="00934630">
        <w:t>).</w:t>
      </w:r>
      <w:r w:rsidR="00ED2170">
        <w:t xml:space="preserve"> Berle responded (see: Berle, AA. </w:t>
      </w:r>
      <w:r w:rsidR="00ED2170" w:rsidRPr="004E795E">
        <w:rPr>
          <w:i/>
        </w:rPr>
        <w:t>For Whom Corporate Managers Are Trustees: A Note</w:t>
      </w:r>
      <w:r w:rsidR="00ED2170">
        <w:t xml:space="preserve"> (1932) HARV.L.R, Vol. 45, No. 8 (Jun), pp. 1365-1372). Ber</w:t>
      </w:r>
      <w:r w:rsidR="00754D9F">
        <w:t>le</w:t>
      </w:r>
      <w:r w:rsidR="00ED2170">
        <w:t xml:space="preserve"> came round to the stakeholder vision proposed by Dodd who </w:t>
      </w:r>
      <w:r w:rsidR="009D4242">
        <w:t xml:space="preserve">had managed to convince his </w:t>
      </w:r>
      <w:r w:rsidR="00FA1EA1">
        <w:t>academic sparring partner</w:t>
      </w:r>
      <w:r w:rsidR="009D4242">
        <w:t xml:space="preserve"> that company directors should take account of interests that are broader than those of the aggregating shareholders.</w:t>
      </w:r>
      <w:r w:rsidR="00EA10CF">
        <w:t xml:space="preserve"> A company should draw its conscience from the </w:t>
      </w:r>
      <w:r w:rsidR="007A49C8">
        <w:t>society</w:t>
      </w:r>
      <w:r w:rsidR="00EA10CF">
        <w:t xml:space="preserve"> in which it res</w:t>
      </w:r>
      <w:r w:rsidR="00FD0704">
        <w:t>i</w:t>
      </w:r>
      <w:r w:rsidR="00EA10CF">
        <w:t>des.</w:t>
      </w:r>
      <w:r w:rsidR="00FD0704">
        <w:t xml:space="preserve"> That is the company should act in a way that reflects the values of those in the society </w:t>
      </w:r>
      <w:r w:rsidR="00711CAC">
        <w:t>that</w:t>
      </w:r>
      <w:r w:rsidR="00FD0704">
        <w:t xml:space="preserve"> has granted it personhood. </w:t>
      </w:r>
      <w:r w:rsidR="000D101C">
        <w:t xml:space="preserve">In this way the company is not only an aggregation of the wealth of the shareholders, but also an aggregation of the views of stakeholders. </w:t>
      </w:r>
      <w:r w:rsidR="00CF74A7">
        <w:t xml:space="preserve">This is as true in insolvent times as it is in solvent times. </w:t>
      </w:r>
    </w:p>
    <w:p w:rsidR="00F94ABB" w:rsidRDefault="00F94ABB" w:rsidP="007E1768">
      <w:pPr>
        <w:spacing w:line="360" w:lineRule="auto"/>
        <w:jc w:val="both"/>
      </w:pPr>
    </w:p>
    <w:p w:rsidR="007C04A8" w:rsidRDefault="00AF2FB8" w:rsidP="007E1768">
      <w:pPr>
        <w:spacing w:line="360" w:lineRule="auto"/>
        <w:jc w:val="both"/>
      </w:pPr>
      <w:r>
        <w:t xml:space="preserve">All of this stakeholder discussion translates across to companies that are suffering from liquidity problems. </w:t>
      </w:r>
      <w:r w:rsidR="007C04A8">
        <w:t xml:space="preserve">As </w:t>
      </w:r>
      <w:r w:rsidR="001904EC">
        <w:t>Figure</w:t>
      </w:r>
      <w:r w:rsidR="007C04A8">
        <w:t xml:space="preserve"> One demonstrates</w:t>
      </w:r>
      <w:r w:rsidR="00444D94">
        <w:t xml:space="preserve"> there are a plethora of stakeholders</w:t>
      </w:r>
      <w:r w:rsidR="0076070C">
        <w:t xml:space="preserve"> in corporate insolvency</w:t>
      </w:r>
      <w:r w:rsidR="009D4242">
        <w:t xml:space="preserve"> law</w:t>
      </w:r>
      <w:r w:rsidR="0076070C">
        <w:t>.</w:t>
      </w:r>
      <w:r w:rsidR="009D310B">
        <w:t xml:space="preserve"> </w:t>
      </w:r>
      <w:r w:rsidR="0076070C">
        <w:t>T</w:t>
      </w:r>
      <w:r w:rsidR="00444D94">
        <w:t>hese</w:t>
      </w:r>
      <w:r w:rsidR="009D310B">
        <w:t xml:space="preserve"> stakeholders</w:t>
      </w:r>
      <w:r w:rsidR="00444D94">
        <w:t xml:space="preserve"> go beyond the usual </w:t>
      </w:r>
      <w:r w:rsidR="003A6F4D">
        <w:t>groups</w:t>
      </w:r>
      <w:r w:rsidR="00444D94">
        <w:t xml:space="preserve"> that are encountered in the debates on company law and pluralism</w:t>
      </w:r>
      <w:r w:rsidR="0076070C">
        <w:t xml:space="preserve"> (in the </w:t>
      </w:r>
      <w:r w:rsidR="00E04783">
        <w:t xml:space="preserve">solvent </w:t>
      </w:r>
      <w:r w:rsidR="0076070C">
        <w:t xml:space="preserve">company law context see: Keay, A. </w:t>
      </w:r>
      <w:r w:rsidR="0076070C" w:rsidRPr="00F94ABB">
        <w:rPr>
          <w:i/>
        </w:rPr>
        <w:t>Enlightened Shareholder Value</w:t>
      </w:r>
      <w:r w:rsidR="00AE53C6">
        <w:rPr>
          <w:i/>
        </w:rPr>
        <w:t xml:space="preserve"> and Corporate Governance. </w:t>
      </w:r>
      <w:r w:rsidR="00AE53C6" w:rsidRPr="00AE53C6">
        <w:t>Routledge, Abingdon, p.185</w:t>
      </w:r>
      <w:r w:rsidR="00AE53C6">
        <w:rPr>
          <w:i/>
        </w:rPr>
        <w:t xml:space="preserve"> ‘constituency statues’)</w:t>
      </w:r>
      <w:r w:rsidR="0076070C">
        <w:t>).</w:t>
      </w:r>
      <w:r w:rsidR="00843811">
        <w:t xml:space="preserve"> </w:t>
      </w:r>
      <w:r w:rsidR="00444D94">
        <w:t xml:space="preserve">Insolvency affords the opportunity to discuss broader societal concerns that go beyond the narrow confines of shareholder wealth maximisation and the more </w:t>
      </w:r>
      <w:r w:rsidR="00E04783">
        <w:t>progressive</w:t>
      </w:r>
      <w:r w:rsidR="00444D94">
        <w:t xml:space="preserve"> test of enlightened shareholder value enunciated in s.172 of the Companies Act 2006 </w:t>
      </w:r>
      <w:r w:rsidR="00E04783">
        <w:t xml:space="preserve">and </w:t>
      </w:r>
      <w:r w:rsidR="00444D94">
        <w:t xml:space="preserve">recently explored by the United Kingdom Supreme Court in the </w:t>
      </w:r>
      <w:r w:rsidR="00444D94" w:rsidRPr="0076070C">
        <w:rPr>
          <w:i/>
        </w:rPr>
        <w:t>Sequana</w:t>
      </w:r>
      <w:r w:rsidR="00444D94">
        <w:t xml:space="preserve"> case ([2022] UKSC </w:t>
      </w:r>
      <w:r w:rsidR="00C22B52">
        <w:t>25</w:t>
      </w:r>
      <w:r w:rsidR="00444D94">
        <w:t xml:space="preserve">). </w:t>
      </w:r>
      <w:r w:rsidR="00C53EA3">
        <w:t>In other words</w:t>
      </w:r>
      <w:r w:rsidR="00C32066">
        <w:t>,</w:t>
      </w:r>
      <w:r w:rsidR="00C53EA3">
        <w:t xml:space="preserve"> insolvency law and public interest insolvency</w:t>
      </w:r>
      <w:r w:rsidR="003A6F4D">
        <w:t xml:space="preserve"> and sports club insolvency</w:t>
      </w:r>
      <w:r w:rsidR="00C53EA3">
        <w:t xml:space="preserve"> in particular stress test</w:t>
      </w:r>
      <w:r w:rsidR="003A6F4D">
        <w:t>s</w:t>
      </w:r>
      <w:r w:rsidR="00C53EA3">
        <w:t xml:space="preserve"> who we really want to benefit and prioritise in our </w:t>
      </w:r>
      <w:r w:rsidR="00225AC2">
        <w:t xml:space="preserve">company and insolvency law and therefore more broadly in society. </w:t>
      </w:r>
    </w:p>
    <w:p w:rsidR="007C04A8" w:rsidRDefault="007C04A8" w:rsidP="007E1768">
      <w:pPr>
        <w:spacing w:line="360" w:lineRule="auto"/>
        <w:jc w:val="both"/>
      </w:pPr>
    </w:p>
    <w:p w:rsidR="00171886" w:rsidRDefault="00171886" w:rsidP="007E1768">
      <w:pPr>
        <w:spacing w:line="360" w:lineRule="auto"/>
        <w:jc w:val="both"/>
      </w:pPr>
    </w:p>
    <w:p w:rsidR="00171886" w:rsidRDefault="00171886" w:rsidP="007E1768">
      <w:pPr>
        <w:spacing w:line="360" w:lineRule="auto"/>
        <w:jc w:val="both"/>
      </w:pPr>
    </w:p>
    <w:p w:rsidR="00171886" w:rsidRDefault="00171886" w:rsidP="007E1768">
      <w:pPr>
        <w:spacing w:line="360" w:lineRule="auto"/>
        <w:jc w:val="both"/>
      </w:pPr>
    </w:p>
    <w:p w:rsidR="00171886" w:rsidRDefault="00171886" w:rsidP="007E1768">
      <w:pPr>
        <w:spacing w:line="360" w:lineRule="auto"/>
        <w:jc w:val="both"/>
      </w:pPr>
    </w:p>
    <w:p w:rsidR="00171886" w:rsidRDefault="00171886" w:rsidP="007E1768">
      <w:pPr>
        <w:spacing w:line="360" w:lineRule="auto"/>
        <w:jc w:val="both"/>
      </w:pPr>
    </w:p>
    <w:p w:rsidR="00171886" w:rsidRDefault="00171886" w:rsidP="007E1768">
      <w:pPr>
        <w:spacing w:line="360" w:lineRule="auto"/>
        <w:jc w:val="both"/>
      </w:pPr>
    </w:p>
    <w:p w:rsidR="000307B3" w:rsidRPr="007C04A8" w:rsidRDefault="001904EC" w:rsidP="007E1768">
      <w:pPr>
        <w:spacing w:line="360" w:lineRule="auto"/>
        <w:jc w:val="both"/>
        <w:rPr>
          <w:b/>
          <w:sz w:val="20"/>
          <w:szCs w:val="20"/>
          <w:u w:val="single"/>
        </w:rPr>
      </w:pPr>
      <w:r>
        <w:rPr>
          <w:b/>
          <w:sz w:val="20"/>
          <w:szCs w:val="20"/>
          <w:u w:val="single"/>
        </w:rPr>
        <w:t>Figure</w:t>
      </w:r>
      <w:r w:rsidR="007C04A8" w:rsidRPr="007C04A8">
        <w:rPr>
          <w:b/>
          <w:sz w:val="20"/>
          <w:szCs w:val="20"/>
          <w:u w:val="single"/>
        </w:rPr>
        <w:t xml:space="preserve"> One: </w:t>
      </w:r>
      <w:r w:rsidR="000307B3" w:rsidRPr="007C04A8">
        <w:rPr>
          <w:b/>
          <w:sz w:val="20"/>
          <w:szCs w:val="20"/>
          <w:u w:val="single"/>
        </w:rPr>
        <w:t>Stakeholders</w:t>
      </w:r>
      <w:r w:rsidR="003A6F4D">
        <w:rPr>
          <w:b/>
          <w:sz w:val="20"/>
          <w:szCs w:val="20"/>
          <w:u w:val="single"/>
        </w:rPr>
        <w:t xml:space="preserve"> in Corporate Insolvency </w:t>
      </w:r>
      <w:r w:rsidR="000307B3" w:rsidRPr="007C04A8">
        <w:rPr>
          <w:b/>
          <w:sz w:val="20"/>
          <w:szCs w:val="20"/>
          <w:u w:val="single"/>
        </w:rPr>
        <w:t xml:space="preserve"> </w:t>
      </w:r>
    </w:p>
    <w:p w:rsidR="007C04A8" w:rsidRDefault="007C04A8" w:rsidP="00394D3A">
      <w:pPr>
        <w:spacing w:line="360" w:lineRule="auto"/>
        <w:jc w:val="center"/>
      </w:pPr>
      <w:r w:rsidRPr="007C04A8">
        <w:rPr>
          <w:noProof/>
        </w:rPr>
        <w:drawing>
          <wp:inline distT="0" distB="0" distL="0" distR="0" wp14:anchorId="75C30561" wp14:editId="343F0A14">
            <wp:extent cx="4130040" cy="2842260"/>
            <wp:effectExtent l="0" t="0" r="0" b="15240"/>
            <wp:docPr id="1" name="Diagram 1">
              <a:extLst xmlns:a="http://schemas.openxmlformats.org/drawingml/2006/main">
                <a:ext uri="{FF2B5EF4-FFF2-40B4-BE49-F238E27FC236}">
                  <a16:creationId xmlns:a16="http://schemas.microsoft.com/office/drawing/2014/main" id="{D37F486B-C64A-4A01-B34C-145D907F22C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307B3" w:rsidRDefault="000307B3" w:rsidP="007E1768">
      <w:pPr>
        <w:spacing w:line="360" w:lineRule="auto"/>
        <w:jc w:val="both"/>
      </w:pPr>
    </w:p>
    <w:p w:rsidR="008B77AB" w:rsidRDefault="009D4242" w:rsidP="00A5135E">
      <w:pPr>
        <w:spacing w:line="360" w:lineRule="auto"/>
        <w:jc w:val="both"/>
      </w:pPr>
      <w:r>
        <w:t xml:space="preserve">In the corporate insolvency context the </w:t>
      </w:r>
      <w:r w:rsidR="003A6F4D">
        <w:t xml:space="preserve">pluralism </w:t>
      </w:r>
      <w:r>
        <w:t xml:space="preserve">cudgels </w:t>
      </w:r>
      <w:r w:rsidR="003A6F4D">
        <w:t xml:space="preserve">were </w:t>
      </w:r>
      <w:r w:rsidR="009D310B">
        <w:t xml:space="preserve">taken up by Professor (now Senator) Elizabeth Warren, Professor Karen Gross, </w:t>
      </w:r>
      <w:r w:rsidR="003A6F4D">
        <w:t xml:space="preserve">and </w:t>
      </w:r>
      <w:r w:rsidR="009D310B">
        <w:t>Professor Janis Sar</w:t>
      </w:r>
      <w:r w:rsidR="005B3AE2">
        <w:t>r</w:t>
      </w:r>
      <w:r w:rsidR="009D310B">
        <w:t xml:space="preserve">a (see: </w:t>
      </w:r>
      <w:r w:rsidR="003A6F4D">
        <w:t xml:space="preserve">Sarra, J. </w:t>
      </w:r>
      <w:r w:rsidR="003A6F4D" w:rsidRPr="003A6F4D">
        <w:rPr>
          <w:i/>
        </w:rPr>
        <w:t>Creditor Rights and the Public Interest – Restructuring Insolvent Corporations.</w:t>
      </w:r>
      <w:r w:rsidR="003A6F4D">
        <w:t xml:space="preserve"> University of Toronto Press, 2003</w:t>
      </w:r>
      <w:r w:rsidR="009D310B">
        <w:t>). The</w:t>
      </w:r>
      <w:r w:rsidR="00225AC2">
        <w:t>ir</w:t>
      </w:r>
      <w:r w:rsidR="009D310B">
        <w:t xml:space="preserve"> work has demonstrated that there are a number of interests beyond the confines of the creditors and that proponents of narrow theories such as the ‘creditors bargain theory’ are right to broaden out their conception of insolvency law as also serving</w:t>
      </w:r>
      <w:r w:rsidR="00AD5A4C">
        <w:t xml:space="preserve"> other ‘claimants’ (</w:t>
      </w:r>
      <w:r w:rsidR="005B3AE2">
        <w:t xml:space="preserve">see Professor Thomas </w:t>
      </w:r>
      <w:r w:rsidR="00AD5A4C">
        <w:t xml:space="preserve">Jackson </w:t>
      </w:r>
      <w:r w:rsidR="005B3AE2">
        <w:t xml:space="preserve">who has moved away from his “creditors’ bargain theory” towards a </w:t>
      </w:r>
      <w:r w:rsidR="00DB33F3">
        <w:t>“</w:t>
      </w:r>
      <w:r w:rsidR="005B3AE2">
        <w:t>“claimants</w:t>
      </w:r>
      <w:r w:rsidR="00DB33F3">
        <w:t>’</w:t>
      </w:r>
      <w:r w:rsidR="005B3AE2">
        <w:t xml:space="preserve"> bargain</w:t>
      </w:r>
      <w:r w:rsidR="00DB33F3">
        <w:t>” or something broader</w:t>
      </w:r>
      <w:r w:rsidR="005B3AE2">
        <w:t>”:</w:t>
      </w:r>
      <w:r w:rsidR="00A5135E">
        <w:t xml:space="preserve"> Jackson, TH. </w:t>
      </w:r>
      <w:r w:rsidR="00A5135E" w:rsidRPr="002C34D9">
        <w:rPr>
          <w:i/>
        </w:rPr>
        <w:t>A Retrospective Look at Bankruptcy’s Ne</w:t>
      </w:r>
      <w:r w:rsidR="002C34D9" w:rsidRPr="002C34D9">
        <w:rPr>
          <w:i/>
        </w:rPr>
        <w:t xml:space="preserve">w Frontiers </w:t>
      </w:r>
      <w:r w:rsidR="002C34D9">
        <w:t xml:space="preserve">(2018) </w:t>
      </w:r>
      <w:r w:rsidR="00A5135E">
        <w:t>University of Pennsylvania Law Review, Vol. 166, No. 7 (June), pp. 1867-1879</w:t>
      </w:r>
      <w:r w:rsidR="00DB33F3">
        <w:t>, 1872</w:t>
      </w:r>
      <w:r w:rsidR="00AD5A4C">
        <w:t xml:space="preserve">). </w:t>
      </w:r>
      <w:r w:rsidR="009D310B">
        <w:t xml:space="preserve"> </w:t>
      </w:r>
      <w:r w:rsidR="00055C50">
        <w:t xml:space="preserve">As Warren has opined (using </w:t>
      </w:r>
      <w:r w:rsidR="008B77AB">
        <w:t xml:space="preserve">broader </w:t>
      </w:r>
      <w:r w:rsidR="00055C50">
        <w:t xml:space="preserve">American </w:t>
      </w:r>
      <w:r w:rsidR="008B77AB">
        <w:t>insolvency language</w:t>
      </w:r>
      <w:r w:rsidR="00055C50">
        <w:t>) bankruptcy is</w:t>
      </w:r>
      <w:r w:rsidR="008B77AB">
        <w:t xml:space="preserve"> “‘dirty, complex, elastic, </w:t>
      </w:r>
      <w:r w:rsidR="00A36FB9">
        <w:t xml:space="preserve">[and] </w:t>
      </w:r>
      <w:r w:rsidR="008B77AB">
        <w:t>interconnected.”</w:t>
      </w:r>
      <w:r w:rsidR="00055C50">
        <w:t xml:space="preserve"> </w:t>
      </w:r>
      <w:r w:rsidR="008B77AB">
        <w:t xml:space="preserve">(Warren, E. </w:t>
      </w:r>
      <w:r w:rsidR="008B77AB" w:rsidRPr="008B77AB">
        <w:rPr>
          <w:i/>
        </w:rPr>
        <w:t>Bankruptcy Policy</w:t>
      </w:r>
      <w:r w:rsidR="008B77AB">
        <w:t xml:space="preserve"> (1987) 54 Univ.Chicago L Rev. 775). This sort of vision of bankruptcy policy, one that goes beyond the narrow confines of creditor wealth maximisation brings us to insolvency pluralism or stakeholder insolvency. </w:t>
      </w:r>
    </w:p>
    <w:p w:rsidR="00225AC2" w:rsidRDefault="00225AC2" w:rsidP="007E1768">
      <w:pPr>
        <w:spacing w:line="360" w:lineRule="auto"/>
        <w:jc w:val="both"/>
      </w:pPr>
    </w:p>
    <w:p w:rsidR="00225AC2" w:rsidRDefault="00225AC2" w:rsidP="007E1768">
      <w:pPr>
        <w:spacing w:line="360" w:lineRule="auto"/>
        <w:jc w:val="both"/>
      </w:pPr>
      <w:r>
        <w:lastRenderedPageBreak/>
        <w:t>In public interest insolvencies in England and Wales we have seen</w:t>
      </w:r>
      <w:r w:rsidR="00353D62">
        <w:t xml:space="preserve"> Government intervention to help facilitate the company’s ongoing activity. We have seen</w:t>
      </w:r>
      <w:r>
        <w:t xml:space="preserve"> </w:t>
      </w:r>
      <w:r w:rsidR="00353D62">
        <w:t xml:space="preserve">employees treated in a way </w:t>
      </w:r>
      <w:r w:rsidR="004B6D20">
        <w:t>that</w:t>
      </w:r>
      <w:r w:rsidR="00353D62">
        <w:t xml:space="preserve"> has been designed to safeguard their employment (e.g. MG Rover) through the injection of funds to help pay wage bills to continue employment. We have seen the government support large</w:t>
      </w:r>
      <w:r w:rsidR="00FD553D">
        <w:t>-</w:t>
      </w:r>
      <w:r w:rsidR="00353D62">
        <w:t>scale transport infrastructure projects to the tune of billions to help ensure that a large residential and commercial offices redevelopment takes place (e.g. Olympia &amp; York and Canary Wharf). We have seen funding for steel works to preserve jobs in specific areas of England and Wales (e.g. British Steel). All of this additional support beyond the dry mechanics of the insolvency laws demonstrates that broader aims are important in policy</w:t>
      </w:r>
      <w:r w:rsidR="00805A53">
        <w:t>-</w:t>
      </w:r>
      <w:r w:rsidR="00353D62">
        <w:t xml:space="preserve">making terms. </w:t>
      </w:r>
      <w:r w:rsidR="00D00D4F">
        <w:t>Put another way, the Government has shown that broader stakeholders are important</w:t>
      </w:r>
      <w:r w:rsidR="00097E32">
        <w:t xml:space="preserve"> to it</w:t>
      </w:r>
      <w:r w:rsidR="00D00D4F">
        <w:t xml:space="preserve">. </w:t>
      </w:r>
      <w:r w:rsidR="0091090D">
        <w:t>Government is prepared to support employees, suppliers, communities,</w:t>
      </w:r>
      <w:r w:rsidR="00CF2B23">
        <w:t xml:space="preserve"> the environment,</w:t>
      </w:r>
      <w:r w:rsidR="0091090D">
        <w:t xml:space="preserve"> travellers, and other</w:t>
      </w:r>
      <w:r w:rsidR="00CF2B23">
        <w:t xml:space="preserve"> groups</w:t>
      </w:r>
      <w:r w:rsidR="0091090D">
        <w:t xml:space="preserve">, </w:t>
      </w:r>
      <w:r w:rsidR="00CF2B23">
        <w:t xml:space="preserve">as various companies have entered </w:t>
      </w:r>
      <w:r w:rsidR="00E74CA7">
        <w:t xml:space="preserve">an insolvent phase. </w:t>
      </w:r>
      <w:r w:rsidR="00CF2B23">
        <w:t xml:space="preserve"> </w:t>
      </w:r>
    </w:p>
    <w:p w:rsidR="00F8188B" w:rsidRDefault="00F8188B" w:rsidP="007E1768">
      <w:pPr>
        <w:spacing w:line="360" w:lineRule="auto"/>
        <w:jc w:val="both"/>
      </w:pPr>
    </w:p>
    <w:p w:rsidR="00F8188B" w:rsidRDefault="00F8188B" w:rsidP="000741B1"/>
    <w:p w:rsidR="00BC58AD" w:rsidRPr="006308CA" w:rsidRDefault="00F8188B" w:rsidP="007E1768">
      <w:pPr>
        <w:spacing w:line="360" w:lineRule="auto"/>
        <w:jc w:val="both"/>
        <w:rPr>
          <w:b/>
          <w:u w:val="single"/>
        </w:rPr>
      </w:pPr>
      <w:r w:rsidRPr="006308CA">
        <w:rPr>
          <w:b/>
          <w:u w:val="single"/>
        </w:rPr>
        <w:t>B. Sport</w:t>
      </w:r>
      <w:r w:rsidR="004F055E">
        <w:rPr>
          <w:b/>
          <w:u w:val="single"/>
        </w:rPr>
        <w:t>s Club</w:t>
      </w:r>
      <w:r w:rsidRPr="006308CA">
        <w:rPr>
          <w:b/>
          <w:u w:val="single"/>
        </w:rPr>
        <w:t xml:space="preserve"> Insolvency</w:t>
      </w:r>
    </w:p>
    <w:p w:rsidR="00F8188B" w:rsidRDefault="00F8188B" w:rsidP="007E1768">
      <w:pPr>
        <w:spacing w:line="360" w:lineRule="auto"/>
        <w:jc w:val="both"/>
      </w:pPr>
    </w:p>
    <w:p w:rsidR="00CB7E44" w:rsidRDefault="00F8188B" w:rsidP="00CB7E44">
      <w:pPr>
        <w:spacing w:line="360" w:lineRule="auto"/>
        <w:jc w:val="both"/>
      </w:pPr>
      <w:r>
        <w:t>Insolvent sports clubs also provide an arena in which</w:t>
      </w:r>
      <w:r w:rsidR="00022CEB">
        <w:t xml:space="preserve"> </w:t>
      </w:r>
      <w:r w:rsidR="00444D94">
        <w:t>“corporation focus”</w:t>
      </w:r>
      <w:r>
        <w:t xml:space="preserve"> issues are stress tested</w:t>
      </w:r>
      <w:r w:rsidR="00444D94">
        <w:t xml:space="preserve">. This point </w:t>
      </w:r>
      <w:r>
        <w:t>has been examined in the context of insolvent football clubs (see</w:t>
      </w:r>
      <w:r w:rsidR="004A0ED7">
        <w:t xml:space="preserve"> further</w:t>
      </w:r>
      <w:r w:rsidR="006308CA">
        <w:t xml:space="preserve">: </w:t>
      </w:r>
      <w:r w:rsidR="006308CA" w:rsidRPr="006308CA">
        <w:t xml:space="preserve">Tribe, J. </w:t>
      </w:r>
      <w:r w:rsidR="006308CA" w:rsidRPr="006308CA">
        <w:rPr>
          <w:i/>
        </w:rPr>
        <w:t>Corporate Insolvency Law: Challenging Orthodoxies in Theory, Design and Use</w:t>
      </w:r>
      <w:r w:rsidR="006308CA" w:rsidRPr="006308CA">
        <w:t>. Edward Elgar Publishing.</w:t>
      </w:r>
      <w:r w:rsidR="006308CA">
        <w:t xml:space="preserve"> 2023</w:t>
      </w:r>
      <w:r w:rsidR="00A82ECE">
        <w:t xml:space="preserve">, hereafter </w:t>
      </w:r>
      <w:r w:rsidR="00A82ECE" w:rsidRPr="00A82ECE">
        <w:rPr>
          <w:i/>
        </w:rPr>
        <w:t>Tribe Orthodoxy</w:t>
      </w:r>
      <w:r w:rsidR="006308CA">
        <w:t>)</w:t>
      </w:r>
      <w:r w:rsidR="00444D94">
        <w:t xml:space="preserve"> but h</w:t>
      </w:r>
      <w:r>
        <w:t>ere</w:t>
      </w:r>
      <w:r w:rsidR="00444D94">
        <w:t xml:space="preserve"> codes will be switched and instead</w:t>
      </w:r>
      <w:r>
        <w:t xml:space="preserve"> the focus will be on insolvent rugby clubs</w:t>
      </w:r>
      <w:r w:rsidR="007C04A8">
        <w:t xml:space="preserve"> and in particular Worcester Warriors</w:t>
      </w:r>
      <w:r w:rsidR="005A6FE3">
        <w:t xml:space="preserve"> Rugby Football Club (hereafter Worcester Warriors)</w:t>
      </w:r>
      <w:r w:rsidR="007C04A8">
        <w:t xml:space="preserve"> </w:t>
      </w:r>
      <w:r w:rsidR="00E01774">
        <w:t xml:space="preserve">and the club’s </w:t>
      </w:r>
      <w:r w:rsidR="00444D94">
        <w:t xml:space="preserve">recent </w:t>
      </w:r>
      <w:r w:rsidR="007C04A8">
        <w:t>decline into insolvent liquidation</w:t>
      </w:r>
      <w:r w:rsidR="00947E38">
        <w:t xml:space="preserve"> (</w:t>
      </w:r>
      <w:r w:rsidR="005A6FE3">
        <w:t>on the backdrop</w:t>
      </w:r>
      <w:r w:rsidR="004A0ED7">
        <w:t xml:space="preserve"> to the insolvency</w:t>
      </w:r>
      <w:r w:rsidR="005A6FE3">
        <w:t xml:space="preserve"> and </w:t>
      </w:r>
      <w:r w:rsidR="004A0ED7">
        <w:t xml:space="preserve">for a discussion of the </w:t>
      </w:r>
      <w:r w:rsidR="005A6FE3">
        <w:t xml:space="preserve">complicated group structure of the club </w:t>
      </w:r>
      <w:r w:rsidR="00947E38">
        <w:t xml:space="preserve">see: Aylwin, M. </w:t>
      </w:r>
      <w:r w:rsidR="00947E38" w:rsidRPr="00947E38">
        <w:rPr>
          <w:i/>
        </w:rPr>
        <w:t>Worcester Warriors: the inside story of a rugby club’s demise</w:t>
      </w:r>
      <w:r w:rsidR="00947E38">
        <w:t>. The Guardian. Wed 5 Oct 2022</w:t>
      </w:r>
      <w:r w:rsidR="00246571">
        <w:t xml:space="preserve"> – hereafter </w:t>
      </w:r>
      <w:r w:rsidR="00246571" w:rsidRPr="00D93336">
        <w:rPr>
          <w:i/>
        </w:rPr>
        <w:t>Aylwin</w:t>
      </w:r>
      <w:r w:rsidR="00947E38">
        <w:t>)</w:t>
      </w:r>
      <w:r w:rsidR="007C04A8">
        <w:t xml:space="preserve">. </w:t>
      </w:r>
      <w:r w:rsidR="00CB7E44">
        <w:t xml:space="preserve">Worcester Warriors are a rugby club based in Worcester, England </w:t>
      </w:r>
      <w:r w:rsidR="00D112BD">
        <w:t>that</w:t>
      </w:r>
      <w:r w:rsidR="00CB7E44">
        <w:t xml:space="preserve"> played in the English Rugby Premiership. The club was founded in 1871. The club won the 2022 Premiership Cup. The business of the club has been transacted through a structure that includes </w:t>
      </w:r>
      <w:r w:rsidR="00CB7E44" w:rsidRPr="00905B74">
        <w:t>WRFC Trading Ltd</w:t>
      </w:r>
      <w:r w:rsidR="00CB7E44">
        <w:t>, a group company which entered administration on the 26</w:t>
      </w:r>
      <w:r w:rsidR="00CB7E44" w:rsidRPr="0098458A">
        <w:rPr>
          <w:vertAlign w:val="superscript"/>
        </w:rPr>
        <w:t>th</w:t>
      </w:r>
      <w:r w:rsidR="00CB7E44">
        <w:t xml:space="preserve"> September 2022. The company has made a £60m loss since its incorporation (</w:t>
      </w:r>
      <w:r w:rsidR="00CB7E44" w:rsidRPr="00233438">
        <w:rPr>
          <w:i/>
        </w:rPr>
        <w:t>Aylwin</w:t>
      </w:r>
      <w:r w:rsidR="00CB7E44">
        <w:t xml:space="preserve">). A winding up petition was </w:t>
      </w:r>
      <w:r w:rsidR="002702DF">
        <w:t>filed</w:t>
      </w:r>
      <w:r w:rsidR="00CB7E44">
        <w:t xml:space="preserve"> in August 2022 </w:t>
      </w:r>
      <w:r w:rsidR="002702DF">
        <w:t>following the club’s</w:t>
      </w:r>
      <w:r w:rsidR="00CB7E44">
        <w:t xml:space="preserve"> failure to pay tax. </w:t>
      </w:r>
    </w:p>
    <w:p w:rsidR="00CB7E44" w:rsidRDefault="00CB7E44" w:rsidP="00CB7E44">
      <w:pPr>
        <w:spacing w:line="360" w:lineRule="auto"/>
        <w:jc w:val="both"/>
      </w:pPr>
    </w:p>
    <w:p w:rsidR="00CB7E44" w:rsidRDefault="00CB7E44" w:rsidP="00CB7E44">
      <w:pPr>
        <w:spacing w:line="360" w:lineRule="auto"/>
        <w:jc w:val="both"/>
      </w:pPr>
      <w:r>
        <w:lastRenderedPageBreak/>
        <w:t>The club’s employees’ wages were paid through a subsidiary called WRFC Players Ltd. This company, WRFC Players Ltd, went into insolvent liquidation on 5</w:t>
      </w:r>
      <w:r w:rsidRPr="00395497">
        <w:rPr>
          <w:vertAlign w:val="superscript"/>
        </w:rPr>
        <w:t>th</w:t>
      </w:r>
      <w:r>
        <w:t xml:space="preserve"> October 2022 owing some £6 million in unpaid tax to Her Majesty’s Revenue and Customs. The liquidation of WRFC Players Ltd was preceded by a number of attempts to rescue the club, although some critics have argued that these attempts have been lacklustre (see below). As a consequence of the liquidation all the club’s employees</w:t>
      </w:r>
      <w:r w:rsidR="00E12589">
        <w:t>’</w:t>
      </w:r>
      <w:r>
        <w:t xml:space="preserve"> employment contracts have been terminated. The club is also unlikely to be able to play another Premiership game in the 2022/2023 season. This is bad news for players, staff and fans, but also for the wider community in Worcester. Concerns have also been raised about club ownership and the </w:t>
      </w:r>
      <w:r w:rsidRPr="00713567">
        <w:t>“fit and proper person” safeguard</w:t>
      </w:r>
      <w:r>
        <w:t xml:space="preserve">s that are extant in the Rugby Premiership. </w:t>
      </w:r>
      <w:r w:rsidR="008A7DE1">
        <w:t xml:space="preserve">Again, this echoes similar discussions in the </w:t>
      </w:r>
      <w:r w:rsidR="0012654F">
        <w:t>unusual (in insolvency terms)</w:t>
      </w:r>
      <w:r w:rsidR="008A7DE1">
        <w:t xml:space="preserve"> world of planet football. </w:t>
      </w:r>
    </w:p>
    <w:p w:rsidR="00CB7E44" w:rsidRDefault="00CB7E44" w:rsidP="00267DE8">
      <w:pPr>
        <w:spacing w:line="360" w:lineRule="auto"/>
        <w:jc w:val="both"/>
      </w:pPr>
    </w:p>
    <w:p w:rsidR="00246571" w:rsidRDefault="005950C2" w:rsidP="00267DE8">
      <w:pPr>
        <w:spacing w:line="360" w:lineRule="auto"/>
        <w:jc w:val="both"/>
      </w:pPr>
      <w:r>
        <w:t>The insolvency of Worcester Warriors throws up</w:t>
      </w:r>
      <w:r w:rsidR="00304313">
        <w:t xml:space="preserve"> the</w:t>
      </w:r>
      <w:r>
        <w:t xml:space="preserve"> </w:t>
      </w:r>
      <w:r w:rsidR="007E2AC0">
        <w:t>“corporation focus” question again but in a unique sports club way. This is for two reasons. First, there is innate value in spo</w:t>
      </w:r>
      <w:r w:rsidR="00A82ECE">
        <w:t>r</w:t>
      </w:r>
      <w:r w:rsidR="007E2AC0">
        <w:t>ts clubs that is not present in normal for</w:t>
      </w:r>
      <w:r w:rsidR="00E50906">
        <w:t>-</w:t>
      </w:r>
      <w:r w:rsidR="007E2AC0">
        <w:t>profit companies. The fanbase</w:t>
      </w:r>
      <w:r w:rsidR="00E50906">
        <w:t xml:space="preserve"> </w:t>
      </w:r>
      <w:r w:rsidR="007E2AC0">
        <w:t xml:space="preserve">is prepared to dip into </w:t>
      </w:r>
      <w:r w:rsidR="00952F7A">
        <w:t>their</w:t>
      </w:r>
      <w:r w:rsidR="007E2AC0">
        <w:t xml:space="preserve"> own pockets to help facilitate the recovery of a sports club</w:t>
      </w:r>
      <w:r w:rsidR="00304313">
        <w:t xml:space="preserve"> in a way which is not usual with normal consumers of products and services</w:t>
      </w:r>
      <w:r w:rsidR="007E2AC0">
        <w:t>.</w:t>
      </w:r>
      <w:r w:rsidR="00A82ECE">
        <w:t xml:space="preserve"> This</w:t>
      </w:r>
      <w:r w:rsidR="00304313">
        <w:t xml:space="preserve"> fan base support, what has been referred to as “intrinsic viability”,</w:t>
      </w:r>
      <w:r w:rsidR="00A82ECE">
        <w:t xml:space="preserve"> has </w:t>
      </w:r>
      <w:r w:rsidR="007E04F0">
        <w:t>been evidenced</w:t>
      </w:r>
      <w:r w:rsidR="00A82ECE">
        <w:t xml:space="preserve"> on numerous occasions in football (</w:t>
      </w:r>
      <w:r w:rsidR="00474516">
        <w:t xml:space="preserve">see: </w:t>
      </w:r>
      <w:r w:rsidR="00A82ECE" w:rsidRPr="00A82ECE">
        <w:rPr>
          <w:i/>
        </w:rPr>
        <w:t>Tribe Orthodoxy</w:t>
      </w:r>
      <w:r w:rsidR="00A82ECE">
        <w:t>)</w:t>
      </w:r>
      <w:r w:rsidR="00474516">
        <w:t>.</w:t>
      </w:r>
      <w:r w:rsidR="0027453D">
        <w:t xml:space="preserve"> </w:t>
      </w:r>
      <w:r w:rsidR="007E04F0">
        <w:t>In the world of rugby t</w:t>
      </w:r>
      <w:r w:rsidR="0027453D">
        <w:t>his has occurred at Worcester Warriors with fans launching a “Don’t take the P” campaign to fundraise</w:t>
      </w:r>
      <w:r w:rsidR="00151430">
        <w:t xml:space="preserve"> for the club</w:t>
      </w:r>
      <w:r w:rsidR="00267DE8">
        <w:t xml:space="preserve"> (see: Kitson, R. </w:t>
      </w:r>
      <w:r w:rsidR="00267DE8" w:rsidRPr="00267DE8">
        <w:rPr>
          <w:i/>
        </w:rPr>
        <w:t>Like the Titanic’: Diamond dismayed as ruling terminates Worcester contracts</w:t>
      </w:r>
      <w:r w:rsidR="00267DE8">
        <w:t>. The Guardian, Wed 5 Oct 2022)</w:t>
      </w:r>
      <w:r w:rsidR="0027453D">
        <w:t>.</w:t>
      </w:r>
      <w:r w:rsidR="007E2AC0">
        <w:t xml:space="preserve"> </w:t>
      </w:r>
      <w:r w:rsidR="00E900D9">
        <w:t>R</w:t>
      </w:r>
      <w:r w:rsidR="007E2AC0">
        <w:t>ich owner</w:t>
      </w:r>
      <w:r w:rsidR="00E900D9">
        <w:t>s have also been known to</w:t>
      </w:r>
      <w:r w:rsidR="007E2AC0">
        <w:t xml:space="preserve"> step into the breach to provide funding</w:t>
      </w:r>
      <w:r w:rsidR="00474516">
        <w:t xml:space="preserve">, </w:t>
      </w:r>
      <w:r w:rsidR="00151430">
        <w:t>including Cecil Duckworth at Worcester Warriors</w:t>
      </w:r>
      <w:r w:rsidR="007E2AC0">
        <w:t xml:space="preserve">. </w:t>
      </w:r>
      <w:r w:rsidR="00151430">
        <w:t xml:space="preserve">Until recently </w:t>
      </w:r>
      <w:r w:rsidR="00246571">
        <w:t>Worcester Warriors were owned by the Allen family before</w:t>
      </w:r>
      <w:r w:rsidR="00151430">
        <w:t xml:space="preserve"> the club was</w:t>
      </w:r>
      <w:r w:rsidR="00246571">
        <w:t xml:space="preserve"> bought by a consortium in 2018 which was led by Jed McCrory. The</w:t>
      </w:r>
      <w:r w:rsidR="00151430">
        <w:t xml:space="preserve"> deal included the</w:t>
      </w:r>
      <w:r w:rsidR="00246571">
        <w:t xml:space="preserve"> </w:t>
      </w:r>
      <w:r w:rsidR="00151430">
        <w:t>c</w:t>
      </w:r>
      <w:r w:rsidR="00246571">
        <w:t xml:space="preserve">lub’s Sixways Stadium </w:t>
      </w:r>
      <w:r w:rsidR="00151430">
        <w:t xml:space="preserve">which </w:t>
      </w:r>
      <w:r w:rsidR="00246571">
        <w:t xml:space="preserve">sits in 50 acres </w:t>
      </w:r>
      <w:r w:rsidR="00151430">
        <w:t xml:space="preserve">of land </w:t>
      </w:r>
      <w:r w:rsidR="00246571">
        <w:t xml:space="preserve">valued </w:t>
      </w:r>
      <w:r w:rsidR="00151430">
        <w:t xml:space="preserve">recently </w:t>
      </w:r>
      <w:r w:rsidR="00246571">
        <w:t xml:space="preserve">at £28 million. </w:t>
      </w:r>
      <w:r w:rsidR="0098538F">
        <w:t xml:space="preserve">This land is obviously valuable for the local community in environmental terms, as well as for other development opportunities. </w:t>
      </w:r>
    </w:p>
    <w:p w:rsidR="00246571" w:rsidRDefault="00246571" w:rsidP="00267DE8">
      <w:pPr>
        <w:spacing w:line="360" w:lineRule="auto"/>
        <w:jc w:val="both"/>
      </w:pPr>
    </w:p>
    <w:p w:rsidR="00246235" w:rsidRDefault="007E2AC0" w:rsidP="007E1768">
      <w:pPr>
        <w:spacing w:line="360" w:lineRule="auto"/>
        <w:jc w:val="both"/>
      </w:pPr>
      <w:r>
        <w:t>The second reason sports club insolvency is noteworthy in the “corporation focus” sense is because it raises the question of community</w:t>
      </w:r>
      <w:r w:rsidR="00E50906">
        <w:t xml:space="preserve"> </w:t>
      </w:r>
      <w:r w:rsidR="00D00523">
        <w:t>engagement</w:t>
      </w:r>
      <w:r w:rsidR="00E50906">
        <w:t xml:space="preserve"> and </w:t>
      </w:r>
      <w:r w:rsidR="00D00523">
        <w:t xml:space="preserve">more specifically </w:t>
      </w:r>
      <w:r w:rsidR="00CB7E44">
        <w:t xml:space="preserve">community </w:t>
      </w:r>
      <w:r w:rsidR="00E50906">
        <w:t>betterment</w:t>
      </w:r>
      <w:r>
        <w:t>. Put another way, sports clubs including football</w:t>
      </w:r>
      <w:r w:rsidR="00CB7E44">
        <w:t xml:space="preserve"> clubs</w:t>
      </w:r>
      <w:r>
        <w:t xml:space="preserve"> and rugby clubs, provide functions to a community that go beyond profit wealth maximisation. Indeed, the sports club </w:t>
      </w:r>
      <w:r>
        <w:lastRenderedPageBreak/>
        <w:t>can positively benefit the community in a number of different ways which go well beyond</w:t>
      </w:r>
      <w:r w:rsidR="004B3A69">
        <w:t xml:space="preserve"> </w:t>
      </w:r>
      <w:r w:rsidR="00E50906">
        <w:t>gate entry profits</w:t>
      </w:r>
      <w:r w:rsidR="00207791">
        <w:t xml:space="preserve">, </w:t>
      </w:r>
      <w:r w:rsidR="00E50906">
        <w:t>league table position</w:t>
      </w:r>
      <w:r w:rsidR="00207791">
        <w:t xml:space="preserve">, </w:t>
      </w:r>
      <w:r w:rsidR="004B3A69">
        <w:t xml:space="preserve">and </w:t>
      </w:r>
      <w:r w:rsidR="00207791">
        <w:t>advertising revenue, etc</w:t>
      </w:r>
      <w:r w:rsidR="00E50906">
        <w:t xml:space="preserve">. </w:t>
      </w:r>
      <w:r w:rsidR="00246235">
        <w:t>As with ‘stakeholder’s in Part A above, it is important here in Part B to define ‘c</w:t>
      </w:r>
      <w:r w:rsidR="000307B3">
        <w:t>ommunity</w:t>
      </w:r>
      <w:r w:rsidR="00246235">
        <w:t xml:space="preserve">’ in the context of insolvency and therefore bankruptcy communitarianism. </w:t>
      </w:r>
      <w:r w:rsidR="00035CCE">
        <w:t xml:space="preserve">This then helps us understand why sports clubs, including Worcester Warriors, play a very important part in the community. </w:t>
      </w:r>
      <w:r w:rsidR="001F022C">
        <w:t>Our first touch</w:t>
      </w:r>
      <w:r w:rsidR="00B35572">
        <w:t>stone</w:t>
      </w:r>
      <w:r w:rsidR="001F022C">
        <w:t xml:space="preserve"> is the work of </w:t>
      </w:r>
      <w:r w:rsidR="00193D53">
        <w:t xml:space="preserve">Professor Amitai Etzioni (see: Etzioni, A. </w:t>
      </w:r>
      <w:r w:rsidR="00193D53" w:rsidRPr="00193D53">
        <w:rPr>
          <w:i/>
        </w:rPr>
        <w:t>The Spirit of Community – Rights, Responsibilities, and the Communitarian Agenda</w:t>
      </w:r>
      <w:r w:rsidR="00193D53">
        <w:t>. Crown Publishers, New York, 199</w:t>
      </w:r>
      <w:r w:rsidR="002F589C">
        <w:t>3</w:t>
      </w:r>
      <w:r w:rsidR="00193D53">
        <w:t xml:space="preserve">) </w:t>
      </w:r>
      <w:r w:rsidR="002F589C">
        <w:t xml:space="preserve">and </w:t>
      </w:r>
      <w:r w:rsidR="00B35572">
        <w:t>the</w:t>
      </w:r>
      <w:r w:rsidR="002D1FDC">
        <w:t xml:space="preserve"> </w:t>
      </w:r>
      <w:r w:rsidR="00B354E9">
        <w:t>recognition</w:t>
      </w:r>
      <w:r w:rsidR="002F589C">
        <w:t xml:space="preserve"> that a communitarian approach is beneficial. Etzioni s</w:t>
      </w:r>
      <w:r w:rsidR="00193D53">
        <w:t>tates</w:t>
      </w:r>
      <w:r w:rsidR="002F589C">
        <w:t xml:space="preserve"> for example that</w:t>
      </w:r>
      <w:r w:rsidR="00193D53">
        <w:t>, “the exclusive pursuit of private interests erodes the network of social environments on which we all depend and is destructive to our shared experiment in democratic self-government.</w:t>
      </w:r>
      <w:r w:rsidR="002F589C">
        <w:t>” (</w:t>
      </w:r>
      <w:r w:rsidR="002F589C" w:rsidRPr="002F589C">
        <w:rPr>
          <w:i/>
        </w:rPr>
        <w:t>ibid</w:t>
      </w:r>
      <w:r w:rsidR="002F589C">
        <w:t xml:space="preserve">, p.253). </w:t>
      </w:r>
      <w:r w:rsidR="002D1FDC">
        <w:t xml:space="preserve">Community interests are paramount for this school of political thought. </w:t>
      </w:r>
      <w:r w:rsidR="00FC3B38">
        <w:t>In his seminal work on community</w:t>
      </w:r>
      <w:r w:rsidR="00381992">
        <w:t>,</w:t>
      </w:r>
      <w:r w:rsidR="00FC3B38">
        <w:t xml:space="preserve"> </w:t>
      </w:r>
      <w:r w:rsidR="00E05003">
        <w:t>Delanty</w:t>
      </w:r>
      <w:r w:rsidR="00BF4A17">
        <w:t xml:space="preserve"> gives us a broad idea of community when he</w:t>
      </w:r>
      <w:r w:rsidR="00E05003">
        <w:t xml:space="preserve"> </w:t>
      </w:r>
      <w:r w:rsidR="00BF4A17">
        <w:t xml:space="preserve">notes that, “successful societies are generally seen as those that create the social conditions that lead to greater well-being, health and trust for individuals and for communities. Communities help to overcome societal fragmentation and enable social life.” </w:t>
      </w:r>
      <w:r w:rsidR="00E05003">
        <w:t>(see: Delanty</w:t>
      </w:r>
      <w:r w:rsidR="00F2365B">
        <w:t>, G</w:t>
      </w:r>
      <w:r w:rsidR="002A484B">
        <w:t xml:space="preserve">. </w:t>
      </w:r>
      <w:r w:rsidR="002A484B" w:rsidRPr="002A484B">
        <w:rPr>
          <w:i/>
        </w:rPr>
        <w:t>Community</w:t>
      </w:r>
      <w:r w:rsidR="002A484B">
        <w:t>. 3</w:t>
      </w:r>
      <w:r w:rsidR="002A484B" w:rsidRPr="002A484B">
        <w:rPr>
          <w:vertAlign w:val="superscript"/>
        </w:rPr>
        <w:t>rd</w:t>
      </w:r>
      <w:r w:rsidR="002A484B">
        <w:t xml:space="preserve"> Ed. Routledge, Abingdon, 2018</w:t>
      </w:r>
      <w:r w:rsidR="00BF4A17">
        <w:t>, p.2</w:t>
      </w:r>
      <w:r w:rsidR="00E05003">
        <w:t>)</w:t>
      </w:r>
      <w:r w:rsidR="00BF4A17">
        <w:t>. He goes on to note that community is “defined by the experience of communality, which can take many different forms</w:t>
      </w:r>
      <w:r w:rsidR="008F5677">
        <w:t>”</w:t>
      </w:r>
      <w:r w:rsidR="00BF4A17">
        <w:t xml:space="preserve"> (</w:t>
      </w:r>
      <w:r w:rsidR="00BF4A17" w:rsidRPr="00C66AE3">
        <w:rPr>
          <w:i/>
        </w:rPr>
        <w:t>ibid</w:t>
      </w:r>
      <w:r w:rsidR="00BF4A17">
        <w:t>). It is to the</w:t>
      </w:r>
      <w:r w:rsidR="004A7A85">
        <w:t xml:space="preserve"> slightly</w:t>
      </w:r>
      <w:r w:rsidR="00BF4A17">
        <w:t xml:space="preserve"> narrower bankruptcy community that we now turn. </w:t>
      </w:r>
    </w:p>
    <w:p w:rsidR="002D1FDC" w:rsidRDefault="002D1FDC" w:rsidP="007E1768">
      <w:pPr>
        <w:spacing w:line="360" w:lineRule="auto"/>
        <w:jc w:val="both"/>
      </w:pPr>
    </w:p>
    <w:p w:rsidR="000307B3" w:rsidRDefault="00F2365B" w:rsidP="007E1768">
      <w:pPr>
        <w:spacing w:line="360" w:lineRule="auto"/>
        <w:jc w:val="both"/>
        <w:rPr>
          <w:color w:val="FF0000"/>
        </w:rPr>
      </w:pPr>
      <w:r>
        <w:t xml:space="preserve">In the context </w:t>
      </w:r>
      <w:r w:rsidRPr="00F2365B">
        <w:rPr>
          <w:color w:val="000000" w:themeColor="text1"/>
        </w:rPr>
        <w:t xml:space="preserve">of bankruptcy </w:t>
      </w:r>
      <w:r w:rsidR="0011543C">
        <w:rPr>
          <w:color w:val="000000" w:themeColor="text1"/>
        </w:rPr>
        <w:t xml:space="preserve">Professor </w:t>
      </w:r>
      <w:r w:rsidR="00246235" w:rsidRPr="00F2365B">
        <w:rPr>
          <w:color w:val="000000" w:themeColor="text1"/>
        </w:rPr>
        <w:t xml:space="preserve">Karen Gross </w:t>
      </w:r>
      <w:r w:rsidRPr="00F2365B">
        <w:rPr>
          <w:color w:val="000000" w:themeColor="text1"/>
        </w:rPr>
        <w:t>has</w:t>
      </w:r>
      <w:r w:rsidR="00CC2471">
        <w:rPr>
          <w:color w:val="000000" w:themeColor="text1"/>
        </w:rPr>
        <w:t xml:space="preserve"> included </w:t>
      </w:r>
      <w:r w:rsidR="000E08E8">
        <w:rPr>
          <w:color w:val="000000" w:themeColor="text1"/>
        </w:rPr>
        <w:t>community</w:t>
      </w:r>
      <w:r w:rsidR="00FF512A">
        <w:rPr>
          <w:color w:val="000000" w:themeColor="text1"/>
        </w:rPr>
        <w:t xml:space="preserve"> as a stakeholder in corporate insolvency</w:t>
      </w:r>
      <w:r w:rsidR="00BC58AD">
        <w:rPr>
          <w:color w:val="000000" w:themeColor="text1"/>
        </w:rPr>
        <w:t xml:space="preserve"> </w:t>
      </w:r>
      <w:r w:rsidR="002B3BE7">
        <w:rPr>
          <w:color w:val="000000" w:themeColor="text1"/>
        </w:rPr>
        <w:t>in</w:t>
      </w:r>
      <w:r w:rsidR="00CC2471">
        <w:rPr>
          <w:color w:val="000000" w:themeColor="text1"/>
        </w:rPr>
        <w:t xml:space="preserve"> addition </w:t>
      </w:r>
      <w:r w:rsidRPr="00F2365B">
        <w:rPr>
          <w:color w:val="000000" w:themeColor="text1"/>
        </w:rPr>
        <w:t>to</w:t>
      </w:r>
      <w:r w:rsidR="00731EC5">
        <w:rPr>
          <w:color w:val="000000" w:themeColor="text1"/>
        </w:rPr>
        <w:t xml:space="preserve"> </w:t>
      </w:r>
      <w:r w:rsidR="00CC2471">
        <w:rPr>
          <w:color w:val="000000" w:themeColor="text1"/>
        </w:rPr>
        <w:t xml:space="preserve">the </w:t>
      </w:r>
      <w:r w:rsidR="00E5103D">
        <w:rPr>
          <w:color w:val="000000" w:themeColor="text1"/>
        </w:rPr>
        <w:t xml:space="preserve">standard </w:t>
      </w:r>
      <w:r w:rsidR="00CC2471">
        <w:rPr>
          <w:color w:val="000000" w:themeColor="text1"/>
        </w:rPr>
        <w:t>parties we might expect, namely, debtors, creditors</w:t>
      </w:r>
      <w:r w:rsidR="00731EC5">
        <w:rPr>
          <w:color w:val="000000" w:themeColor="text1"/>
        </w:rPr>
        <w:t>,</w:t>
      </w:r>
      <w:r w:rsidR="00CC2471">
        <w:rPr>
          <w:color w:val="000000" w:themeColor="text1"/>
        </w:rPr>
        <w:t xml:space="preserve"> and</w:t>
      </w:r>
      <w:r w:rsidR="00731EC5">
        <w:rPr>
          <w:color w:val="000000" w:themeColor="text1"/>
        </w:rPr>
        <w:t>,</w:t>
      </w:r>
      <w:r w:rsidR="00CC2471">
        <w:rPr>
          <w:color w:val="000000" w:themeColor="text1"/>
        </w:rPr>
        <w:t xml:space="preserve"> shareholders. </w:t>
      </w:r>
      <w:r w:rsidR="00731EC5">
        <w:rPr>
          <w:color w:val="000000" w:themeColor="text1"/>
        </w:rPr>
        <w:t>Gross</w:t>
      </w:r>
      <w:r w:rsidR="002B3BE7">
        <w:rPr>
          <w:color w:val="000000" w:themeColor="text1"/>
        </w:rPr>
        <w:t xml:space="preserve"> believes that “we need to take some but not all communities into account.” </w:t>
      </w:r>
      <w:r w:rsidR="002B3BE7" w:rsidRPr="00F2365B">
        <w:rPr>
          <w:color w:val="000000" w:themeColor="text1"/>
        </w:rPr>
        <w:t xml:space="preserve">(see: Gross, K. </w:t>
      </w:r>
      <w:r w:rsidR="002B3BE7" w:rsidRPr="00F2365B">
        <w:rPr>
          <w:i/>
          <w:color w:val="000000" w:themeColor="text1"/>
        </w:rPr>
        <w:t>Failure and Forgiveness – rebalancing the bankruptcy system</w:t>
      </w:r>
      <w:r w:rsidR="002B3BE7" w:rsidRPr="00F2365B">
        <w:rPr>
          <w:color w:val="000000" w:themeColor="text1"/>
        </w:rPr>
        <w:t>. Yale University Press, New Haven, 1999</w:t>
      </w:r>
      <w:r w:rsidR="002B3BE7">
        <w:rPr>
          <w:color w:val="000000" w:themeColor="text1"/>
        </w:rPr>
        <w:t xml:space="preserve">, p.207 – Hereafter </w:t>
      </w:r>
      <w:r w:rsidR="002B3BE7" w:rsidRPr="002B3BE7">
        <w:rPr>
          <w:i/>
          <w:color w:val="000000" w:themeColor="text1"/>
        </w:rPr>
        <w:t>Gross Forgiveness</w:t>
      </w:r>
      <w:r w:rsidR="002B3BE7" w:rsidRPr="00F2365B">
        <w:rPr>
          <w:color w:val="000000" w:themeColor="text1"/>
        </w:rPr>
        <w:t>).</w:t>
      </w:r>
      <w:r w:rsidR="002B3BE7">
        <w:rPr>
          <w:color w:val="000000" w:themeColor="text1"/>
        </w:rPr>
        <w:t xml:space="preserve"> For Gross</w:t>
      </w:r>
      <w:r w:rsidR="00CC2471">
        <w:rPr>
          <w:color w:val="000000" w:themeColor="text1"/>
        </w:rPr>
        <w:t xml:space="preserve"> </w:t>
      </w:r>
      <w:r w:rsidR="002B3BE7">
        <w:rPr>
          <w:color w:val="000000" w:themeColor="text1"/>
        </w:rPr>
        <w:t>the bankruptcy community</w:t>
      </w:r>
      <w:r w:rsidR="00CC2471">
        <w:rPr>
          <w:color w:val="000000" w:themeColor="text1"/>
        </w:rPr>
        <w:t xml:space="preserve"> includes, “the unnamed participants…the families of debtors and creditors…future tort creditors…affected workers…local businesses that are not owed money…the communities where the debtor is located…</w:t>
      </w:r>
      <w:r w:rsidR="00731EC5">
        <w:rPr>
          <w:color w:val="000000" w:themeColor="text1"/>
        </w:rPr>
        <w:t xml:space="preserve">[and] </w:t>
      </w:r>
      <w:r w:rsidR="00CC2471">
        <w:rPr>
          <w:color w:val="000000" w:themeColor="text1"/>
        </w:rPr>
        <w:t>the communities where a debtor’s acquirer may relocate the debtor’s business.”</w:t>
      </w:r>
      <w:r w:rsidRPr="00F2365B">
        <w:rPr>
          <w:color w:val="000000" w:themeColor="text1"/>
        </w:rPr>
        <w:t xml:space="preserve"> </w:t>
      </w:r>
      <w:r w:rsidR="002B3BE7">
        <w:rPr>
          <w:color w:val="000000" w:themeColor="text1"/>
        </w:rPr>
        <w:t>(</w:t>
      </w:r>
      <w:r w:rsidR="002B3BE7" w:rsidRPr="002B3BE7">
        <w:rPr>
          <w:i/>
          <w:color w:val="000000" w:themeColor="text1"/>
        </w:rPr>
        <w:t>Gross Forgiveness</w:t>
      </w:r>
      <w:r w:rsidR="002B3BE7">
        <w:rPr>
          <w:color w:val="000000" w:themeColor="text1"/>
        </w:rPr>
        <w:t xml:space="preserve">, p.207). </w:t>
      </w:r>
      <w:r w:rsidR="00731EC5">
        <w:rPr>
          <w:color w:val="000000" w:themeColor="text1"/>
        </w:rPr>
        <w:t xml:space="preserve">This is a more expansive view of stakeholders and </w:t>
      </w:r>
      <w:r w:rsidR="00381992">
        <w:rPr>
          <w:color w:val="000000" w:themeColor="text1"/>
        </w:rPr>
        <w:t xml:space="preserve"> is </w:t>
      </w:r>
      <w:r w:rsidR="00731EC5">
        <w:rPr>
          <w:color w:val="000000" w:themeColor="text1"/>
        </w:rPr>
        <w:t>cognisant of the future</w:t>
      </w:r>
      <w:r w:rsidR="00381992">
        <w:rPr>
          <w:color w:val="000000" w:themeColor="text1"/>
        </w:rPr>
        <w:t xml:space="preserve"> for i</w:t>
      </w:r>
      <w:r w:rsidR="00C62909">
        <w:rPr>
          <w:color w:val="000000" w:themeColor="text1"/>
        </w:rPr>
        <w:t>t encourages long</w:t>
      </w:r>
      <w:r w:rsidR="00381992">
        <w:rPr>
          <w:color w:val="000000" w:themeColor="text1"/>
        </w:rPr>
        <w:t>-</w:t>
      </w:r>
      <w:r w:rsidR="00C62909">
        <w:rPr>
          <w:color w:val="000000" w:themeColor="text1"/>
        </w:rPr>
        <w:t xml:space="preserve">term thinking in the same way </w:t>
      </w:r>
      <w:r w:rsidR="001D09C8">
        <w:rPr>
          <w:color w:val="000000" w:themeColor="text1"/>
        </w:rPr>
        <w:t>incumbents of</w:t>
      </w:r>
      <w:r w:rsidR="00C62909">
        <w:rPr>
          <w:color w:val="000000" w:themeColor="text1"/>
        </w:rPr>
        <w:t xml:space="preserve"> a corporation sole</w:t>
      </w:r>
      <w:r w:rsidR="00381992">
        <w:rPr>
          <w:color w:val="000000" w:themeColor="text1"/>
        </w:rPr>
        <w:t xml:space="preserve"> (e.g. Monarchies, Dukedoms, etc)</w:t>
      </w:r>
      <w:r w:rsidR="00C62909">
        <w:rPr>
          <w:color w:val="000000" w:themeColor="text1"/>
        </w:rPr>
        <w:t xml:space="preserve"> might think beyond decades and into centuries.</w:t>
      </w:r>
      <w:r w:rsidR="00731EC5">
        <w:rPr>
          <w:color w:val="000000" w:themeColor="text1"/>
        </w:rPr>
        <w:t xml:space="preserve"> Instead of short-termism </w:t>
      </w:r>
      <w:r w:rsidR="00C62909">
        <w:rPr>
          <w:color w:val="000000" w:themeColor="text1"/>
        </w:rPr>
        <w:t>bankruptcy communitarianism</w:t>
      </w:r>
      <w:r w:rsidR="00731EC5">
        <w:rPr>
          <w:color w:val="000000" w:themeColor="text1"/>
        </w:rPr>
        <w:t xml:space="preserve"> recognises the continuing role a company and </w:t>
      </w:r>
      <w:r w:rsidR="00731EC5">
        <w:rPr>
          <w:color w:val="000000" w:themeColor="text1"/>
        </w:rPr>
        <w:lastRenderedPageBreak/>
        <w:t xml:space="preserve">its stakeholders </w:t>
      </w:r>
      <w:r w:rsidR="00C62909">
        <w:rPr>
          <w:color w:val="000000" w:themeColor="text1"/>
        </w:rPr>
        <w:t>can</w:t>
      </w:r>
      <w:r w:rsidR="00731EC5">
        <w:rPr>
          <w:color w:val="000000" w:themeColor="text1"/>
        </w:rPr>
        <w:t xml:space="preserve"> have in society</w:t>
      </w:r>
      <w:r w:rsidR="00C62909">
        <w:rPr>
          <w:color w:val="000000" w:themeColor="text1"/>
        </w:rPr>
        <w:t xml:space="preserve"> as we continue to prosper and grow</w:t>
      </w:r>
      <w:r w:rsidR="00731EC5">
        <w:rPr>
          <w:color w:val="000000" w:themeColor="text1"/>
        </w:rPr>
        <w:t xml:space="preserve">. </w:t>
      </w:r>
      <w:r w:rsidR="00E5103D">
        <w:rPr>
          <w:color w:val="000000" w:themeColor="text1"/>
        </w:rPr>
        <w:t xml:space="preserve">I would go further and include posterity and the environment into the bankruptcy community matrix as </w:t>
      </w:r>
      <w:r w:rsidR="00A11C93">
        <w:rPr>
          <w:color w:val="000000" w:themeColor="text1"/>
        </w:rPr>
        <w:t>Figure</w:t>
      </w:r>
      <w:r w:rsidR="00E5103D">
        <w:rPr>
          <w:color w:val="000000" w:themeColor="text1"/>
        </w:rPr>
        <w:t xml:space="preserve"> One demonstrates. These stakeholders deserve a place </w:t>
      </w:r>
      <w:r w:rsidR="00FD2C33">
        <w:rPr>
          <w:color w:val="000000" w:themeColor="text1"/>
        </w:rPr>
        <w:t>at the</w:t>
      </w:r>
      <w:r w:rsidR="00E5103D">
        <w:rPr>
          <w:color w:val="000000" w:themeColor="text1"/>
        </w:rPr>
        <w:t xml:space="preserve"> policy discussion</w:t>
      </w:r>
      <w:r w:rsidR="00FD2C33">
        <w:rPr>
          <w:color w:val="000000" w:themeColor="text1"/>
        </w:rPr>
        <w:t xml:space="preserve"> table</w:t>
      </w:r>
      <w:r w:rsidR="00E5103D">
        <w:rPr>
          <w:color w:val="000000" w:themeColor="text1"/>
        </w:rPr>
        <w:t xml:space="preserve">. As discussed elsewhere this would require a reconceptualization of “value” and “potential” in the bankruptcy sphere (see: </w:t>
      </w:r>
      <w:r w:rsidR="00E5103D" w:rsidRPr="00E5103D">
        <w:rPr>
          <w:i/>
          <w:color w:val="000000" w:themeColor="text1"/>
        </w:rPr>
        <w:t>Tribe Commonweal</w:t>
      </w:r>
      <w:r w:rsidR="00E5103D">
        <w:rPr>
          <w:color w:val="000000" w:themeColor="text1"/>
        </w:rPr>
        <w:t xml:space="preserve">). </w:t>
      </w:r>
    </w:p>
    <w:p w:rsidR="00F2365B" w:rsidRDefault="00F2365B" w:rsidP="007E1768">
      <w:pPr>
        <w:spacing w:line="360" w:lineRule="auto"/>
        <w:jc w:val="both"/>
      </w:pPr>
    </w:p>
    <w:p w:rsidR="00D26D87" w:rsidRDefault="00F2365B" w:rsidP="007E1768">
      <w:pPr>
        <w:spacing w:line="360" w:lineRule="auto"/>
        <w:jc w:val="both"/>
      </w:pPr>
      <w:r>
        <w:t xml:space="preserve">In the Worcester Warriors context </w:t>
      </w:r>
      <w:r w:rsidR="00395497">
        <w:t xml:space="preserve">the club’s administrators have been accused of not doing enough to rescue the club in terms of fulfilling the aim of </w:t>
      </w:r>
      <w:r w:rsidR="003C19D0">
        <w:t>“</w:t>
      </w:r>
      <w:r w:rsidR="00395497">
        <w:t>rescuing the c</w:t>
      </w:r>
      <w:r w:rsidR="003C19D0">
        <w:t>ompany</w:t>
      </w:r>
      <w:r w:rsidR="00395497">
        <w:t xml:space="preserve"> as a going concern</w:t>
      </w:r>
      <w:r w:rsidR="003C19D0">
        <w:t>”</w:t>
      </w:r>
      <w:r w:rsidR="00DA47C2">
        <w:t xml:space="preserve"> (Insolvency Act 1986, Schedule B1</w:t>
      </w:r>
      <w:r w:rsidR="003C19D0">
        <w:t>, paragraph 3(a)</w:t>
      </w:r>
      <w:r w:rsidR="00DA47C2">
        <w:t>)</w:t>
      </w:r>
      <w:r w:rsidR="00395497">
        <w:t xml:space="preserve">. </w:t>
      </w:r>
      <w:r w:rsidR="00CD2A3B">
        <w:t xml:space="preserve">This is </w:t>
      </w:r>
      <w:r w:rsidR="00335097">
        <w:t>noteworthy</w:t>
      </w:r>
      <w:r w:rsidR="00CD2A3B">
        <w:t xml:space="preserve"> because i</w:t>
      </w:r>
      <w:r w:rsidR="002B1EE4">
        <w:t>t</w:t>
      </w:r>
      <w:r w:rsidR="00CD2A3B">
        <w:t xml:space="preserve"> helps us focus on the term “company” in the statute, which is of course different to the “business” that a company </w:t>
      </w:r>
      <w:r w:rsidR="009B0048">
        <w:t>undertakes</w:t>
      </w:r>
      <w:r w:rsidR="00CD2A3B">
        <w:t xml:space="preserve"> in the purpose/object</w:t>
      </w:r>
      <w:r w:rsidR="009B0048">
        <w:t>s</w:t>
      </w:r>
      <w:r w:rsidR="00CD2A3B">
        <w:t xml:space="preserve"> sense. </w:t>
      </w:r>
      <w:r w:rsidR="00D15FDC">
        <w:t>To rescue the company is to rescue an entity that ha</w:t>
      </w:r>
      <w:r w:rsidR="009B0048">
        <w:t xml:space="preserve">s </w:t>
      </w:r>
      <w:r w:rsidR="00D15FDC">
        <w:t>wider stakeholders that rely on the company</w:t>
      </w:r>
      <w:r w:rsidR="009B0048">
        <w:t>’s continued existence.</w:t>
      </w:r>
      <w:r w:rsidR="00C83C79">
        <w:t xml:space="preserve"> </w:t>
      </w:r>
      <w:r w:rsidR="00D51D42">
        <w:t>This demonstrates</w:t>
      </w:r>
      <w:r w:rsidR="00395497">
        <w:t xml:space="preserve"> that the</w:t>
      </w:r>
      <w:r w:rsidR="00D51D42">
        <w:t xml:space="preserve"> rescue</w:t>
      </w:r>
      <w:r w:rsidR="00921327">
        <w:t>-</w:t>
      </w:r>
      <w:r w:rsidR="00D51D42">
        <w:t>focused</w:t>
      </w:r>
      <w:r w:rsidR="00395497">
        <w:t xml:space="preserve"> framework is there</w:t>
      </w:r>
      <w:r w:rsidR="00DA47C2">
        <w:t xml:space="preserve"> to achieve communitarian ends</w:t>
      </w:r>
      <w:r w:rsidR="00EE3E48">
        <w:t xml:space="preserve"> through a rescue regime</w:t>
      </w:r>
      <w:r w:rsidR="00DA47C2">
        <w:t>, whether or not</w:t>
      </w:r>
      <w:r w:rsidR="00395497">
        <w:t xml:space="preserve"> it has </w:t>
      </w:r>
      <w:r w:rsidR="00DA47C2">
        <w:t xml:space="preserve">been </w:t>
      </w:r>
      <w:r w:rsidR="00395497">
        <w:t>used in th</w:t>
      </w:r>
      <w:r w:rsidR="00DA47C2">
        <w:t xml:space="preserve">e </w:t>
      </w:r>
      <w:r w:rsidR="00395497">
        <w:t>case</w:t>
      </w:r>
      <w:r w:rsidR="00DA47C2">
        <w:t xml:space="preserve"> of Worcester Warriors</w:t>
      </w:r>
      <w:r w:rsidR="00395497">
        <w:t xml:space="preserve">.  </w:t>
      </w:r>
      <w:r w:rsidR="00713567">
        <w:t>By allegedly failing to rescue the company the administrators have been (to date) unsuccessful in achieving the sort of communitarian aims that sit behind a rescue culture</w:t>
      </w:r>
      <w:r w:rsidR="00D51D42">
        <w:t xml:space="preserve"> (see: Hunter, M. </w:t>
      </w:r>
      <w:r w:rsidR="00D51D42" w:rsidRPr="009A3AAA">
        <w:rPr>
          <w:i/>
        </w:rPr>
        <w:t>The Nature and Functions of a Rescue Culture</w:t>
      </w:r>
      <w:r w:rsidR="00D51D42">
        <w:t xml:space="preserve"> (1999) </w:t>
      </w:r>
      <w:r w:rsidR="00D51D42" w:rsidRPr="00D51D42">
        <w:t>104 Com. L.J. 426</w:t>
      </w:r>
      <w:r w:rsidR="00D51D42">
        <w:t>)</w:t>
      </w:r>
      <w:r w:rsidR="00713567">
        <w:t xml:space="preserve">. </w:t>
      </w:r>
      <w:r w:rsidR="00FE2BD1">
        <w:t xml:space="preserve">This </w:t>
      </w:r>
      <w:r w:rsidR="00EE3E48">
        <w:t xml:space="preserve">rescue culture </w:t>
      </w:r>
      <w:r w:rsidR="00FE2BD1">
        <w:t xml:space="preserve">approach </w:t>
      </w:r>
      <w:r w:rsidR="000A22BF">
        <w:t>has been</w:t>
      </w:r>
      <w:r w:rsidR="00FE2BD1">
        <w:t xml:space="preserve"> baked into our insolvency </w:t>
      </w:r>
      <w:r w:rsidR="000A22BF">
        <w:t>legislation since 1986</w:t>
      </w:r>
      <w:r w:rsidR="00CC7A6F">
        <w:t xml:space="preserve"> – some thirty-six years</w:t>
      </w:r>
      <w:r w:rsidR="00FE2BD1">
        <w:t xml:space="preserve"> (originally in s.8 of the Insolvency Act 1986 and now in Schedule B1, paragraph 3 of the Insolvency Act 1986</w:t>
      </w:r>
      <w:r w:rsidR="00EE3E48">
        <w:t xml:space="preserve"> – </w:t>
      </w:r>
      <w:r w:rsidR="00897FE2">
        <w:t xml:space="preserve">on the origins </w:t>
      </w:r>
      <w:r w:rsidR="00EE3E48">
        <w:t>see: Fletcher, IF.</w:t>
      </w:r>
      <w:r w:rsidR="00DE3113" w:rsidRPr="00DE3113">
        <w:t xml:space="preserve"> </w:t>
      </w:r>
      <w:r w:rsidR="00DE3113" w:rsidRPr="00DE3113">
        <w:rPr>
          <w:i/>
        </w:rPr>
        <w:t xml:space="preserve">The Genesis of Modern Insolvency Law - an Odyssey of Law Reform </w:t>
      </w:r>
      <w:r w:rsidR="00DE3113" w:rsidRPr="00DE3113">
        <w:t>(1989) (Sep) JBL 365-376</w:t>
      </w:r>
      <w:r w:rsidR="00FE2BD1">
        <w:t xml:space="preserve">). The </w:t>
      </w:r>
      <w:r w:rsidR="00897FE2">
        <w:t>legislative</w:t>
      </w:r>
      <w:r w:rsidR="003458E3">
        <w:t xml:space="preserve"> </w:t>
      </w:r>
      <w:r w:rsidR="00897FE2">
        <w:t>and</w:t>
      </w:r>
      <w:r w:rsidR="003458E3">
        <w:t xml:space="preserve"> </w:t>
      </w:r>
      <w:r w:rsidR="00897FE2">
        <w:t>policy beginning</w:t>
      </w:r>
      <w:r w:rsidR="00F334FC">
        <w:t>s</w:t>
      </w:r>
      <w:r w:rsidR="00FE2BD1">
        <w:t xml:space="preserve"> of this approach can be found in the seminal report of the </w:t>
      </w:r>
      <w:r w:rsidR="00713567">
        <w:t xml:space="preserve">Cork Committee </w:t>
      </w:r>
      <w:r w:rsidR="00FE2BD1">
        <w:t>who</w:t>
      </w:r>
      <w:r w:rsidR="00EE3E48">
        <w:t>se</w:t>
      </w:r>
      <w:r w:rsidR="00897FE2">
        <w:t xml:space="preserve"> member</w:t>
      </w:r>
      <w:r w:rsidR="00F334FC">
        <w:t>s’</w:t>
      </w:r>
      <w:r w:rsidR="00EE3E48">
        <w:t xml:space="preserve"> previous work on trading receiverships (e.g. Wilstar</w:t>
      </w:r>
      <w:r w:rsidR="00617F6B">
        <w:t xml:space="preserve"> Property Group (1974) and the Delorean Motor Company (1982)</w:t>
      </w:r>
      <w:r w:rsidR="00EE3E48">
        <w:t>) had informed their approach</w:t>
      </w:r>
      <w:r w:rsidR="00BE2EB9">
        <w:t xml:space="preserve"> to rescuing companies</w:t>
      </w:r>
      <w:r w:rsidR="00CA6470">
        <w:t xml:space="preserve">, harnessing </w:t>
      </w:r>
      <w:r w:rsidR="00BE2EB9">
        <w:t>viability</w:t>
      </w:r>
      <w:r w:rsidR="00CA6470">
        <w:t>, and maintaining jobs in a given community</w:t>
      </w:r>
      <w:r w:rsidR="00EE3E48">
        <w:t xml:space="preserve">. </w:t>
      </w:r>
    </w:p>
    <w:p w:rsidR="00D26D87" w:rsidRDefault="00D26D87" w:rsidP="007E1768">
      <w:pPr>
        <w:spacing w:line="360" w:lineRule="auto"/>
        <w:jc w:val="both"/>
      </w:pPr>
    </w:p>
    <w:p w:rsidR="00805523" w:rsidRDefault="00570D49" w:rsidP="007E1768">
      <w:pPr>
        <w:spacing w:line="360" w:lineRule="auto"/>
        <w:jc w:val="both"/>
      </w:pPr>
      <w:r>
        <w:t>W</w:t>
      </w:r>
      <w:r w:rsidR="00EE3E48">
        <w:t>hen suggesting the aims of a good modern insolvency law</w:t>
      </w:r>
      <w:r>
        <w:t xml:space="preserve"> the </w:t>
      </w:r>
      <w:r w:rsidR="00566BBA">
        <w:t xml:space="preserve">Cork </w:t>
      </w:r>
      <w:r>
        <w:t>Committee noted</w:t>
      </w:r>
      <w:r w:rsidR="00EE3E48">
        <w:t xml:space="preserve"> that these</w:t>
      </w:r>
      <w:r>
        <w:t xml:space="preserve"> should</w:t>
      </w:r>
      <w:r w:rsidR="00FE2BD1">
        <w:t>: “</w:t>
      </w:r>
      <w:r w:rsidR="00EE3E48">
        <w:t xml:space="preserve">…recognise that the effects of insolvency are not limited to the private interests of the insolvent and his creditors, </w:t>
      </w:r>
      <w:r w:rsidR="00EE3E48" w:rsidRPr="00570D49">
        <w:rPr>
          <w:i/>
        </w:rPr>
        <w:t>but that other interests of society or other groups in society are vitally affected by the insolvency and its outcome</w:t>
      </w:r>
      <w:r w:rsidR="00EE3E48">
        <w:t xml:space="preserve">, and to </w:t>
      </w:r>
      <w:r w:rsidR="00EE3E48" w:rsidRPr="00545272">
        <w:rPr>
          <w:i/>
        </w:rPr>
        <w:t>ensure that these public interests are recognised and safeguarded</w:t>
      </w:r>
      <w:r w:rsidR="00EE3E48">
        <w:t>.” (</w:t>
      </w:r>
      <w:r w:rsidR="00EE3E48" w:rsidRPr="00EE3E48">
        <w:rPr>
          <w:i/>
        </w:rPr>
        <w:t>The Report of the Review Committee</w:t>
      </w:r>
      <w:r>
        <w:rPr>
          <w:i/>
        </w:rPr>
        <w:t xml:space="preserve"> – Insolvency Law and Practice</w:t>
      </w:r>
      <w:r w:rsidR="00EE3E48">
        <w:t>, Cmnd 8558,</w:t>
      </w:r>
      <w:r>
        <w:t xml:space="preserve"> HMSO, London,</w:t>
      </w:r>
      <w:r w:rsidR="00EE3E48">
        <w:t xml:space="preserve"> 1982, para.198(i)</w:t>
      </w:r>
      <w:r w:rsidR="00C862CC">
        <w:t xml:space="preserve"> – hereafter ‘Cork Report’</w:t>
      </w:r>
      <w:r w:rsidR="00EE3E48">
        <w:t>)</w:t>
      </w:r>
      <w:r>
        <w:t xml:space="preserve">. </w:t>
      </w:r>
      <w:r>
        <w:lastRenderedPageBreak/>
        <w:t xml:space="preserve">The </w:t>
      </w:r>
      <w:r w:rsidR="00567956">
        <w:t xml:space="preserve">then </w:t>
      </w:r>
      <w:r w:rsidR="006163C0">
        <w:t>Conservative g</w:t>
      </w:r>
      <w:r>
        <w:t>overnment’s response</w:t>
      </w:r>
      <w:r w:rsidR="00567956">
        <w:t xml:space="preserve"> (</w:t>
      </w:r>
      <w:r w:rsidR="00567956" w:rsidRPr="00567956">
        <w:rPr>
          <w:i/>
        </w:rPr>
        <w:t>A Revised Framework for Insolvency Law</w:t>
      </w:r>
      <w:r w:rsidR="00567956">
        <w:t>,</w:t>
      </w:r>
      <w:r w:rsidR="00537823">
        <w:t xml:space="preserve"> Department for Trade and Industry</w:t>
      </w:r>
      <w:r w:rsidR="00580F1D">
        <w:t xml:space="preserve"> (DTI)</w:t>
      </w:r>
      <w:r w:rsidR="00537823">
        <w:t>, HMSO, London,</w:t>
      </w:r>
      <w:r w:rsidR="00567956">
        <w:t xml:space="preserve"> Cmnd 9175)</w:t>
      </w:r>
      <w:r w:rsidR="006163C0">
        <w:t xml:space="preserve"> was </w:t>
      </w:r>
      <w:r w:rsidR="00DE3113">
        <w:t xml:space="preserve">perhaps unsurprisingly narrow in terms of stakeholders. For example in the context of limited liability abuse remedies the interests that could be damaged </w:t>
      </w:r>
      <w:r w:rsidR="00580F1D">
        <w:t>were, according to the DTI,</w:t>
      </w:r>
      <w:r w:rsidR="00DE3113">
        <w:t xml:space="preserve"> limited to</w:t>
      </w:r>
      <w:r w:rsidR="00C862CC">
        <w:t>:</w:t>
      </w:r>
      <w:r w:rsidR="00DE3113">
        <w:t xml:space="preserve"> cred</w:t>
      </w:r>
      <w:r w:rsidR="0055020C">
        <w:t>i</w:t>
      </w:r>
      <w:r w:rsidR="00DE3113">
        <w:t xml:space="preserve">tors, both trade and consumer, as well as the health of the trading, industrial, and commercial community.” Wider conceptions of community do not seem to be </w:t>
      </w:r>
      <w:r w:rsidR="00C862CC">
        <w:t xml:space="preserve">recognised. The DTI response to </w:t>
      </w:r>
      <w:r w:rsidR="00CB5BE0">
        <w:t xml:space="preserve">the </w:t>
      </w:r>
      <w:r w:rsidR="00C862CC">
        <w:t>Cork</w:t>
      </w:r>
      <w:r w:rsidR="00CB5BE0">
        <w:t xml:space="preserve"> Report</w:t>
      </w:r>
      <w:r w:rsidR="00C862CC">
        <w:t xml:space="preserve"> </w:t>
      </w:r>
      <w:r w:rsidR="00CB5BE0">
        <w:t>w</w:t>
      </w:r>
      <w:r w:rsidR="00C862CC">
        <w:t>as</w:t>
      </w:r>
      <w:r w:rsidR="00DE3113">
        <w:t xml:space="preserve"> criticised (see: </w:t>
      </w:r>
      <w:r w:rsidR="00DE3113" w:rsidRPr="00DE3113">
        <w:rPr>
          <w:i/>
        </w:rPr>
        <w:t>Fletcher Genesis</w:t>
      </w:r>
      <w:r w:rsidR="00DE3113">
        <w:t xml:space="preserve">). </w:t>
      </w:r>
      <w:r>
        <w:t xml:space="preserve"> </w:t>
      </w:r>
      <w:r w:rsidR="00C862CC">
        <w:t xml:space="preserve">This is perhaps another example of the </w:t>
      </w:r>
      <w:r w:rsidR="00CB5BE0">
        <w:t xml:space="preserve">then Government’s </w:t>
      </w:r>
      <w:r w:rsidR="00C862CC">
        <w:t>selectivity</w:t>
      </w:r>
      <w:r w:rsidR="00CB5BE0">
        <w:t xml:space="preserve">. They </w:t>
      </w:r>
      <w:r w:rsidR="00C862CC">
        <w:t xml:space="preserve">were accused of </w:t>
      </w:r>
      <w:r w:rsidR="00CB5BE0">
        <w:t xml:space="preserve">taking </w:t>
      </w:r>
      <w:r w:rsidR="00C862CC">
        <w:t xml:space="preserve">only certain aspects of the </w:t>
      </w:r>
      <w:r w:rsidR="00E548B5">
        <w:t>C</w:t>
      </w:r>
      <w:r w:rsidR="00C862CC">
        <w:t>ork Report</w:t>
      </w:r>
      <w:r w:rsidR="00CB5BE0">
        <w:t xml:space="preserve"> for </w:t>
      </w:r>
      <w:r w:rsidR="00024AE6">
        <w:t xml:space="preserve">law </w:t>
      </w:r>
      <w:r w:rsidR="00CB5BE0">
        <w:t xml:space="preserve">reform. In so doing they </w:t>
      </w:r>
      <w:r w:rsidR="00C862CC">
        <w:t>neglected the wider package of reforms</w:t>
      </w:r>
      <w:r w:rsidR="00CB5BE0">
        <w:t xml:space="preserve"> with its </w:t>
      </w:r>
      <w:r w:rsidR="00A36C3D">
        <w:t xml:space="preserve">overarching </w:t>
      </w:r>
      <w:r w:rsidR="00CB5BE0">
        <w:t xml:space="preserve">coherence and broader social objectives. </w:t>
      </w:r>
      <w:r w:rsidR="00C862CC">
        <w:t xml:space="preserve"> </w:t>
      </w:r>
    </w:p>
    <w:p w:rsidR="00FE2BD1" w:rsidRPr="00FE2BD1" w:rsidRDefault="00FE2BD1" w:rsidP="007E1768">
      <w:pPr>
        <w:spacing w:line="360" w:lineRule="auto"/>
        <w:jc w:val="both"/>
        <w:rPr>
          <w:color w:val="FF0000"/>
        </w:rPr>
      </w:pPr>
    </w:p>
    <w:p w:rsidR="00805523" w:rsidRPr="00F2365B" w:rsidRDefault="00C767B7" w:rsidP="007E1768">
      <w:pPr>
        <w:spacing w:line="360" w:lineRule="auto"/>
        <w:jc w:val="both"/>
      </w:pPr>
      <w:r>
        <w:t>This brings us b</w:t>
      </w:r>
      <w:r w:rsidR="00634F88">
        <w:t xml:space="preserve">ack to the present day and the plight of Worcester Warriors. </w:t>
      </w:r>
      <w:r w:rsidR="00805523">
        <w:t xml:space="preserve">There was some tentative interest in the </w:t>
      </w:r>
      <w:r>
        <w:t xml:space="preserve">club </w:t>
      </w:r>
      <w:r w:rsidR="00805523">
        <w:t>which was communicated to the wider world in a statement published on the 13</w:t>
      </w:r>
      <w:r w:rsidR="00805523" w:rsidRPr="00805523">
        <w:rPr>
          <w:vertAlign w:val="superscript"/>
        </w:rPr>
        <w:t>th</w:t>
      </w:r>
      <w:r w:rsidR="00805523">
        <w:t xml:space="preserve"> September 2022. This did not materialise</w:t>
      </w:r>
      <w:r>
        <w:t xml:space="preserve"> into anything viable</w:t>
      </w:r>
      <w:r w:rsidR="00805523">
        <w:t xml:space="preserve"> and on the 15</w:t>
      </w:r>
      <w:r w:rsidR="00805523" w:rsidRPr="00805523">
        <w:rPr>
          <w:vertAlign w:val="superscript"/>
        </w:rPr>
        <w:t>th</w:t>
      </w:r>
      <w:r w:rsidR="00805523">
        <w:t xml:space="preserve"> Sep</w:t>
      </w:r>
      <w:r w:rsidR="00BB3E3C">
        <w:t>tember</w:t>
      </w:r>
      <w:r>
        <w:t xml:space="preserve"> 2022</w:t>
      </w:r>
      <w:r w:rsidR="00BB3E3C">
        <w:t xml:space="preserve"> the RFU demanded financial compliance </w:t>
      </w:r>
      <w:r w:rsidR="00704D1E">
        <w:t>reassurance</w:t>
      </w:r>
      <w:r w:rsidR="00BB3E3C">
        <w:t xml:space="preserve"> in order for </w:t>
      </w:r>
      <w:r>
        <w:t xml:space="preserve">Premiership </w:t>
      </w:r>
      <w:r w:rsidR="00BB3E3C">
        <w:t>games to proceed. Things came to ahead with the administration order and suspension of the club in late September 2022. The founder</w:t>
      </w:r>
      <w:r w:rsidR="009979C8">
        <w:t xml:space="preserve"> of Worcester Warriors</w:t>
      </w:r>
      <w:r w:rsidR="00BB3E3C">
        <w:t xml:space="preserve">, the Reverend Frances John Ede, would not have been pleased. </w:t>
      </w:r>
    </w:p>
    <w:p w:rsidR="00687F70" w:rsidRDefault="00687F70" w:rsidP="007E1768">
      <w:pPr>
        <w:spacing w:line="360" w:lineRule="auto"/>
        <w:jc w:val="both"/>
      </w:pPr>
    </w:p>
    <w:p w:rsidR="004A1A98" w:rsidRDefault="004A1A98" w:rsidP="007E1768">
      <w:pPr>
        <w:spacing w:line="360" w:lineRule="auto"/>
        <w:jc w:val="both"/>
      </w:pPr>
    </w:p>
    <w:p w:rsidR="00F8188B" w:rsidRPr="000741B1" w:rsidRDefault="00F8188B" w:rsidP="000741B1">
      <w:r w:rsidRPr="00F8188B">
        <w:rPr>
          <w:b/>
          <w:u w:val="single"/>
        </w:rPr>
        <w:t>Conclusion</w:t>
      </w:r>
    </w:p>
    <w:p w:rsidR="00F8188B" w:rsidRDefault="00F8188B" w:rsidP="007E1768">
      <w:pPr>
        <w:spacing w:line="360" w:lineRule="auto"/>
        <w:jc w:val="both"/>
      </w:pPr>
    </w:p>
    <w:p w:rsidR="00D53CAC" w:rsidRDefault="00246235" w:rsidP="008034A1">
      <w:pPr>
        <w:spacing w:line="360" w:lineRule="auto"/>
        <w:jc w:val="both"/>
      </w:pPr>
      <w:r>
        <w:t xml:space="preserve">As has been demonstrated here and elsewhere football and rugby clubs </w:t>
      </w:r>
      <w:r w:rsidR="00EC42BF">
        <w:t>exhibit</w:t>
      </w:r>
      <w:r>
        <w:t xml:space="preserve"> similar community </w:t>
      </w:r>
      <w:r w:rsidR="00EC42BF">
        <w:t>enhancement</w:t>
      </w:r>
      <w:r>
        <w:t xml:space="preserve"> qualities with their </w:t>
      </w:r>
      <w:r w:rsidR="004A1A98">
        <w:t>societal roles</w:t>
      </w:r>
      <w:r w:rsidR="00EC42BF">
        <w:t>, beyond profit wealth maximisation</w:t>
      </w:r>
      <w:r>
        <w:t xml:space="preserve">. Similarly, public interest insolvencies also generate outcomes touching on broader community concerns. </w:t>
      </w:r>
      <w:r w:rsidR="009801E2">
        <w:t>Both types of insolvency, and in particular the way Government has responded to public interest insolvencies, fulfils Dodd’s 1932 prediction in underlying policy terms that, “the law is approaching a point of view which will regard all business as affected with a public interest.” (</w:t>
      </w:r>
      <w:r w:rsidR="009801E2" w:rsidRPr="009801E2">
        <w:rPr>
          <w:i/>
        </w:rPr>
        <w:t>Dodd Managers</w:t>
      </w:r>
      <w:r w:rsidR="009801E2">
        <w:t xml:space="preserve">, p.1149). </w:t>
      </w:r>
      <w:r>
        <w:t xml:space="preserve"> </w:t>
      </w:r>
      <w:r w:rsidR="00D53CAC">
        <w:t>With appropriate use of existing legal provisions this</w:t>
      </w:r>
      <w:r w:rsidR="00EC42BF">
        <w:t xml:space="preserve"> public interest or community view</w:t>
      </w:r>
      <w:r w:rsidR="00D53CAC">
        <w:t xml:space="preserve"> is already occurring. </w:t>
      </w:r>
      <w:r w:rsidR="00D53CAC">
        <w:t xml:space="preserve">It has been argued elsewhere that the apotheosis of the rescue culture is the rescue of incorporated charities (see: Tribe, J. </w:t>
      </w:r>
      <w:r w:rsidR="00D53CAC" w:rsidRPr="00F82871">
        <w:rPr>
          <w:i/>
        </w:rPr>
        <w:t xml:space="preserve">Deploying Communitarianism Bankruptcy Theory to Rescue Insolvent </w:t>
      </w:r>
      <w:r w:rsidR="00D53CAC" w:rsidRPr="00F82871">
        <w:rPr>
          <w:i/>
        </w:rPr>
        <w:lastRenderedPageBreak/>
        <w:t>Charities and Maintain Charitable Purposes</w:t>
      </w:r>
      <w:r w:rsidR="00D53CAC">
        <w:t>, i</w:t>
      </w:r>
      <w:r w:rsidR="00D53CAC" w:rsidRPr="00F82871">
        <w:t>n Picton,</w:t>
      </w:r>
      <w:r w:rsidR="00D53CAC">
        <w:t xml:space="preserve"> J</w:t>
      </w:r>
      <w:r w:rsidR="00D53CAC" w:rsidRPr="00F82871">
        <w:t xml:space="preserve"> &amp; Sigafoos</w:t>
      </w:r>
      <w:r w:rsidR="00D53CAC">
        <w:t>, J</w:t>
      </w:r>
      <w:r w:rsidR="00D53CAC" w:rsidRPr="00F82871">
        <w:t xml:space="preserve"> (Eds.), </w:t>
      </w:r>
      <w:r w:rsidR="00D53CAC" w:rsidRPr="00540AD5">
        <w:rPr>
          <w:i/>
        </w:rPr>
        <w:t>Debates in Charity Law</w:t>
      </w:r>
      <w:r w:rsidR="00D53CAC" w:rsidRPr="00F82871">
        <w:t xml:space="preserve"> (pp. 81-101). Oxford: Hart Publishing.</w:t>
      </w:r>
      <w:r w:rsidR="00D53CAC">
        <w:t xml:space="preserve"> 2020). This is because by rescuing a charity we are rescuing its purposes and objects and because it is a charity these are purposes directed to the public benefit requirement of charity. In other words the charity’s objects are for public benefit purposes and directly benefit a broad swath of the community.</w:t>
      </w:r>
    </w:p>
    <w:p w:rsidR="00D53CAC" w:rsidRDefault="00D53CAC" w:rsidP="008034A1">
      <w:pPr>
        <w:spacing w:line="360" w:lineRule="auto"/>
        <w:jc w:val="both"/>
      </w:pPr>
    </w:p>
    <w:p w:rsidR="00F8188B" w:rsidRDefault="00F8188B" w:rsidP="008034A1">
      <w:pPr>
        <w:spacing w:line="360" w:lineRule="auto"/>
        <w:jc w:val="both"/>
      </w:pPr>
      <w:r>
        <w:t xml:space="preserve">Communitarian insolvency law and policy exemplifies a humane approach to dealing with a company’s stakeholders. </w:t>
      </w:r>
      <w:r w:rsidR="006C0074">
        <w:t>Forged in the boiling pressures of insolvency</w:t>
      </w:r>
      <w:r w:rsidR="00D17F32">
        <w:t xml:space="preserve"> at a time of crisis</w:t>
      </w:r>
      <w:r w:rsidR="006C0074">
        <w:t xml:space="preserve"> c</w:t>
      </w:r>
      <w:r w:rsidR="004E0F4F">
        <w:t xml:space="preserve">ommunitarianism </w:t>
      </w:r>
      <w:r w:rsidR="006C0074">
        <w:t>insolvency law policy has much to teach us about general company usage and it</w:t>
      </w:r>
      <w:r>
        <w:t xml:space="preserve"> should be our guiding hand as we move forward.</w:t>
      </w:r>
      <w:r w:rsidR="006A7695">
        <w:t xml:space="preserve"> It is</w:t>
      </w:r>
      <w:r w:rsidR="00D17F32">
        <w:t xml:space="preserve"> then</w:t>
      </w:r>
      <w:r w:rsidR="006A7695">
        <w:t xml:space="preserve"> perhaps</w:t>
      </w:r>
      <w:r w:rsidR="00765BEB">
        <w:t xml:space="preserve"> </w:t>
      </w:r>
      <w:r w:rsidR="006A7695">
        <w:t>time to reimagine companies a</w:t>
      </w:r>
      <w:r w:rsidR="00765BEB">
        <w:t>s</w:t>
      </w:r>
      <w:r w:rsidR="006A7695">
        <w:t xml:space="preserve"> being collectives of humanity</w:t>
      </w:r>
      <w:r w:rsidR="00765BEB">
        <w:t xml:space="preserve"> striving for a common goal</w:t>
      </w:r>
      <w:r w:rsidR="006A7695">
        <w:t>, as they were</w:t>
      </w:r>
      <w:r w:rsidR="00D17F32">
        <w:t xml:space="preserve"> envisaged</w:t>
      </w:r>
      <w:r w:rsidR="006A7695">
        <w:t xml:space="preserve"> in their earliest developmental stages, as opposed to being central points for the agglomeration of capital</w:t>
      </w:r>
      <w:r w:rsidR="00D17F32">
        <w:t xml:space="preserve"> and ruthle</w:t>
      </w:r>
      <w:bookmarkStart w:id="0" w:name="_GoBack"/>
      <w:bookmarkEnd w:id="0"/>
      <w:r w:rsidR="00D17F32">
        <w:t xml:space="preserve">ss accumulation of profit. </w:t>
      </w:r>
    </w:p>
    <w:sectPr w:rsidR="00F8188B" w:rsidSect="007E504B">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30C" w:rsidRDefault="00DF430C" w:rsidP="00F8188B">
      <w:r>
        <w:separator/>
      </w:r>
    </w:p>
  </w:endnote>
  <w:endnote w:type="continuationSeparator" w:id="0">
    <w:p w:rsidR="00DF430C" w:rsidRDefault="00DF430C" w:rsidP="00F8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6764276"/>
      <w:docPartObj>
        <w:docPartGallery w:val="Page Numbers (Bottom of Page)"/>
        <w:docPartUnique/>
      </w:docPartObj>
    </w:sdtPr>
    <w:sdtEndPr>
      <w:rPr>
        <w:rStyle w:val="PageNumber"/>
      </w:rPr>
    </w:sdtEndPr>
    <w:sdtContent>
      <w:p w:rsidR="00BC58AD" w:rsidRDefault="00BC58AD" w:rsidP="00BC58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C58AD" w:rsidRDefault="00BC58AD" w:rsidP="00F818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703244"/>
      <w:docPartObj>
        <w:docPartGallery w:val="Page Numbers (Bottom of Page)"/>
        <w:docPartUnique/>
      </w:docPartObj>
    </w:sdtPr>
    <w:sdtEndPr>
      <w:rPr>
        <w:rStyle w:val="PageNumber"/>
      </w:rPr>
    </w:sdtEndPr>
    <w:sdtContent>
      <w:p w:rsidR="00BC58AD" w:rsidRDefault="00BC58AD" w:rsidP="00BC58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C58AD" w:rsidRDefault="00BC58AD" w:rsidP="00F818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30C" w:rsidRDefault="00DF430C" w:rsidP="00F8188B">
      <w:r>
        <w:separator/>
      </w:r>
    </w:p>
  </w:footnote>
  <w:footnote w:type="continuationSeparator" w:id="0">
    <w:p w:rsidR="00DF430C" w:rsidRDefault="00DF430C" w:rsidP="00F8188B">
      <w:r>
        <w:continuationSeparator/>
      </w:r>
    </w:p>
  </w:footnote>
  <w:footnote w:id="1">
    <w:p w:rsidR="00BC58AD" w:rsidRPr="007B35CA" w:rsidRDefault="00BC58AD" w:rsidP="00894CBB">
      <w:pPr>
        <w:pStyle w:val="FootnoteText"/>
        <w:jc w:val="both"/>
        <w:rPr>
          <w:rFonts w:ascii="Times New Roman" w:hAnsi="Times New Roman" w:cs="Times New Roman"/>
        </w:rPr>
      </w:pPr>
      <w:r w:rsidRPr="00611D65">
        <w:rPr>
          <w:rStyle w:val="FootnoteReference"/>
        </w:rPr>
        <w:sym w:font="Symbol" w:char="F0A7"/>
      </w:r>
      <w:r>
        <w:t xml:space="preserve"> </w:t>
      </w:r>
      <w:r w:rsidRPr="00893D28">
        <w:rPr>
          <w:rFonts w:ascii="Times New Roman" w:hAnsi="Times New Roman" w:cs="Times New Roman"/>
        </w:rPr>
        <w:t xml:space="preserve">Senior Lecturer in Law, School of Law and Social Justice, University of Liverpool and Academic Associate, Exchange Chambers. Email: </w:t>
      </w:r>
      <w:hyperlink r:id="rId1" w:history="1">
        <w:r w:rsidRPr="00893D28">
          <w:rPr>
            <w:rStyle w:val="Hyperlink"/>
            <w:rFonts w:ascii="Times New Roman" w:hAnsi="Times New Roman" w:cs="Times New Roman"/>
          </w:rPr>
          <w:t>j.tribe@liverpool.ac.uk</w:t>
        </w:r>
      </w:hyperlink>
      <w:r w:rsidRPr="00893D28">
        <w:rPr>
          <w:rFonts w:ascii="Times New Roman" w:hAnsi="Times New Roman" w:cs="Times New Roman"/>
        </w:rPr>
        <w:t xml:space="preserve">. I would like to thank </w:t>
      </w:r>
      <w:r w:rsidR="0057517D">
        <w:rPr>
          <w:rFonts w:ascii="Times New Roman" w:hAnsi="Times New Roman" w:cs="Times New Roman"/>
        </w:rPr>
        <w:t>Dr. Mark Crosby</w:t>
      </w:r>
      <w:r>
        <w:rPr>
          <w:rFonts w:ascii="Times New Roman" w:hAnsi="Times New Roman" w:cs="Times New Roman"/>
        </w:rPr>
        <w:t>, Ms. Helen Kavanagh, and</w:t>
      </w:r>
      <w:r w:rsidR="003A772A">
        <w:rPr>
          <w:rFonts w:ascii="Times New Roman" w:hAnsi="Times New Roman" w:cs="Times New Roman"/>
        </w:rPr>
        <w:t>,</w:t>
      </w:r>
      <w:r>
        <w:rPr>
          <w:rFonts w:ascii="Times New Roman" w:hAnsi="Times New Roman" w:cs="Times New Roman"/>
        </w:rPr>
        <w:t xml:space="preserve"> </w:t>
      </w:r>
      <w:r w:rsidRPr="00893D28">
        <w:rPr>
          <w:rFonts w:ascii="Times New Roman" w:hAnsi="Times New Roman" w:cs="Times New Roman"/>
        </w:rPr>
        <w:t>Dr. Susan Morgan</w:t>
      </w:r>
      <w:r>
        <w:rPr>
          <w:rFonts w:ascii="Times New Roman" w:hAnsi="Times New Roman" w:cs="Times New Roman"/>
        </w:rPr>
        <w:t xml:space="preserve"> </w:t>
      </w:r>
      <w:r w:rsidRPr="00893D28">
        <w:rPr>
          <w:rFonts w:ascii="Times New Roman" w:hAnsi="Times New Roman" w:cs="Times New Roman"/>
        </w:rPr>
        <w:t>for th</w:t>
      </w:r>
      <w:r>
        <w:rPr>
          <w:rFonts w:ascii="Times New Roman" w:hAnsi="Times New Roman" w:cs="Times New Roman"/>
        </w:rPr>
        <w:t xml:space="preserve">eir </w:t>
      </w:r>
      <w:r w:rsidRPr="00893D28">
        <w:rPr>
          <w:rFonts w:ascii="Times New Roman" w:hAnsi="Times New Roman" w:cs="Times New Roman"/>
        </w:rPr>
        <w:t xml:space="preserve">helpful and constructive feedback on earlier drafts. Any errors or omissions are </w:t>
      </w:r>
      <w:r>
        <w:rPr>
          <w:rFonts w:ascii="Times New Roman" w:hAnsi="Times New Roman" w:cs="Times New Roman"/>
        </w:rPr>
        <w:t>the author’s</w:t>
      </w:r>
      <w:r w:rsidRPr="00893D28">
        <w:rPr>
          <w:rFonts w:ascii="Times New Roman" w:hAnsi="Times New Roman" w:cs="Times New Roman"/>
        </w:rPr>
        <w:t xml:space="preserve"> sole responsibility.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8AD" w:rsidRPr="00F8188B" w:rsidRDefault="00BC58AD">
    <w:pPr>
      <w:pStyle w:val="Header"/>
      <w:rPr>
        <w:i/>
        <w:sz w:val="18"/>
        <w:szCs w:val="18"/>
        <w:u w:val="single"/>
      </w:rPr>
    </w:pPr>
    <w:r w:rsidRPr="00F8188B">
      <w:rPr>
        <w:i/>
        <w:sz w:val="18"/>
        <w:szCs w:val="18"/>
        <w:u w:val="single"/>
      </w:rPr>
      <w:t>CRI – 3,</w:t>
    </w:r>
    <w:r>
      <w:rPr>
        <w:i/>
        <w:sz w:val="18"/>
        <w:szCs w:val="18"/>
        <w:u w:val="single"/>
      </w:rPr>
      <w:t>7</w:t>
    </w:r>
    <w:r w:rsidRPr="00F8188B">
      <w:rPr>
        <w:i/>
        <w:sz w:val="18"/>
        <w:szCs w:val="18"/>
        <w:u w:val="single"/>
      </w:rPr>
      <w:t>00 word essay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42"/>
    <w:rsid w:val="00005D87"/>
    <w:rsid w:val="000063B3"/>
    <w:rsid w:val="00022CEB"/>
    <w:rsid w:val="00023B91"/>
    <w:rsid w:val="00024AE6"/>
    <w:rsid w:val="000307B3"/>
    <w:rsid w:val="00033C02"/>
    <w:rsid w:val="00035CCE"/>
    <w:rsid w:val="000411CB"/>
    <w:rsid w:val="000511A2"/>
    <w:rsid w:val="00054C8A"/>
    <w:rsid w:val="00055C50"/>
    <w:rsid w:val="000741B1"/>
    <w:rsid w:val="00084684"/>
    <w:rsid w:val="00097E32"/>
    <w:rsid w:val="000A22BF"/>
    <w:rsid w:val="000D101C"/>
    <w:rsid w:val="000E08E8"/>
    <w:rsid w:val="000E26F8"/>
    <w:rsid w:val="0011543C"/>
    <w:rsid w:val="0012654F"/>
    <w:rsid w:val="001315A1"/>
    <w:rsid w:val="001356E9"/>
    <w:rsid w:val="00140779"/>
    <w:rsid w:val="00151430"/>
    <w:rsid w:val="00153C13"/>
    <w:rsid w:val="00162528"/>
    <w:rsid w:val="001701D4"/>
    <w:rsid w:val="00171886"/>
    <w:rsid w:val="0017311E"/>
    <w:rsid w:val="001904EC"/>
    <w:rsid w:val="00193D53"/>
    <w:rsid w:val="001B0630"/>
    <w:rsid w:val="001D09C8"/>
    <w:rsid w:val="001D5F8A"/>
    <w:rsid w:val="001E3777"/>
    <w:rsid w:val="001E61DA"/>
    <w:rsid w:val="001E7F46"/>
    <w:rsid w:val="001F022C"/>
    <w:rsid w:val="00207791"/>
    <w:rsid w:val="002136B1"/>
    <w:rsid w:val="00225AC2"/>
    <w:rsid w:val="00233438"/>
    <w:rsid w:val="00246235"/>
    <w:rsid w:val="00246571"/>
    <w:rsid w:val="0024688E"/>
    <w:rsid w:val="00262DB9"/>
    <w:rsid w:val="00267DE8"/>
    <w:rsid w:val="002702DF"/>
    <w:rsid w:val="0027306B"/>
    <w:rsid w:val="0027453D"/>
    <w:rsid w:val="002769C6"/>
    <w:rsid w:val="00285637"/>
    <w:rsid w:val="002A484B"/>
    <w:rsid w:val="002B1EE4"/>
    <w:rsid w:val="002B3BE7"/>
    <w:rsid w:val="002C34D9"/>
    <w:rsid w:val="002C772A"/>
    <w:rsid w:val="002D1FDC"/>
    <w:rsid w:val="002F1BCF"/>
    <w:rsid w:val="002F589C"/>
    <w:rsid w:val="002F5D6B"/>
    <w:rsid w:val="00304313"/>
    <w:rsid w:val="00304EBD"/>
    <w:rsid w:val="0031436E"/>
    <w:rsid w:val="003172F1"/>
    <w:rsid w:val="003213CE"/>
    <w:rsid w:val="00335097"/>
    <w:rsid w:val="00341BBC"/>
    <w:rsid w:val="003458E3"/>
    <w:rsid w:val="003510CF"/>
    <w:rsid w:val="00353D62"/>
    <w:rsid w:val="00357E92"/>
    <w:rsid w:val="003622D1"/>
    <w:rsid w:val="00381992"/>
    <w:rsid w:val="00383AC5"/>
    <w:rsid w:val="00384704"/>
    <w:rsid w:val="00394D3A"/>
    <w:rsid w:val="00395497"/>
    <w:rsid w:val="003A6F4D"/>
    <w:rsid w:val="003A772A"/>
    <w:rsid w:val="003B380E"/>
    <w:rsid w:val="003C135E"/>
    <w:rsid w:val="003C19D0"/>
    <w:rsid w:val="003E04F4"/>
    <w:rsid w:val="003E493A"/>
    <w:rsid w:val="003E7CD6"/>
    <w:rsid w:val="003F46E1"/>
    <w:rsid w:val="0040248C"/>
    <w:rsid w:val="0041400E"/>
    <w:rsid w:val="00423660"/>
    <w:rsid w:val="00444D94"/>
    <w:rsid w:val="00461B51"/>
    <w:rsid w:val="00474516"/>
    <w:rsid w:val="00487CA2"/>
    <w:rsid w:val="004A0ED7"/>
    <w:rsid w:val="004A1A98"/>
    <w:rsid w:val="004A7A85"/>
    <w:rsid w:val="004B3A69"/>
    <w:rsid w:val="004B6D20"/>
    <w:rsid w:val="004D0A3A"/>
    <w:rsid w:val="004E0F4F"/>
    <w:rsid w:val="004E795E"/>
    <w:rsid w:val="004F055E"/>
    <w:rsid w:val="00537823"/>
    <w:rsid w:val="00540AD5"/>
    <w:rsid w:val="00545272"/>
    <w:rsid w:val="0055020C"/>
    <w:rsid w:val="00562196"/>
    <w:rsid w:val="00566BBA"/>
    <w:rsid w:val="00567956"/>
    <w:rsid w:val="00570285"/>
    <w:rsid w:val="00570D49"/>
    <w:rsid w:val="0057517D"/>
    <w:rsid w:val="00576331"/>
    <w:rsid w:val="00580F1D"/>
    <w:rsid w:val="005950C2"/>
    <w:rsid w:val="005A6FE3"/>
    <w:rsid w:val="005B3AE2"/>
    <w:rsid w:val="005B3C53"/>
    <w:rsid w:val="005C4057"/>
    <w:rsid w:val="005C7781"/>
    <w:rsid w:val="005D438D"/>
    <w:rsid w:val="005E2B42"/>
    <w:rsid w:val="005F22B2"/>
    <w:rsid w:val="006163C0"/>
    <w:rsid w:val="00617F6B"/>
    <w:rsid w:val="006308CA"/>
    <w:rsid w:val="00634145"/>
    <w:rsid w:val="00634F88"/>
    <w:rsid w:val="00641673"/>
    <w:rsid w:val="006812A1"/>
    <w:rsid w:val="00682BBE"/>
    <w:rsid w:val="00687F70"/>
    <w:rsid w:val="006A7695"/>
    <w:rsid w:val="006C0074"/>
    <w:rsid w:val="006C1478"/>
    <w:rsid w:val="006C79D4"/>
    <w:rsid w:val="006D6A66"/>
    <w:rsid w:val="006D773F"/>
    <w:rsid w:val="006E3612"/>
    <w:rsid w:val="00701FF0"/>
    <w:rsid w:val="00704D1E"/>
    <w:rsid w:val="00711CAC"/>
    <w:rsid w:val="00713567"/>
    <w:rsid w:val="00717D64"/>
    <w:rsid w:val="00717EE5"/>
    <w:rsid w:val="00722B7B"/>
    <w:rsid w:val="00723C7B"/>
    <w:rsid w:val="00731EC5"/>
    <w:rsid w:val="00754D9F"/>
    <w:rsid w:val="0076070C"/>
    <w:rsid w:val="00765BEB"/>
    <w:rsid w:val="007776C1"/>
    <w:rsid w:val="00784873"/>
    <w:rsid w:val="00794530"/>
    <w:rsid w:val="007A0835"/>
    <w:rsid w:val="007A49C8"/>
    <w:rsid w:val="007A631F"/>
    <w:rsid w:val="007C04A8"/>
    <w:rsid w:val="007E04F0"/>
    <w:rsid w:val="007E1768"/>
    <w:rsid w:val="007E2AC0"/>
    <w:rsid w:val="007E504B"/>
    <w:rsid w:val="008034A1"/>
    <w:rsid w:val="00803672"/>
    <w:rsid w:val="00805523"/>
    <w:rsid w:val="00805A53"/>
    <w:rsid w:val="008164CA"/>
    <w:rsid w:val="008216F8"/>
    <w:rsid w:val="00843811"/>
    <w:rsid w:val="00845BC3"/>
    <w:rsid w:val="0085016B"/>
    <w:rsid w:val="00855A20"/>
    <w:rsid w:val="00874E2E"/>
    <w:rsid w:val="00894CBB"/>
    <w:rsid w:val="00897FE2"/>
    <w:rsid w:val="008A7DE1"/>
    <w:rsid w:val="008B383B"/>
    <w:rsid w:val="008B77AB"/>
    <w:rsid w:val="008C340F"/>
    <w:rsid w:val="008C476E"/>
    <w:rsid w:val="008D0638"/>
    <w:rsid w:val="008F5677"/>
    <w:rsid w:val="00905B74"/>
    <w:rsid w:val="0091090D"/>
    <w:rsid w:val="009127CC"/>
    <w:rsid w:val="009142D4"/>
    <w:rsid w:val="00921327"/>
    <w:rsid w:val="00923076"/>
    <w:rsid w:val="00925421"/>
    <w:rsid w:val="00934630"/>
    <w:rsid w:val="00947E38"/>
    <w:rsid w:val="00952F7A"/>
    <w:rsid w:val="009801E2"/>
    <w:rsid w:val="0098458A"/>
    <w:rsid w:val="0098538F"/>
    <w:rsid w:val="009979C8"/>
    <w:rsid w:val="009A3AAA"/>
    <w:rsid w:val="009B0048"/>
    <w:rsid w:val="009C46AB"/>
    <w:rsid w:val="009D2525"/>
    <w:rsid w:val="009D310B"/>
    <w:rsid w:val="009D4242"/>
    <w:rsid w:val="009F64EE"/>
    <w:rsid w:val="00A11C93"/>
    <w:rsid w:val="00A153DB"/>
    <w:rsid w:val="00A3435B"/>
    <w:rsid w:val="00A36C3D"/>
    <w:rsid w:val="00A36FB9"/>
    <w:rsid w:val="00A46489"/>
    <w:rsid w:val="00A5135E"/>
    <w:rsid w:val="00A607F9"/>
    <w:rsid w:val="00A64346"/>
    <w:rsid w:val="00A82ECE"/>
    <w:rsid w:val="00A85EFD"/>
    <w:rsid w:val="00AA4772"/>
    <w:rsid w:val="00AD5A4C"/>
    <w:rsid w:val="00AE53C6"/>
    <w:rsid w:val="00AF2FB8"/>
    <w:rsid w:val="00B013BF"/>
    <w:rsid w:val="00B131BD"/>
    <w:rsid w:val="00B354E9"/>
    <w:rsid w:val="00B35572"/>
    <w:rsid w:val="00B470C5"/>
    <w:rsid w:val="00B511E0"/>
    <w:rsid w:val="00B528B9"/>
    <w:rsid w:val="00B70EEF"/>
    <w:rsid w:val="00B94A2F"/>
    <w:rsid w:val="00B95C06"/>
    <w:rsid w:val="00BB3E3C"/>
    <w:rsid w:val="00BC0E28"/>
    <w:rsid w:val="00BC58AD"/>
    <w:rsid w:val="00BD080A"/>
    <w:rsid w:val="00BE2EB9"/>
    <w:rsid w:val="00BF4A17"/>
    <w:rsid w:val="00BF70AD"/>
    <w:rsid w:val="00C22B52"/>
    <w:rsid w:val="00C2501C"/>
    <w:rsid w:val="00C32066"/>
    <w:rsid w:val="00C53EA3"/>
    <w:rsid w:val="00C62909"/>
    <w:rsid w:val="00C66AE3"/>
    <w:rsid w:val="00C7061A"/>
    <w:rsid w:val="00C767B7"/>
    <w:rsid w:val="00C83C79"/>
    <w:rsid w:val="00C862CC"/>
    <w:rsid w:val="00CA6470"/>
    <w:rsid w:val="00CB5BE0"/>
    <w:rsid w:val="00CB7E44"/>
    <w:rsid w:val="00CC2471"/>
    <w:rsid w:val="00CC7A6F"/>
    <w:rsid w:val="00CD2A3B"/>
    <w:rsid w:val="00CF2B23"/>
    <w:rsid w:val="00CF74A7"/>
    <w:rsid w:val="00D00523"/>
    <w:rsid w:val="00D00D4F"/>
    <w:rsid w:val="00D112BD"/>
    <w:rsid w:val="00D15FDC"/>
    <w:rsid w:val="00D17B75"/>
    <w:rsid w:val="00D17F32"/>
    <w:rsid w:val="00D26733"/>
    <w:rsid w:val="00D26D87"/>
    <w:rsid w:val="00D51D42"/>
    <w:rsid w:val="00D53CAC"/>
    <w:rsid w:val="00D66397"/>
    <w:rsid w:val="00D93336"/>
    <w:rsid w:val="00D97B11"/>
    <w:rsid w:val="00DA47C2"/>
    <w:rsid w:val="00DA4F48"/>
    <w:rsid w:val="00DB33F3"/>
    <w:rsid w:val="00DC14DE"/>
    <w:rsid w:val="00DE3113"/>
    <w:rsid w:val="00DF430C"/>
    <w:rsid w:val="00DF49E0"/>
    <w:rsid w:val="00E01774"/>
    <w:rsid w:val="00E04783"/>
    <w:rsid w:val="00E05003"/>
    <w:rsid w:val="00E12589"/>
    <w:rsid w:val="00E143E1"/>
    <w:rsid w:val="00E42077"/>
    <w:rsid w:val="00E454D4"/>
    <w:rsid w:val="00E50906"/>
    <w:rsid w:val="00E5103D"/>
    <w:rsid w:val="00E53953"/>
    <w:rsid w:val="00E548B5"/>
    <w:rsid w:val="00E74CA7"/>
    <w:rsid w:val="00E76995"/>
    <w:rsid w:val="00E77759"/>
    <w:rsid w:val="00E900D9"/>
    <w:rsid w:val="00EA10CF"/>
    <w:rsid w:val="00EB1DE4"/>
    <w:rsid w:val="00EB4DD7"/>
    <w:rsid w:val="00EC0F7D"/>
    <w:rsid w:val="00EC42BF"/>
    <w:rsid w:val="00EC6E7B"/>
    <w:rsid w:val="00EC7721"/>
    <w:rsid w:val="00ED2170"/>
    <w:rsid w:val="00EE3E48"/>
    <w:rsid w:val="00F00FA7"/>
    <w:rsid w:val="00F2365B"/>
    <w:rsid w:val="00F334FC"/>
    <w:rsid w:val="00F4068B"/>
    <w:rsid w:val="00F440F3"/>
    <w:rsid w:val="00F51287"/>
    <w:rsid w:val="00F57D6D"/>
    <w:rsid w:val="00F618C5"/>
    <w:rsid w:val="00F809F2"/>
    <w:rsid w:val="00F81234"/>
    <w:rsid w:val="00F8188B"/>
    <w:rsid w:val="00F82871"/>
    <w:rsid w:val="00F84C75"/>
    <w:rsid w:val="00F85A3E"/>
    <w:rsid w:val="00F94ABB"/>
    <w:rsid w:val="00FA1EA1"/>
    <w:rsid w:val="00FA5AFD"/>
    <w:rsid w:val="00FB7252"/>
    <w:rsid w:val="00FC3B38"/>
    <w:rsid w:val="00FC6031"/>
    <w:rsid w:val="00FD0704"/>
    <w:rsid w:val="00FD2C33"/>
    <w:rsid w:val="00FD509E"/>
    <w:rsid w:val="00FD553D"/>
    <w:rsid w:val="00FE2BD1"/>
    <w:rsid w:val="00FF5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781BD1"/>
  <w15:chartTrackingRefBased/>
  <w15:docId w15:val="{A904D58A-80F0-6646-8E26-7932AFDB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88B"/>
    <w:pPr>
      <w:tabs>
        <w:tab w:val="center" w:pos="4680"/>
        <w:tab w:val="right" w:pos="9360"/>
      </w:tabs>
    </w:pPr>
  </w:style>
  <w:style w:type="character" w:customStyle="1" w:styleId="HeaderChar">
    <w:name w:val="Header Char"/>
    <w:basedOn w:val="DefaultParagraphFont"/>
    <w:link w:val="Header"/>
    <w:uiPriority w:val="99"/>
    <w:rsid w:val="00F8188B"/>
  </w:style>
  <w:style w:type="paragraph" w:styleId="Footer">
    <w:name w:val="footer"/>
    <w:basedOn w:val="Normal"/>
    <w:link w:val="FooterChar"/>
    <w:uiPriority w:val="99"/>
    <w:unhideWhenUsed/>
    <w:rsid w:val="00F8188B"/>
    <w:pPr>
      <w:tabs>
        <w:tab w:val="center" w:pos="4680"/>
        <w:tab w:val="right" w:pos="9360"/>
      </w:tabs>
    </w:pPr>
  </w:style>
  <w:style w:type="character" w:customStyle="1" w:styleId="FooterChar">
    <w:name w:val="Footer Char"/>
    <w:basedOn w:val="DefaultParagraphFont"/>
    <w:link w:val="Footer"/>
    <w:uiPriority w:val="99"/>
    <w:rsid w:val="00F8188B"/>
  </w:style>
  <w:style w:type="character" w:styleId="PageNumber">
    <w:name w:val="page number"/>
    <w:basedOn w:val="DefaultParagraphFont"/>
    <w:uiPriority w:val="99"/>
    <w:semiHidden/>
    <w:unhideWhenUsed/>
    <w:rsid w:val="00F8188B"/>
  </w:style>
  <w:style w:type="paragraph" w:styleId="FootnoteText">
    <w:name w:val="footnote text"/>
    <w:basedOn w:val="Normal"/>
    <w:link w:val="FootnoteTextChar"/>
    <w:uiPriority w:val="99"/>
    <w:unhideWhenUsed/>
    <w:rsid w:val="00894CBB"/>
    <w:rPr>
      <w:sz w:val="20"/>
      <w:szCs w:val="20"/>
    </w:rPr>
  </w:style>
  <w:style w:type="character" w:customStyle="1" w:styleId="FootnoteTextChar">
    <w:name w:val="Footnote Text Char"/>
    <w:basedOn w:val="DefaultParagraphFont"/>
    <w:link w:val="FootnoteText"/>
    <w:uiPriority w:val="99"/>
    <w:rsid w:val="00894CBB"/>
    <w:rPr>
      <w:sz w:val="20"/>
      <w:szCs w:val="20"/>
    </w:rPr>
  </w:style>
  <w:style w:type="character" w:styleId="FootnoteReference">
    <w:name w:val="footnote reference"/>
    <w:basedOn w:val="DefaultParagraphFont"/>
    <w:uiPriority w:val="99"/>
    <w:semiHidden/>
    <w:unhideWhenUsed/>
    <w:rsid w:val="00894CBB"/>
    <w:rPr>
      <w:vertAlign w:val="superscript"/>
    </w:rPr>
  </w:style>
  <w:style w:type="character" w:styleId="Hyperlink">
    <w:name w:val="Hyperlink"/>
    <w:basedOn w:val="DefaultParagraphFont"/>
    <w:uiPriority w:val="99"/>
    <w:unhideWhenUsed/>
    <w:rsid w:val="00894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j.tribe@liverpool.ac.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B8BBDE-AD94-490F-A32A-1054B8674373}" type="doc">
      <dgm:prSet loTypeId="urn:microsoft.com/office/officeart/2005/8/layout/radial3" loCatId="relationship" qsTypeId="urn:microsoft.com/office/officeart/2005/8/quickstyle/simple1" qsCatId="simple" csTypeId="urn:microsoft.com/office/officeart/2005/8/colors/accent1_2" csCatId="accent1" phldr="1"/>
      <dgm:spPr/>
      <dgm:t>
        <a:bodyPr/>
        <a:lstStyle/>
        <a:p>
          <a:endParaRPr lang="en-GB"/>
        </a:p>
      </dgm:t>
    </dgm:pt>
    <dgm:pt modelId="{5034D39F-83BF-4386-BD3A-293028D708C0}">
      <dgm:prSet phldrT="[Text]"/>
      <dgm:spPr/>
      <dgm:t>
        <a:bodyPr/>
        <a:lstStyle/>
        <a:p>
          <a:pPr algn="ctr"/>
          <a:r>
            <a:rPr lang="en-GB" i="1" dirty="0"/>
            <a:t>Aron Salomon &amp; Co Ltd</a:t>
          </a:r>
        </a:p>
      </dgm:t>
    </dgm:pt>
    <dgm:pt modelId="{A6DFDD13-F632-45CF-A447-2662A06C2C5A}" type="parTrans" cxnId="{C6E4EC4A-346F-4B2F-9D9C-263909C0D10B}">
      <dgm:prSet/>
      <dgm:spPr/>
      <dgm:t>
        <a:bodyPr/>
        <a:lstStyle/>
        <a:p>
          <a:pPr algn="ctr"/>
          <a:endParaRPr lang="en-GB"/>
        </a:p>
      </dgm:t>
    </dgm:pt>
    <dgm:pt modelId="{B48DB442-9A59-4497-BBC0-1C745509687D}" type="sibTrans" cxnId="{C6E4EC4A-346F-4B2F-9D9C-263909C0D10B}">
      <dgm:prSet/>
      <dgm:spPr/>
      <dgm:t>
        <a:bodyPr/>
        <a:lstStyle/>
        <a:p>
          <a:pPr algn="ctr"/>
          <a:endParaRPr lang="en-GB"/>
        </a:p>
      </dgm:t>
    </dgm:pt>
    <dgm:pt modelId="{F230774B-F23E-4A2C-A291-EA44A89F260C}">
      <dgm:prSet phldrT="[Text]"/>
      <dgm:spPr/>
      <dgm:t>
        <a:bodyPr/>
        <a:lstStyle/>
        <a:p>
          <a:pPr algn="ctr"/>
          <a:r>
            <a:rPr lang="en-GB" dirty="0"/>
            <a:t>Directors </a:t>
          </a:r>
        </a:p>
      </dgm:t>
    </dgm:pt>
    <dgm:pt modelId="{D9BA26F2-9269-423F-9BC5-0005FCB13AAB}" type="parTrans" cxnId="{5A9B8601-1B70-40E0-A0EA-0EA053536245}">
      <dgm:prSet/>
      <dgm:spPr/>
      <dgm:t>
        <a:bodyPr/>
        <a:lstStyle/>
        <a:p>
          <a:pPr algn="ctr"/>
          <a:endParaRPr lang="en-GB"/>
        </a:p>
      </dgm:t>
    </dgm:pt>
    <dgm:pt modelId="{EA85EE27-7DF7-480A-A67B-022CB64FD6FE}" type="sibTrans" cxnId="{5A9B8601-1B70-40E0-A0EA-0EA053536245}">
      <dgm:prSet/>
      <dgm:spPr/>
      <dgm:t>
        <a:bodyPr/>
        <a:lstStyle/>
        <a:p>
          <a:pPr algn="ctr"/>
          <a:endParaRPr lang="en-GB"/>
        </a:p>
      </dgm:t>
    </dgm:pt>
    <dgm:pt modelId="{3BBD1113-CC51-4C09-BAD4-8CC79FD49AD8}">
      <dgm:prSet phldrT="[Text]"/>
      <dgm:spPr/>
      <dgm:t>
        <a:bodyPr/>
        <a:lstStyle/>
        <a:p>
          <a:pPr algn="ctr"/>
          <a:r>
            <a:rPr lang="en-GB" b="1" u="sng" dirty="0">
              <a:solidFill>
                <a:srgbClr val="FF0000"/>
              </a:solidFill>
            </a:rPr>
            <a:t>Creditors</a:t>
          </a:r>
          <a:r>
            <a:rPr lang="en-GB" dirty="0"/>
            <a:t> </a:t>
          </a:r>
        </a:p>
      </dgm:t>
    </dgm:pt>
    <dgm:pt modelId="{041B5AE5-7BC1-4710-8817-7CDF1ABBE461}" type="parTrans" cxnId="{72BD18D4-127E-427E-9FC5-E49B681147D2}">
      <dgm:prSet/>
      <dgm:spPr/>
      <dgm:t>
        <a:bodyPr/>
        <a:lstStyle/>
        <a:p>
          <a:pPr algn="ctr"/>
          <a:endParaRPr lang="en-GB"/>
        </a:p>
      </dgm:t>
    </dgm:pt>
    <dgm:pt modelId="{64750FC3-455D-4C22-92A7-2E2F79F5EFC2}" type="sibTrans" cxnId="{72BD18D4-127E-427E-9FC5-E49B681147D2}">
      <dgm:prSet/>
      <dgm:spPr/>
      <dgm:t>
        <a:bodyPr/>
        <a:lstStyle/>
        <a:p>
          <a:pPr algn="ctr"/>
          <a:endParaRPr lang="en-GB"/>
        </a:p>
      </dgm:t>
    </dgm:pt>
    <dgm:pt modelId="{9C9392A9-8F30-49BC-83B6-CD4B130D1D20}">
      <dgm:prSet phldrT="[Text]"/>
      <dgm:spPr/>
      <dgm:t>
        <a:bodyPr/>
        <a:lstStyle/>
        <a:p>
          <a:pPr algn="ctr"/>
          <a:r>
            <a:rPr lang="en-GB" dirty="0"/>
            <a:t>Environment </a:t>
          </a:r>
        </a:p>
      </dgm:t>
    </dgm:pt>
    <dgm:pt modelId="{8BC29535-EB4E-4C1B-BB8C-FEFD950FF5A5}" type="parTrans" cxnId="{D425349F-559F-43FB-8B65-CBB1A3CB0E7F}">
      <dgm:prSet/>
      <dgm:spPr/>
      <dgm:t>
        <a:bodyPr/>
        <a:lstStyle/>
        <a:p>
          <a:pPr algn="ctr"/>
          <a:endParaRPr lang="en-GB"/>
        </a:p>
      </dgm:t>
    </dgm:pt>
    <dgm:pt modelId="{FA81848C-F5A6-453A-8402-F0A758858BD4}" type="sibTrans" cxnId="{D425349F-559F-43FB-8B65-CBB1A3CB0E7F}">
      <dgm:prSet/>
      <dgm:spPr/>
      <dgm:t>
        <a:bodyPr/>
        <a:lstStyle/>
        <a:p>
          <a:pPr algn="ctr"/>
          <a:endParaRPr lang="en-GB"/>
        </a:p>
      </dgm:t>
    </dgm:pt>
    <dgm:pt modelId="{FBBF0FBB-DEA8-4FC6-95E0-1EAC0BBC3820}">
      <dgm:prSet phldrT="[Text]"/>
      <dgm:spPr/>
      <dgm:t>
        <a:bodyPr/>
        <a:lstStyle/>
        <a:p>
          <a:pPr algn="ctr"/>
          <a:r>
            <a:rPr lang="en-GB" dirty="0"/>
            <a:t>Members </a:t>
          </a:r>
        </a:p>
      </dgm:t>
    </dgm:pt>
    <dgm:pt modelId="{7B894726-60EB-479F-840F-495B9F276078}" type="parTrans" cxnId="{9CFF60C1-F740-4C51-8A76-191019F9A71B}">
      <dgm:prSet/>
      <dgm:spPr/>
      <dgm:t>
        <a:bodyPr/>
        <a:lstStyle/>
        <a:p>
          <a:pPr algn="ctr"/>
          <a:endParaRPr lang="en-GB"/>
        </a:p>
      </dgm:t>
    </dgm:pt>
    <dgm:pt modelId="{1E995ED0-43E2-452B-949C-7BC99B32DBD5}" type="sibTrans" cxnId="{9CFF60C1-F740-4C51-8A76-191019F9A71B}">
      <dgm:prSet/>
      <dgm:spPr/>
      <dgm:t>
        <a:bodyPr/>
        <a:lstStyle/>
        <a:p>
          <a:pPr algn="ctr"/>
          <a:endParaRPr lang="en-GB"/>
        </a:p>
      </dgm:t>
    </dgm:pt>
    <dgm:pt modelId="{4CDE1C89-9ECA-464F-9454-D60EE31CB472}">
      <dgm:prSet phldrT="[Text]"/>
      <dgm:spPr/>
      <dgm:t>
        <a:bodyPr/>
        <a:lstStyle/>
        <a:p>
          <a:pPr algn="ctr"/>
          <a:r>
            <a:rPr lang="en-GB" b="1" u="sng" dirty="0">
              <a:solidFill>
                <a:schemeClr val="accent6">
                  <a:lumMod val="75000"/>
                </a:schemeClr>
              </a:solidFill>
            </a:rPr>
            <a:t>Community</a:t>
          </a:r>
        </a:p>
      </dgm:t>
    </dgm:pt>
    <dgm:pt modelId="{552C0D89-5077-42C8-B265-67594CE6E74F}" type="parTrans" cxnId="{C60E07BC-4BBC-4B45-AC29-CA418159D3F5}">
      <dgm:prSet/>
      <dgm:spPr/>
      <dgm:t>
        <a:bodyPr/>
        <a:lstStyle/>
        <a:p>
          <a:pPr algn="ctr"/>
          <a:endParaRPr lang="en-GB"/>
        </a:p>
      </dgm:t>
    </dgm:pt>
    <dgm:pt modelId="{6E60A72F-F911-4A1B-84AB-136E3C914F2E}" type="sibTrans" cxnId="{C60E07BC-4BBC-4B45-AC29-CA418159D3F5}">
      <dgm:prSet/>
      <dgm:spPr/>
      <dgm:t>
        <a:bodyPr/>
        <a:lstStyle/>
        <a:p>
          <a:pPr algn="ctr"/>
          <a:endParaRPr lang="en-GB"/>
        </a:p>
      </dgm:t>
    </dgm:pt>
    <dgm:pt modelId="{3DC86125-CAF3-440C-896B-BC2CC1797A9D}">
      <dgm:prSet phldrT="[Text]"/>
      <dgm:spPr/>
      <dgm:t>
        <a:bodyPr/>
        <a:lstStyle/>
        <a:p>
          <a:pPr algn="ctr"/>
          <a:r>
            <a:rPr lang="en-GB" b="1" u="sng" dirty="0">
              <a:solidFill>
                <a:schemeClr val="accent6">
                  <a:lumMod val="75000"/>
                </a:schemeClr>
              </a:solidFill>
            </a:rPr>
            <a:t>Suppliers</a:t>
          </a:r>
        </a:p>
      </dgm:t>
    </dgm:pt>
    <dgm:pt modelId="{CD56366E-58EA-4FD7-A172-5A9BE9C01A62}" type="parTrans" cxnId="{10ADB065-9443-42B1-B0F0-FF709628D449}">
      <dgm:prSet/>
      <dgm:spPr/>
      <dgm:t>
        <a:bodyPr/>
        <a:lstStyle/>
        <a:p>
          <a:pPr algn="ctr"/>
          <a:endParaRPr lang="en-GB"/>
        </a:p>
      </dgm:t>
    </dgm:pt>
    <dgm:pt modelId="{25D95ABF-DD87-4187-8F14-052422D93FD0}" type="sibTrans" cxnId="{10ADB065-9443-42B1-B0F0-FF709628D449}">
      <dgm:prSet/>
      <dgm:spPr/>
      <dgm:t>
        <a:bodyPr/>
        <a:lstStyle/>
        <a:p>
          <a:pPr algn="ctr"/>
          <a:endParaRPr lang="en-GB"/>
        </a:p>
      </dgm:t>
    </dgm:pt>
    <dgm:pt modelId="{6A876A6B-66BA-4DA8-A249-03728AF0EDDE}">
      <dgm:prSet phldrT="[Text]"/>
      <dgm:spPr/>
      <dgm:t>
        <a:bodyPr/>
        <a:lstStyle/>
        <a:p>
          <a:pPr algn="ctr"/>
          <a:r>
            <a:rPr lang="en-GB" b="1" u="sng" dirty="0">
              <a:solidFill>
                <a:schemeClr val="accent6">
                  <a:lumMod val="75000"/>
                </a:schemeClr>
              </a:solidFill>
            </a:rPr>
            <a:t>Employees</a:t>
          </a:r>
        </a:p>
      </dgm:t>
    </dgm:pt>
    <dgm:pt modelId="{AE84E8AB-D7E1-4A83-9E7E-CC6B3AC705D1}" type="parTrans" cxnId="{0AB78906-1CF6-4DD7-94DB-4146FE4A9401}">
      <dgm:prSet/>
      <dgm:spPr/>
      <dgm:t>
        <a:bodyPr/>
        <a:lstStyle/>
        <a:p>
          <a:pPr algn="ctr"/>
          <a:endParaRPr lang="en-GB"/>
        </a:p>
      </dgm:t>
    </dgm:pt>
    <dgm:pt modelId="{34464459-5C71-4D29-9F05-184FC8456E56}" type="sibTrans" cxnId="{0AB78906-1CF6-4DD7-94DB-4146FE4A9401}">
      <dgm:prSet/>
      <dgm:spPr/>
      <dgm:t>
        <a:bodyPr/>
        <a:lstStyle/>
        <a:p>
          <a:pPr algn="ctr"/>
          <a:endParaRPr lang="en-GB"/>
        </a:p>
      </dgm:t>
    </dgm:pt>
    <dgm:pt modelId="{8DF9F00F-78F1-4B84-900A-274E67A66907}">
      <dgm:prSet phldrT="[Text]"/>
      <dgm:spPr/>
      <dgm:t>
        <a:bodyPr/>
        <a:lstStyle/>
        <a:p>
          <a:pPr algn="ctr"/>
          <a:endParaRPr lang="en-GB" dirty="0"/>
        </a:p>
      </dgm:t>
    </dgm:pt>
    <dgm:pt modelId="{AF77FF35-5B59-4185-B419-109D6418127A}" type="parTrans" cxnId="{99784A61-50BB-42E7-91E8-DCA591DF058D}">
      <dgm:prSet/>
      <dgm:spPr/>
      <dgm:t>
        <a:bodyPr/>
        <a:lstStyle/>
        <a:p>
          <a:pPr algn="ctr"/>
          <a:endParaRPr lang="en-GB"/>
        </a:p>
      </dgm:t>
    </dgm:pt>
    <dgm:pt modelId="{8F27CFA3-2B9E-4820-B9FC-C903E19B3E4B}" type="sibTrans" cxnId="{99784A61-50BB-42E7-91E8-DCA591DF058D}">
      <dgm:prSet/>
      <dgm:spPr/>
      <dgm:t>
        <a:bodyPr/>
        <a:lstStyle/>
        <a:p>
          <a:pPr algn="ctr"/>
          <a:endParaRPr lang="en-GB"/>
        </a:p>
      </dgm:t>
    </dgm:pt>
    <dgm:pt modelId="{A003DBF0-4BC8-46A2-8151-F9BBD8AD96FB}">
      <dgm:prSet phldrT="[Text]"/>
      <dgm:spPr/>
      <dgm:t>
        <a:bodyPr/>
        <a:lstStyle/>
        <a:p>
          <a:pPr algn="ctr"/>
          <a:endParaRPr lang="en-GB" dirty="0"/>
        </a:p>
      </dgm:t>
    </dgm:pt>
    <dgm:pt modelId="{8C8B112B-10D9-4B32-9A27-32C437757F0C}" type="parTrans" cxnId="{78F1F749-9ADF-401F-BE09-35EEA26B2C98}">
      <dgm:prSet/>
      <dgm:spPr/>
      <dgm:t>
        <a:bodyPr/>
        <a:lstStyle/>
        <a:p>
          <a:pPr algn="ctr"/>
          <a:endParaRPr lang="en-GB"/>
        </a:p>
      </dgm:t>
    </dgm:pt>
    <dgm:pt modelId="{7973DA37-5057-4AD8-8F62-C3F2685DA897}" type="sibTrans" cxnId="{78F1F749-9ADF-401F-BE09-35EEA26B2C98}">
      <dgm:prSet/>
      <dgm:spPr/>
      <dgm:t>
        <a:bodyPr/>
        <a:lstStyle/>
        <a:p>
          <a:pPr algn="ctr"/>
          <a:endParaRPr lang="en-GB"/>
        </a:p>
      </dgm:t>
    </dgm:pt>
    <dgm:pt modelId="{9A2C058A-713B-4D37-A71A-8C23CCB42620}">
      <dgm:prSet phldrT="[Text]"/>
      <dgm:spPr/>
      <dgm:t>
        <a:bodyPr/>
        <a:lstStyle/>
        <a:p>
          <a:pPr algn="ctr"/>
          <a:r>
            <a:rPr lang="en-GB" dirty="0"/>
            <a:t>Customers</a:t>
          </a:r>
        </a:p>
      </dgm:t>
    </dgm:pt>
    <dgm:pt modelId="{9EE2B889-98AA-4A54-92A2-340A91199270}" type="parTrans" cxnId="{5A43BCBD-5E4B-447F-BBBE-DC578BC51913}">
      <dgm:prSet/>
      <dgm:spPr/>
      <dgm:t>
        <a:bodyPr/>
        <a:lstStyle/>
        <a:p>
          <a:pPr algn="ctr"/>
          <a:endParaRPr lang="en-GB"/>
        </a:p>
      </dgm:t>
    </dgm:pt>
    <dgm:pt modelId="{A3CF5DF9-B7DB-429E-8FEE-1EE9DC12F733}" type="sibTrans" cxnId="{5A43BCBD-5E4B-447F-BBBE-DC578BC51913}">
      <dgm:prSet/>
      <dgm:spPr/>
      <dgm:t>
        <a:bodyPr/>
        <a:lstStyle/>
        <a:p>
          <a:pPr algn="ctr"/>
          <a:endParaRPr lang="en-GB"/>
        </a:p>
      </dgm:t>
    </dgm:pt>
    <dgm:pt modelId="{14160958-757E-4D7F-BCB2-5576CD997358}">
      <dgm:prSet phldrT="[Text]"/>
      <dgm:spPr/>
      <dgm:t>
        <a:bodyPr/>
        <a:lstStyle/>
        <a:p>
          <a:pPr algn="ctr"/>
          <a:r>
            <a:rPr lang="en-GB" dirty="0"/>
            <a:t>Advisors </a:t>
          </a:r>
        </a:p>
      </dgm:t>
    </dgm:pt>
    <dgm:pt modelId="{B9EEFD02-51B3-4B64-AA1B-5CEB16F461E0}" type="parTrans" cxnId="{B07753BD-E309-4C6C-A6F5-BFCFF4018ED0}">
      <dgm:prSet/>
      <dgm:spPr/>
      <dgm:t>
        <a:bodyPr/>
        <a:lstStyle/>
        <a:p>
          <a:pPr algn="ctr"/>
          <a:endParaRPr lang="en-GB"/>
        </a:p>
      </dgm:t>
    </dgm:pt>
    <dgm:pt modelId="{3DED94C2-22EA-4707-8838-0AF567D90A1F}" type="sibTrans" cxnId="{B07753BD-E309-4C6C-A6F5-BFCFF4018ED0}">
      <dgm:prSet/>
      <dgm:spPr/>
      <dgm:t>
        <a:bodyPr/>
        <a:lstStyle/>
        <a:p>
          <a:pPr algn="ctr"/>
          <a:endParaRPr lang="en-GB"/>
        </a:p>
      </dgm:t>
    </dgm:pt>
    <dgm:pt modelId="{E1BC4E24-904C-4DD3-B89D-7A8281745F49}">
      <dgm:prSet phldrT="[Text]"/>
      <dgm:spPr/>
      <dgm:t>
        <a:bodyPr/>
        <a:lstStyle/>
        <a:p>
          <a:pPr algn="ctr"/>
          <a:r>
            <a:rPr lang="en-GB" dirty="0"/>
            <a:t>Posterity </a:t>
          </a:r>
        </a:p>
      </dgm:t>
    </dgm:pt>
    <dgm:pt modelId="{598DAB48-8332-43E9-8F3B-622329BED909}" type="parTrans" cxnId="{CA06DC8B-3C85-43AF-ACCC-A0D24D1E20D2}">
      <dgm:prSet/>
      <dgm:spPr/>
      <dgm:t>
        <a:bodyPr/>
        <a:lstStyle/>
        <a:p>
          <a:pPr algn="ctr"/>
          <a:endParaRPr lang="en-GB"/>
        </a:p>
      </dgm:t>
    </dgm:pt>
    <dgm:pt modelId="{11AD6183-B7C9-43CB-B467-342A86EAC28B}" type="sibTrans" cxnId="{CA06DC8B-3C85-43AF-ACCC-A0D24D1E20D2}">
      <dgm:prSet/>
      <dgm:spPr/>
      <dgm:t>
        <a:bodyPr/>
        <a:lstStyle/>
        <a:p>
          <a:pPr algn="ctr"/>
          <a:endParaRPr lang="en-GB"/>
        </a:p>
      </dgm:t>
    </dgm:pt>
    <dgm:pt modelId="{FCC4A73E-92AB-4067-B48B-9265C983A83E}" type="pres">
      <dgm:prSet presAssocID="{34B8BBDE-AD94-490F-A32A-1054B8674373}" presName="composite" presStyleCnt="0">
        <dgm:presLayoutVars>
          <dgm:chMax val="1"/>
          <dgm:dir/>
          <dgm:resizeHandles val="exact"/>
        </dgm:presLayoutVars>
      </dgm:prSet>
      <dgm:spPr/>
    </dgm:pt>
    <dgm:pt modelId="{A8A0E27D-5A81-4A97-B756-A534B3D519BA}" type="pres">
      <dgm:prSet presAssocID="{34B8BBDE-AD94-490F-A32A-1054B8674373}" presName="radial" presStyleCnt="0">
        <dgm:presLayoutVars>
          <dgm:animLvl val="ctr"/>
        </dgm:presLayoutVars>
      </dgm:prSet>
      <dgm:spPr/>
    </dgm:pt>
    <dgm:pt modelId="{11170A50-5D14-4651-8C1A-388770826991}" type="pres">
      <dgm:prSet presAssocID="{5034D39F-83BF-4386-BD3A-293028D708C0}" presName="centerShape" presStyleLbl="vennNode1" presStyleIdx="0" presStyleCnt="11"/>
      <dgm:spPr/>
    </dgm:pt>
    <dgm:pt modelId="{31A73A8B-B758-4FB5-A3CE-5F4E9B00F4AA}" type="pres">
      <dgm:prSet presAssocID="{F230774B-F23E-4A2C-A291-EA44A89F260C}" presName="node" presStyleLbl="vennNode1" presStyleIdx="1" presStyleCnt="11">
        <dgm:presLayoutVars>
          <dgm:bulletEnabled val="1"/>
        </dgm:presLayoutVars>
      </dgm:prSet>
      <dgm:spPr/>
    </dgm:pt>
    <dgm:pt modelId="{69951A04-ACCA-41EE-ADAB-D69DEF4EC644}" type="pres">
      <dgm:prSet presAssocID="{3BBD1113-CC51-4C09-BAD4-8CC79FD49AD8}" presName="node" presStyleLbl="vennNode1" presStyleIdx="2" presStyleCnt="11">
        <dgm:presLayoutVars>
          <dgm:bulletEnabled val="1"/>
        </dgm:presLayoutVars>
      </dgm:prSet>
      <dgm:spPr/>
    </dgm:pt>
    <dgm:pt modelId="{0634A6A9-DE48-4073-9E24-D3C9A344D9F8}" type="pres">
      <dgm:prSet presAssocID="{9C9392A9-8F30-49BC-83B6-CD4B130D1D20}" presName="node" presStyleLbl="vennNode1" presStyleIdx="3" presStyleCnt="11">
        <dgm:presLayoutVars>
          <dgm:bulletEnabled val="1"/>
        </dgm:presLayoutVars>
      </dgm:prSet>
      <dgm:spPr/>
    </dgm:pt>
    <dgm:pt modelId="{F3FA39A4-873D-4600-AF03-B66547E45F27}" type="pres">
      <dgm:prSet presAssocID="{FBBF0FBB-DEA8-4FC6-95E0-1EAC0BBC3820}" presName="node" presStyleLbl="vennNode1" presStyleIdx="4" presStyleCnt="11" custRadScaleRad="103223" custRadScaleInc="-1325">
        <dgm:presLayoutVars>
          <dgm:bulletEnabled val="1"/>
        </dgm:presLayoutVars>
      </dgm:prSet>
      <dgm:spPr/>
    </dgm:pt>
    <dgm:pt modelId="{1EE0726C-3E56-4741-9074-F6E44EE8FAFA}" type="pres">
      <dgm:prSet presAssocID="{4CDE1C89-9ECA-464F-9454-D60EE31CB472}" presName="node" presStyleLbl="vennNode1" presStyleIdx="5" presStyleCnt="11">
        <dgm:presLayoutVars>
          <dgm:bulletEnabled val="1"/>
        </dgm:presLayoutVars>
      </dgm:prSet>
      <dgm:spPr/>
    </dgm:pt>
    <dgm:pt modelId="{358D0927-2DDB-4D61-80CB-9855DD8DC96B}" type="pres">
      <dgm:prSet presAssocID="{3DC86125-CAF3-440C-896B-BC2CC1797A9D}" presName="node" presStyleLbl="vennNode1" presStyleIdx="6" presStyleCnt="11">
        <dgm:presLayoutVars>
          <dgm:bulletEnabled val="1"/>
        </dgm:presLayoutVars>
      </dgm:prSet>
      <dgm:spPr/>
    </dgm:pt>
    <dgm:pt modelId="{3F497835-02BE-4E44-9889-35C3E8EFA56D}" type="pres">
      <dgm:prSet presAssocID="{6A876A6B-66BA-4DA8-A249-03728AF0EDDE}" presName="node" presStyleLbl="vennNode1" presStyleIdx="7" presStyleCnt="11">
        <dgm:presLayoutVars>
          <dgm:bulletEnabled val="1"/>
        </dgm:presLayoutVars>
      </dgm:prSet>
      <dgm:spPr/>
    </dgm:pt>
    <dgm:pt modelId="{8803DFF6-3572-4715-ACF8-166DB19AF164}" type="pres">
      <dgm:prSet presAssocID="{9A2C058A-713B-4D37-A71A-8C23CCB42620}" presName="node" presStyleLbl="vennNode1" presStyleIdx="8" presStyleCnt="11">
        <dgm:presLayoutVars>
          <dgm:bulletEnabled val="1"/>
        </dgm:presLayoutVars>
      </dgm:prSet>
      <dgm:spPr/>
    </dgm:pt>
    <dgm:pt modelId="{3331A3F5-3B23-4057-81FD-A20B0FDB36BF}" type="pres">
      <dgm:prSet presAssocID="{14160958-757E-4D7F-BCB2-5576CD997358}" presName="node" presStyleLbl="vennNode1" presStyleIdx="9" presStyleCnt="11">
        <dgm:presLayoutVars>
          <dgm:bulletEnabled val="1"/>
        </dgm:presLayoutVars>
      </dgm:prSet>
      <dgm:spPr/>
    </dgm:pt>
    <dgm:pt modelId="{C310C8B4-F961-4FCD-80DF-FA38F0F1A029}" type="pres">
      <dgm:prSet presAssocID="{E1BC4E24-904C-4DD3-B89D-7A8281745F49}" presName="node" presStyleLbl="vennNode1" presStyleIdx="10" presStyleCnt="11">
        <dgm:presLayoutVars>
          <dgm:bulletEnabled val="1"/>
        </dgm:presLayoutVars>
      </dgm:prSet>
      <dgm:spPr/>
    </dgm:pt>
  </dgm:ptLst>
  <dgm:cxnLst>
    <dgm:cxn modelId="{5A9B8601-1B70-40E0-A0EA-0EA053536245}" srcId="{5034D39F-83BF-4386-BD3A-293028D708C0}" destId="{F230774B-F23E-4A2C-A291-EA44A89F260C}" srcOrd="0" destOrd="0" parTransId="{D9BA26F2-9269-423F-9BC5-0005FCB13AAB}" sibTransId="{EA85EE27-7DF7-480A-A67B-022CB64FD6FE}"/>
    <dgm:cxn modelId="{0AB78906-1CF6-4DD7-94DB-4146FE4A9401}" srcId="{5034D39F-83BF-4386-BD3A-293028D708C0}" destId="{6A876A6B-66BA-4DA8-A249-03728AF0EDDE}" srcOrd="6" destOrd="0" parTransId="{AE84E8AB-D7E1-4A83-9E7E-CC6B3AC705D1}" sibTransId="{34464459-5C71-4D29-9F05-184FC8456E56}"/>
    <dgm:cxn modelId="{2E2B9F0F-3607-40A8-9E86-1F6B07C918C0}" type="presOf" srcId="{3BBD1113-CC51-4C09-BAD4-8CC79FD49AD8}" destId="{69951A04-ACCA-41EE-ADAB-D69DEF4EC644}" srcOrd="0" destOrd="0" presId="urn:microsoft.com/office/officeart/2005/8/layout/radial3"/>
    <dgm:cxn modelId="{FCBB1733-86EA-46E5-A9CB-4346E005D72F}" type="presOf" srcId="{5034D39F-83BF-4386-BD3A-293028D708C0}" destId="{11170A50-5D14-4651-8C1A-388770826991}" srcOrd="0" destOrd="0" presId="urn:microsoft.com/office/officeart/2005/8/layout/radial3"/>
    <dgm:cxn modelId="{457C6C34-AEA7-4E95-9C45-87F7231016A7}" type="presOf" srcId="{4CDE1C89-9ECA-464F-9454-D60EE31CB472}" destId="{1EE0726C-3E56-4741-9074-F6E44EE8FAFA}" srcOrd="0" destOrd="0" presId="urn:microsoft.com/office/officeart/2005/8/layout/radial3"/>
    <dgm:cxn modelId="{78F1F749-9ADF-401F-BE09-35EEA26B2C98}" srcId="{34B8BBDE-AD94-490F-A32A-1054B8674373}" destId="{A003DBF0-4BC8-46A2-8151-F9BBD8AD96FB}" srcOrd="1" destOrd="0" parTransId="{8C8B112B-10D9-4B32-9A27-32C437757F0C}" sibTransId="{7973DA37-5057-4AD8-8F62-C3F2685DA897}"/>
    <dgm:cxn modelId="{C6E4EC4A-346F-4B2F-9D9C-263909C0D10B}" srcId="{34B8BBDE-AD94-490F-A32A-1054B8674373}" destId="{5034D39F-83BF-4386-BD3A-293028D708C0}" srcOrd="0" destOrd="0" parTransId="{A6DFDD13-F632-45CF-A447-2662A06C2C5A}" sibTransId="{B48DB442-9A59-4497-BBC0-1C745509687D}"/>
    <dgm:cxn modelId="{02D80159-EF19-4BD2-A366-8C961638BF2A}" type="presOf" srcId="{9A2C058A-713B-4D37-A71A-8C23CCB42620}" destId="{8803DFF6-3572-4715-ACF8-166DB19AF164}" srcOrd="0" destOrd="0" presId="urn:microsoft.com/office/officeart/2005/8/layout/radial3"/>
    <dgm:cxn modelId="{29DCDA5E-3E76-4CAB-BE14-C3708FD9C353}" type="presOf" srcId="{3DC86125-CAF3-440C-896B-BC2CC1797A9D}" destId="{358D0927-2DDB-4D61-80CB-9855DD8DC96B}" srcOrd="0" destOrd="0" presId="urn:microsoft.com/office/officeart/2005/8/layout/radial3"/>
    <dgm:cxn modelId="{99784A61-50BB-42E7-91E8-DCA591DF058D}" srcId="{A003DBF0-4BC8-46A2-8151-F9BBD8AD96FB}" destId="{8DF9F00F-78F1-4B84-900A-274E67A66907}" srcOrd="0" destOrd="0" parTransId="{AF77FF35-5B59-4185-B419-109D6418127A}" sibTransId="{8F27CFA3-2B9E-4820-B9FC-C903E19B3E4B}"/>
    <dgm:cxn modelId="{10ADB065-9443-42B1-B0F0-FF709628D449}" srcId="{5034D39F-83BF-4386-BD3A-293028D708C0}" destId="{3DC86125-CAF3-440C-896B-BC2CC1797A9D}" srcOrd="5" destOrd="0" parTransId="{CD56366E-58EA-4FD7-A172-5A9BE9C01A62}" sibTransId="{25D95ABF-DD87-4187-8F14-052422D93FD0}"/>
    <dgm:cxn modelId="{C9CF8D88-46F8-4FAD-8A38-9E52F32C3FBA}" type="presOf" srcId="{6A876A6B-66BA-4DA8-A249-03728AF0EDDE}" destId="{3F497835-02BE-4E44-9889-35C3E8EFA56D}" srcOrd="0" destOrd="0" presId="urn:microsoft.com/office/officeart/2005/8/layout/radial3"/>
    <dgm:cxn modelId="{FF2F868B-AA14-4EAE-AF96-C53849B9846A}" type="presOf" srcId="{14160958-757E-4D7F-BCB2-5576CD997358}" destId="{3331A3F5-3B23-4057-81FD-A20B0FDB36BF}" srcOrd="0" destOrd="0" presId="urn:microsoft.com/office/officeart/2005/8/layout/radial3"/>
    <dgm:cxn modelId="{CA06DC8B-3C85-43AF-ACCC-A0D24D1E20D2}" srcId="{5034D39F-83BF-4386-BD3A-293028D708C0}" destId="{E1BC4E24-904C-4DD3-B89D-7A8281745F49}" srcOrd="9" destOrd="0" parTransId="{598DAB48-8332-43E9-8F3B-622329BED909}" sibTransId="{11AD6183-B7C9-43CB-B467-342A86EAC28B}"/>
    <dgm:cxn modelId="{D425349F-559F-43FB-8B65-CBB1A3CB0E7F}" srcId="{5034D39F-83BF-4386-BD3A-293028D708C0}" destId="{9C9392A9-8F30-49BC-83B6-CD4B130D1D20}" srcOrd="2" destOrd="0" parTransId="{8BC29535-EB4E-4C1B-BB8C-FEFD950FF5A5}" sibTransId="{FA81848C-F5A6-453A-8402-F0A758858BD4}"/>
    <dgm:cxn modelId="{2B4845A0-9390-42D0-B5BF-18AA6168DBAF}" type="presOf" srcId="{34B8BBDE-AD94-490F-A32A-1054B8674373}" destId="{FCC4A73E-92AB-4067-B48B-9265C983A83E}" srcOrd="0" destOrd="0" presId="urn:microsoft.com/office/officeart/2005/8/layout/radial3"/>
    <dgm:cxn modelId="{AC187CA2-22B3-411F-8B38-DC1768F7EB45}" type="presOf" srcId="{9C9392A9-8F30-49BC-83B6-CD4B130D1D20}" destId="{0634A6A9-DE48-4073-9E24-D3C9A344D9F8}" srcOrd="0" destOrd="0" presId="urn:microsoft.com/office/officeart/2005/8/layout/radial3"/>
    <dgm:cxn modelId="{C60E07BC-4BBC-4B45-AC29-CA418159D3F5}" srcId="{5034D39F-83BF-4386-BD3A-293028D708C0}" destId="{4CDE1C89-9ECA-464F-9454-D60EE31CB472}" srcOrd="4" destOrd="0" parTransId="{552C0D89-5077-42C8-B265-67594CE6E74F}" sibTransId="{6E60A72F-F911-4A1B-84AB-136E3C914F2E}"/>
    <dgm:cxn modelId="{B07753BD-E309-4C6C-A6F5-BFCFF4018ED0}" srcId="{5034D39F-83BF-4386-BD3A-293028D708C0}" destId="{14160958-757E-4D7F-BCB2-5576CD997358}" srcOrd="8" destOrd="0" parTransId="{B9EEFD02-51B3-4B64-AA1B-5CEB16F461E0}" sibTransId="{3DED94C2-22EA-4707-8838-0AF567D90A1F}"/>
    <dgm:cxn modelId="{5A43BCBD-5E4B-447F-BBBE-DC578BC51913}" srcId="{5034D39F-83BF-4386-BD3A-293028D708C0}" destId="{9A2C058A-713B-4D37-A71A-8C23CCB42620}" srcOrd="7" destOrd="0" parTransId="{9EE2B889-98AA-4A54-92A2-340A91199270}" sibTransId="{A3CF5DF9-B7DB-429E-8FEE-1EE9DC12F733}"/>
    <dgm:cxn modelId="{9CFF60C1-F740-4C51-8A76-191019F9A71B}" srcId="{5034D39F-83BF-4386-BD3A-293028D708C0}" destId="{FBBF0FBB-DEA8-4FC6-95E0-1EAC0BBC3820}" srcOrd="3" destOrd="0" parTransId="{7B894726-60EB-479F-840F-495B9F276078}" sibTransId="{1E995ED0-43E2-452B-949C-7BC99B32DBD5}"/>
    <dgm:cxn modelId="{72BD18D4-127E-427E-9FC5-E49B681147D2}" srcId="{5034D39F-83BF-4386-BD3A-293028D708C0}" destId="{3BBD1113-CC51-4C09-BAD4-8CC79FD49AD8}" srcOrd="1" destOrd="0" parTransId="{041B5AE5-7BC1-4710-8817-7CDF1ABBE461}" sibTransId="{64750FC3-455D-4C22-92A7-2E2F79F5EFC2}"/>
    <dgm:cxn modelId="{C02AA1E4-EFDC-476B-A981-3806B6B8B31C}" type="presOf" srcId="{F230774B-F23E-4A2C-A291-EA44A89F260C}" destId="{31A73A8B-B758-4FB5-A3CE-5F4E9B00F4AA}" srcOrd="0" destOrd="0" presId="urn:microsoft.com/office/officeart/2005/8/layout/radial3"/>
    <dgm:cxn modelId="{42C7E6E6-0901-47D3-BF87-6266EEEC312E}" type="presOf" srcId="{FBBF0FBB-DEA8-4FC6-95E0-1EAC0BBC3820}" destId="{F3FA39A4-873D-4600-AF03-B66547E45F27}" srcOrd="0" destOrd="0" presId="urn:microsoft.com/office/officeart/2005/8/layout/radial3"/>
    <dgm:cxn modelId="{B288E0E7-B592-4357-A89C-332F0B0C483C}" type="presOf" srcId="{E1BC4E24-904C-4DD3-B89D-7A8281745F49}" destId="{C310C8B4-F961-4FCD-80DF-FA38F0F1A029}" srcOrd="0" destOrd="0" presId="urn:microsoft.com/office/officeart/2005/8/layout/radial3"/>
    <dgm:cxn modelId="{D7776C47-C7D1-4869-9ED2-B066E51A7883}" type="presParOf" srcId="{FCC4A73E-92AB-4067-B48B-9265C983A83E}" destId="{A8A0E27D-5A81-4A97-B756-A534B3D519BA}" srcOrd="0" destOrd="0" presId="urn:microsoft.com/office/officeart/2005/8/layout/radial3"/>
    <dgm:cxn modelId="{FA0DB19C-3141-4C0C-8F84-5F4F0C436C49}" type="presParOf" srcId="{A8A0E27D-5A81-4A97-B756-A534B3D519BA}" destId="{11170A50-5D14-4651-8C1A-388770826991}" srcOrd="0" destOrd="0" presId="urn:microsoft.com/office/officeart/2005/8/layout/radial3"/>
    <dgm:cxn modelId="{156DB3E7-CE8F-43CB-A919-CC79BC47F1B6}" type="presParOf" srcId="{A8A0E27D-5A81-4A97-B756-A534B3D519BA}" destId="{31A73A8B-B758-4FB5-A3CE-5F4E9B00F4AA}" srcOrd="1" destOrd="0" presId="urn:microsoft.com/office/officeart/2005/8/layout/radial3"/>
    <dgm:cxn modelId="{A2B0E150-6120-46A0-A9AC-DD8681C3D7E0}" type="presParOf" srcId="{A8A0E27D-5A81-4A97-B756-A534B3D519BA}" destId="{69951A04-ACCA-41EE-ADAB-D69DEF4EC644}" srcOrd="2" destOrd="0" presId="urn:microsoft.com/office/officeart/2005/8/layout/radial3"/>
    <dgm:cxn modelId="{12BED38A-AB4A-4C32-A4F6-6EC3FF7D12EC}" type="presParOf" srcId="{A8A0E27D-5A81-4A97-B756-A534B3D519BA}" destId="{0634A6A9-DE48-4073-9E24-D3C9A344D9F8}" srcOrd="3" destOrd="0" presId="urn:microsoft.com/office/officeart/2005/8/layout/radial3"/>
    <dgm:cxn modelId="{464C200F-53A4-44EF-A3F0-317FC5507369}" type="presParOf" srcId="{A8A0E27D-5A81-4A97-B756-A534B3D519BA}" destId="{F3FA39A4-873D-4600-AF03-B66547E45F27}" srcOrd="4" destOrd="0" presId="urn:microsoft.com/office/officeart/2005/8/layout/radial3"/>
    <dgm:cxn modelId="{5E7044DB-B4A0-4923-BA13-8864286FFA15}" type="presParOf" srcId="{A8A0E27D-5A81-4A97-B756-A534B3D519BA}" destId="{1EE0726C-3E56-4741-9074-F6E44EE8FAFA}" srcOrd="5" destOrd="0" presId="urn:microsoft.com/office/officeart/2005/8/layout/radial3"/>
    <dgm:cxn modelId="{43418DB5-C062-4D7F-8A33-6BA746475328}" type="presParOf" srcId="{A8A0E27D-5A81-4A97-B756-A534B3D519BA}" destId="{358D0927-2DDB-4D61-80CB-9855DD8DC96B}" srcOrd="6" destOrd="0" presId="urn:microsoft.com/office/officeart/2005/8/layout/radial3"/>
    <dgm:cxn modelId="{3F8C5E06-B3EB-42BC-BEDA-5FD95DA639DF}" type="presParOf" srcId="{A8A0E27D-5A81-4A97-B756-A534B3D519BA}" destId="{3F497835-02BE-4E44-9889-35C3E8EFA56D}" srcOrd="7" destOrd="0" presId="urn:microsoft.com/office/officeart/2005/8/layout/radial3"/>
    <dgm:cxn modelId="{9AEF583B-42E3-4D15-9354-62DD1C26FDD9}" type="presParOf" srcId="{A8A0E27D-5A81-4A97-B756-A534B3D519BA}" destId="{8803DFF6-3572-4715-ACF8-166DB19AF164}" srcOrd="8" destOrd="0" presId="urn:microsoft.com/office/officeart/2005/8/layout/radial3"/>
    <dgm:cxn modelId="{A73C700E-5754-4E1A-B9EB-9DA856EC180D}" type="presParOf" srcId="{A8A0E27D-5A81-4A97-B756-A534B3D519BA}" destId="{3331A3F5-3B23-4057-81FD-A20B0FDB36BF}" srcOrd="9" destOrd="0" presId="urn:microsoft.com/office/officeart/2005/8/layout/radial3"/>
    <dgm:cxn modelId="{CB7F991D-7F67-4FBD-BDA7-2860AA306511}" type="presParOf" srcId="{A8A0E27D-5A81-4A97-B756-A534B3D519BA}" destId="{C310C8B4-F961-4FCD-80DF-FA38F0F1A029}" srcOrd="10" destOrd="0" presId="urn:microsoft.com/office/officeart/2005/8/layout/radial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170A50-5D14-4651-8C1A-388770826991}">
      <dsp:nvSpPr>
        <dsp:cNvPr id="0" name=""/>
        <dsp:cNvSpPr/>
      </dsp:nvSpPr>
      <dsp:spPr>
        <a:xfrm>
          <a:off x="1276736" y="632846"/>
          <a:ext cx="1576566" cy="1576566"/>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en-GB" sz="2300" i="1" kern="1200" dirty="0"/>
            <a:t>Aron Salomon &amp; Co Ltd</a:t>
          </a:r>
        </a:p>
      </dsp:txBody>
      <dsp:txXfrm>
        <a:off x="1507619" y="863729"/>
        <a:ext cx="1114800" cy="1114800"/>
      </dsp:txXfrm>
    </dsp:sp>
    <dsp:sp modelId="{31A73A8B-B758-4FB5-A3CE-5F4E9B00F4AA}">
      <dsp:nvSpPr>
        <dsp:cNvPr id="0" name=""/>
        <dsp:cNvSpPr/>
      </dsp:nvSpPr>
      <dsp:spPr>
        <a:xfrm>
          <a:off x="1670878" y="281"/>
          <a:ext cx="788283" cy="78828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dirty="0"/>
            <a:t>Directors </a:t>
          </a:r>
        </a:p>
      </dsp:txBody>
      <dsp:txXfrm>
        <a:off x="1786319" y="115722"/>
        <a:ext cx="557401" cy="557401"/>
      </dsp:txXfrm>
    </dsp:sp>
    <dsp:sp modelId="{69951A04-ACCA-41EE-ADAB-D69DEF4EC644}">
      <dsp:nvSpPr>
        <dsp:cNvPr id="0" name=""/>
        <dsp:cNvSpPr/>
      </dsp:nvSpPr>
      <dsp:spPr>
        <a:xfrm>
          <a:off x="2274361" y="196365"/>
          <a:ext cx="788283" cy="78828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u="sng" kern="1200" dirty="0">
              <a:solidFill>
                <a:srgbClr val="FF0000"/>
              </a:solidFill>
            </a:rPr>
            <a:t>Creditors</a:t>
          </a:r>
          <a:r>
            <a:rPr lang="en-GB" sz="800" kern="1200" dirty="0"/>
            <a:t> </a:t>
          </a:r>
        </a:p>
      </dsp:txBody>
      <dsp:txXfrm>
        <a:off x="2389802" y="311806"/>
        <a:ext cx="557401" cy="557401"/>
      </dsp:txXfrm>
    </dsp:sp>
    <dsp:sp modelId="{0634A6A9-DE48-4073-9E24-D3C9A344D9F8}">
      <dsp:nvSpPr>
        <dsp:cNvPr id="0" name=""/>
        <dsp:cNvSpPr/>
      </dsp:nvSpPr>
      <dsp:spPr>
        <a:xfrm>
          <a:off x="2647334" y="709718"/>
          <a:ext cx="788283" cy="78828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dirty="0"/>
            <a:t>Environment </a:t>
          </a:r>
        </a:p>
      </dsp:txBody>
      <dsp:txXfrm>
        <a:off x="2762775" y="825159"/>
        <a:ext cx="557401" cy="557401"/>
      </dsp:txXfrm>
    </dsp:sp>
    <dsp:sp modelId="{F3FA39A4-873D-4600-AF03-B66547E45F27}">
      <dsp:nvSpPr>
        <dsp:cNvPr id="0" name=""/>
        <dsp:cNvSpPr/>
      </dsp:nvSpPr>
      <dsp:spPr>
        <a:xfrm>
          <a:off x="2681497" y="1346081"/>
          <a:ext cx="788283" cy="78828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dirty="0"/>
            <a:t>Members </a:t>
          </a:r>
        </a:p>
      </dsp:txBody>
      <dsp:txXfrm>
        <a:off x="2796938" y="1461522"/>
        <a:ext cx="557401" cy="557401"/>
      </dsp:txXfrm>
    </dsp:sp>
    <dsp:sp modelId="{1EE0726C-3E56-4741-9074-F6E44EE8FAFA}">
      <dsp:nvSpPr>
        <dsp:cNvPr id="0" name=""/>
        <dsp:cNvSpPr/>
      </dsp:nvSpPr>
      <dsp:spPr>
        <a:xfrm>
          <a:off x="2274361" y="1857611"/>
          <a:ext cx="788283" cy="78828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u="sng" kern="1200" dirty="0">
              <a:solidFill>
                <a:schemeClr val="accent6">
                  <a:lumMod val="75000"/>
                </a:schemeClr>
              </a:solidFill>
            </a:rPr>
            <a:t>Community</a:t>
          </a:r>
        </a:p>
      </dsp:txBody>
      <dsp:txXfrm>
        <a:off x="2389802" y="1973052"/>
        <a:ext cx="557401" cy="557401"/>
      </dsp:txXfrm>
    </dsp:sp>
    <dsp:sp modelId="{358D0927-2DDB-4D61-80CB-9855DD8DC96B}">
      <dsp:nvSpPr>
        <dsp:cNvPr id="0" name=""/>
        <dsp:cNvSpPr/>
      </dsp:nvSpPr>
      <dsp:spPr>
        <a:xfrm>
          <a:off x="1670878" y="2053695"/>
          <a:ext cx="788283" cy="78828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u="sng" kern="1200" dirty="0">
              <a:solidFill>
                <a:schemeClr val="accent6">
                  <a:lumMod val="75000"/>
                </a:schemeClr>
              </a:solidFill>
            </a:rPr>
            <a:t>Suppliers</a:t>
          </a:r>
        </a:p>
      </dsp:txBody>
      <dsp:txXfrm>
        <a:off x="1786319" y="2169136"/>
        <a:ext cx="557401" cy="557401"/>
      </dsp:txXfrm>
    </dsp:sp>
    <dsp:sp modelId="{3F497835-02BE-4E44-9889-35C3E8EFA56D}">
      <dsp:nvSpPr>
        <dsp:cNvPr id="0" name=""/>
        <dsp:cNvSpPr/>
      </dsp:nvSpPr>
      <dsp:spPr>
        <a:xfrm>
          <a:off x="1067395" y="1857611"/>
          <a:ext cx="788283" cy="78828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u="sng" kern="1200" dirty="0">
              <a:solidFill>
                <a:schemeClr val="accent6">
                  <a:lumMod val="75000"/>
                </a:schemeClr>
              </a:solidFill>
            </a:rPr>
            <a:t>Employees</a:t>
          </a:r>
        </a:p>
      </dsp:txBody>
      <dsp:txXfrm>
        <a:off x="1182836" y="1973052"/>
        <a:ext cx="557401" cy="557401"/>
      </dsp:txXfrm>
    </dsp:sp>
    <dsp:sp modelId="{8803DFF6-3572-4715-ACF8-166DB19AF164}">
      <dsp:nvSpPr>
        <dsp:cNvPr id="0" name=""/>
        <dsp:cNvSpPr/>
      </dsp:nvSpPr>
      <dsp:spPr>
        <a:xfrm>
          <a:off x="694422" y="1344258"/>
          <a:ext cx="788283" cy="78828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dirty="0"/>
            <a:t>Customers</a:t>
          </a:r>
        </a:p>
      </dsp:txBody>
      <dsp:txXfrm>
        <a:off x="809863" y="1459699"/>
        <a:ext cx="557401" cy="557401"/>
      </dsp:txXfrm>
    </dsp:sp>
    <dsp:sp modelId="{3331A3F5-3B23-4057-81FD-A20B0FDB36BF}">
      <dsp:nvSpPr>
        <dsp:cNvPr id="0" name=""/>
        <dsp:cNvSpPr/>
      </dsp:nvSpPr>
      <dsp:spPr>
        <a:xfrm>
          <a:off x="694422" y="709718"/>
          <a:ext cx="788283" cy="78828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dirty="0"/>
            <a:t>Advisors </a:t>
          </a:r>
        </a:p>
      </dsp:txBody>
      <dsp:txXfrm>
        <a:off x="809863" y="825159"/>
        <a:ext cx="557401" cy="557401"/>
      </dsp:txXfrm>
    </dsp:sp>
    <dsp:sp modelId="{C310C8B4-F961-4FCD-80DF-FA38F0F1A029}">
      <dsp:nvSpPr>
        <dsp:cNvPr id="0" name=""/>
        <dsp:cNvSpPr/>
      </dsp:nvSpPr>
      <dsp:spPr>
        <a:xfrm>
          <a:off x="1067395" y="196365"/>
          <a:ext cx="788283" cy="78828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dirty="0"/>
            <a:t>Posterity </a:t>
          </a:r>
        </a:p>
      </dsp:txBody>
      <dsp:txXfrm>
        <a:off x="1182836" y="311806"/>
        <a:ext cx="557401" cy="557401"/>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753</TotalTime>
  <Pages>11</Pages>
  <Words>3592</Words>
  <Characters>20480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Tribe</dc:creator>
  <cp:keywords/>
  <dc:description/>
  <cp:lastModifiedBy>John Tribe</cp:lastModifiedBy>
  <cp:revision>341</cp:revision>
  <dcterms:created xsi:type="dcterms:W3CDTF">2022-10-06T07:55:00Z</dcterms:created>
  <dcterms:modified xsi:type="dcterms:W3CDTF">2022-10-22T13:52:00Z</dcterms:modified>
</cp:coreProperties>
</file>