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8C48C" w14:textId="134DBA27" w:rsidR="003921C2" w:rsidRPr="009969ED" w:rsidRDefault="003921C2" w:rsidP="00E62EE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969ED">
        <w:rPr>
          <w:rFonts w:ascii="Times New Roman" w:hAnsi="Times New Roman" w:cs="Times New Roman"/>
          <w:b/>
          <w:sz w:val="24"/>
          <w:szCs w:val="24"/>
          <w:lang w:val="en-US"/>
        </w:rPr>
        <w:t>Highlights in Sport, Leisure, Tourism, and Events: 2021/22</w:t>
      </w:r>
    </w:p>
    <w:p w14:paraId="02B48FCE" w14:textId="77777777" w:rsidR="003A4C36" w:rsidRPr="009969ED" w:rsidRDefault="003A4C36" w:rsidP="00E62EE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b/>
          <w:sz w:val="24"/>
          <w:szCs w:val="24"/>
          <w:lang w:val="en-US"/>
        </w:rPr>
        <w:t>Vassilios Ziakas, Andrew Adams, Alana Thomson &amp; Katie Schlenker</w:t>
      </w:r>
    </w:p>
    <w:p w14:paraId="753D7B68" w14:textId="77777777" w:rsidR="003F6850" w:rsidRPr="009969ED" w:rsidRDefault="003F68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0FBE51" w14:textId="3EE6730A" w:rsidR="00190591" w:rsidRPr="009969ED" w:rsidRDefault="00B762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This special edition </w:t>
      </w:r>
      <w:r w:rsidR="00190591" w:rsidRPr="009969ED">
        <w:rPr>
          <w:rFonts w:ascii="Times New Roman" w:hAnsi="Times New Roman" w:cs="Times New Roman"/>
          <w:sz w:val="24"/>
          <w:szCs w:val="24"/>
        </w:rPr>
        <w:t>put</w:t>
      </w:r>
      <w:r w:rsidRPr="009969E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190591" w:rsidRPr="009969ED">
        <w:rPr>
          <w:rFonts w:ascii="Times New Roman" w:hAnsi="Times New Roman" w:cs="Times New Roman"/>
          <w:sz w:val="24"/>
          <w:szCs w:val="24"/>
        </w:rPr>
        <w:t xml:space="preserve"> a spotligh</w:t>
      </w:r>
      <w:r w:rsidR="00463F6D" w:rsidRPr="009969ED">
        <w:rPr>
          <w:rFonts w:ascii="Times New Roman" w:hAnsi="Times New Roman" w:cs="Times New Roman"/>
          <w:sz w:val="24"/>
          <w:szCs w:val="24"/>
        </w:rPr>
        <w:t xml:space="preserve">t on </w:t>
      </w:r>
      <w:r w:rsidR="00463F6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diverse 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collection of papers that contribute </w:t>
      </w:r>
      <w:r w:rsidR="004E4C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>insights to</w:t>
      </w:r>
      <w:r w:rsidR="0022645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our existing knowledge base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 in 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sport, leisure, tourism and events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sectors</w:t>
      </w:r>
      <w:r w:rsidR="0022645D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of insights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highlight the</w:t>
      </w:r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value of, and need </w:t>
      </w:r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3F6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>interdisciplinary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>research that crosses boundaries among the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45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interconnected </w:t>
      </w:r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>sectors</w:t>
      </w:r>
      <w:r w:rsidR="008515DC">
        <w:rPr>
          <w:rFonts w:ascii="Times New Roman" w:hAnsi="Times New Roman" w:cs="Times New Roman"/>
          <w:sz w:val="24"/>
          <w:szCs w:val="24"/>
          <w:lang w:val="en-US"/>
        </w:rPr>
        <w:t xml:space="preserve"> (Ziakas, 2022a</w:t>
      </w:r>
      <w:r w:rsidR="00EF1C89">
        <w:rPr>
          <w:rFonts w:ascii="Times New Roman" w:hAnsi="Times New Roman" w:cs="Times New Roman"/>
          <w:sz w:val="24"/>
          <w:szCs w:val="24"/>
          <w:lang w:val="en-US"/>
        </w:rPr>
        <w:t>,b</w:t>
      </w:r>
      <w:r w:rsidR="00851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1C9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work presented also attests to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need for 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>conceptual innovation in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problems if we are to disrupt and </w:t>
      </w:r>
      <w:r w:rsidR="0044594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redefine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new ways of thinking and doing to keep pace with the contemporary dynamics our applied fields face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11462768"/>
          <w:citation/>
        </w:sdtPr>
        <w:sdtEndPr/>
        <w:sdtContent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Pr="009969ED">
            <w:rPr>
              <w:rFonts w:ascii="Times New Roman" w:hAnsi="Times New Roman" w:cs="Times New Roman"/>
              <w:sz w:val="24"/>
              <w:szCs w:val="24"/>
              <w:lang w:val="en-AU"/>
            </w:rPr>
            <w:instrText xml:space="preserve"> CITATION Bye21 \l 3081 </w:instrText>
          </w:r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13596B">
            <w:rPr>
              <w:rFonts w:ascii="Times New Roman" w:hAnsi="Times New Roman" w:cs="Times New Roman"/>
              <w:noProof/>
              <w:sz w:val="24"/>
              <w:szCs w:val="24"/>
              <w:lang w:val="en-AU"/>
            </w:rPr>
            <w:t>(Byers, Hayday, Mason, Lunga, &amp; Headley, 2021)</w:t>
          </w:r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443E31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81F6B6" w14:textId="63B96269" w:rsidR="00B7045A" w:rsidRPr="009969ED" w:rsidRDefault="008F6B18" w:rsidP="00B704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>The topic of physical activity and its connection with school sport and sport events was evident in two articles</w:t>
      </w:r>
      <w:r w:rsidR="0032685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This is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an important topic as we recalibrate post-COVID</w:t>
      </w:r>
      <w:r w:rsidR="00C77875" w:rsidRPr="009969ED">
        <w:rPr>
          <w:rFonts w:ascii="Times New Roman" w:hAnsi="Times New Roman" w:cs="Times New Roman"/>
          <w:sz w:val="24"/>
          <w:szCs w:val="24"/>
          <w:lang w:val="en-US"/>
        </w:rPr>
        <w:t>, and t</w:t>
      </w:r>
      <w:r w:rsidR="00D2423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7787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contributions 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are timely in offering alternative approaches 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attempt to disrupt the ways we approach physical activity in school sport and sport events</w:t>
      </w:r>
      <w:r w:rsidR="00687BEA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First, </w:t>
      </w:r>
      <w:hyperlink r:id="rId10" w:history="1">
        <w:r w:rsidR="00B7045A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Teare and Taks (2021)</w:t>
        </w:r>
      </w:hyperlink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focused on sport participation impacts from sport events. Th</w:t>
      </w:r>
      <w:r w:rsidR="003E0E5A" w:rsidRPr="009969ED">
        <w:rPr>
          <w:rFonts w:ascii="Times New Roman" w:hAnsi="Times New Roman" w:cs="Times New Roman"/>
          <w:sz w:val="24"/>
          <w:szCs w:val="24"/>
          <w:lang w:val="en-US"/>
        </w:rPr>
        <w:t>rough a review of literature, t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identified that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most studies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tended to focus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on mega sport events and adult populations, with the majority employing cross-sectional data and quantitative methods. They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argued for: 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 need for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longitudinal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a stronger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focus on youth populations, participant events, and smaller-sized events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. The authors argue that these measures can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(re)locate opportunities and means to derive further social value of sport events by creating an upswell in sport participation over the long term surrounding event hosting</w:t>
      </w:r>
      <w:r w:rsidR="00C77875" w:rsidRPr="009969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 in doing so can 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>advance the research agenda for sport participation outcomes from sport events</w:t>
      </w:r>
      <w:r w:rsidR="008F7660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04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BCEC71" w14:textId="5A0132D4" w:rsidR="00D90D1D" w:rsidRPr="009969ED" w:rsidRDefault="00B7045A" w:rsidP="00B704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Second, </w:t>
      </w:r>
      <w:hyperlink r:id="rId11" w:history="1">
        <w:r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Carlton</w:t>
        </w:r>
        <w:r w:rsidR="00D24235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et al</w:t>
        </w:r>
        <w:r w:rsidR="00E6587B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 xml:space="preserve"> (2021)</w:t>
        </w:r>
      </w:hyperlink>
      <w:r w:rsidR="00D2423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D45" w:rsidRPr="009969ED">
        <w:rPr>
          <w:rFonts w:ascii="Times New Roman" w:hAnsi="Times New Roman" w:cs="Times New Roman"/>
          <w:sz w:val="24"/>
          <w:szCs w:val="24"/>
          <w:lang w:val="en-US"/>
        </w:rPr>
        <w:t>examine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72D4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participant physical activity levels during the most popular high school sports in the United States. 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Organized sports 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 school settings 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provide children and adolescents with opportunities to achieve recommended amounts of moderate to vigorous physical activity (MVPA). 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>Carlton et al.’s (2021</w:t>
      </w:r>
      <w:r w:rsidR="004E4C5A" w:rsidRPr="009969E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4235" w:rsidRPr="009969ED">
        <w:rPr>
          <w:rFonts w:ascii="Times New Roman" w:hAnsi="Times New Roman" w:cs="Times New Roman"/>
          <w:sz w:val="24"/>
          <w:szCs w:val="24"/>
          <w:lang w:val="en-US"/>
        </w:rPr>
        <w:t>empirical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study identified specific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sports and 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approaches to session facilitation which contributed most effectively to 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>facilitat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physical activity. </w:t>
      </w:r>
      <w:r w:rsidR="00C77875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>ports that emphasized game simulation, fitness, and skill development drills had</w:t>
      </w:r>
      <w:r w:rsidR="00672D4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higher levels of MVPA.</w:t>
      </w:r>
      <w:r w:rsidR="0019059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D1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findings align with our theme of disruption by providing an important evidence base to inform policy and practice world-wide as it relates to school sport practice and increasing physical activity levels of young people. </w:t>
      </w:r>
    </w:p>
    <w:p w14:paraId="4F445EE3" w14:textId="12F97F46" w:rsidR="009902A1" w:rsidRPr="009969ED" w:rsidRDefault="0093682A" w:rsidP="004351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>The psycho-social impacts of sport and events was apparent in a further two articles which examined issues of soccer supporter violence, and the psychic income of youth residents concerning a football mega-event. While the psycho-social element</w:t>
      </w:r>
      <w:r w:rsidR="004E4C5A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are much-cited in sport and event texts</w:t>
      </w:r>
      <w:r w:rsidR="004E4C5A" w:rsidRPr="009969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 in the rhetoric promulgated by event proponents, these topics have been identified as under-researched and warranting further empirical studies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357308899"/>
          <w:citation/>
        </w:sdtPr>
        <w:sdtEndPr/>
        <w:sdtContent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Pr="009969ED">
            <w:rPr>
              <w:rFonts w:ascii="Times New Roman" w:hAnsi="Times New Roman" w:cs="Times New Roman"/>
              <w:sz w:val="24"/>
              <w:szCs w:val="24"/>
              <w:lang w:val="en-AU"/>
            </w:rPr>
            <w:instrText xml:space="preserve"> CITATION Tho20 \l 3081 </w:instrText>
          </w:r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13596B">
            <w:rPr>
              <w:rFonts w:ascii="Times New Roman" w:hAnsi="Times New Roman" w:cs="Times New Roman"/>
              <w:noProof/>
              <w:sz w:val="24"/>
              <w:szCs w:val="24"/>
              <w:lang w:val="en-AU"/>
            </w:rPr>
            <w:t>(Thomson, Kennelly, &amp; Toohey, 2020)</w:t>
          </w:r>
          <w:r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First, </w:t>
      </w:r>
      <w:hyperlink r:id="rId12" w:history="1">
        <w:r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 xml:space="preserve">Lindstrom </w:t>
        </w:r>
        <w:r w:rsidR="00F725E7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lastRenderedPageBreak/>
          <w:t>(2021)</w:t>
        </w:r>
      </w:hyperlink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18D" w:rsidRPr="009969ED">
        <w:rPr>
          <w:rFonts w:ascii="Times New Roman" w:hAnsi="Times New Roman" w:cs="Times New Roman"/>
          <w:sz w:val="24"/>
          <w:szCs w:val="24"/>
          <w:lang w:val="en-US"/>
        </w:rPr>
        <w:t>examined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 psychological underpinnings of soccer supporter vi</w:t>
      </w:r>
      <w:r w:rsidR="00257090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olence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 a study of Swedish soccer supporters. The study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>onesty-humility negatively predicted violent intentions, and team identification predicted violent intentions.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>While c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ollective narcissism </w:t>
      </w:r>
      <w:r w:rsidR="008125A8" w:rsidRPr="0013596B">
        <w:rPr>
          <w:rFonts w:ascii="Times New Roman" w:hAnsi="Times New Roman" w:cs="Times New Roman"/>
          <w:sz w:val="24"/>
          <w:szCs w:val="24"/>
          <w:lang w:val="en-US"/>
        </w:rPr>
        <w:t>was associated with violent intentions, 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hen both </w:t>
      </w:r>
      <w:r w:rsidR="00892D57" w:rsidRPr="009969ED">
        <w:rPr>
          <w:rFonts w:ascii="Times New Roman" w:hAnsi="Times New Roman" w:cs="Times New Roman"/>
          <w:sz w:val="24"/>
          <w:szCs w:val="24"/>
          <w:lang w:val="en-US"/>
        </w:rPr>
        <w:t>honesty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-humility and team identification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accounted for, collective narcissism did not predict violent intentions. 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Given the recent 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growth in attention we have seen on violence in leisure spaces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944926254"/>
          <w:citation/>
        </w:sdtPr>
        <w:sdtEndPr/>
        <w:sdtContent>
          <w:r w:rsidR="00F725E7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F725E7" w:rsidRPr="009969ED">
            <w:rPr>
              <w:rFonts w:ascii="Times New Roman" w:hAnsi="Times New Roman" w:cs="Times New Roman"/>
              <w:sz w:val="24"/>
              <w:szCs w:val="24"/>
              <w:lang w:val="en-AU"/>
            </w:rPr>
            <w:instrText xml:space="preserve"> CITATION Lis17 \l 3081  \m Zen23</w:instrText>
          </w:r>
          <w:r w:rsidR="00F725E7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F725E7" w:rsidRPr="0013596B">
            <w:rPr>
              <w:rFonts w:ascii="Times New Roman" w:hAnsi="Times New Roman" w:cs="Times New Roman"/>
              <w:noProof/>
              <w:sz w:val="24"/>
              <w:szCs w:val="24"/>
              <w:lang w:val="en-AU"/>
            </w:rPr>
            <w:t>(Liston, Mortimer, Hamilton, &amp; Cameron, 2017; Zentveld, 2023)</w:t>
          </w:r>
          <w:r w:rsidR="00F725E7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, and the increased expectation that leisure spaces will be safe and inclusive, Lindstrom’s timely study provides important 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>implications for the design of violence prevention interventions amongst soccer supporters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7787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serves to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disrupt the culture of violence that prevails in some aspects of sport</w:t>
      </w:r>
      <w:r w:rsidR="00061342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55B6AA" w14:textId="4EA2B69B" w:rsidR="0093682A" w:rsidRPr="009969ED" w:rsidRDefault="0043518D" w:rsidP="001905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>econd</w:t>
      </w: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article contributing to our understanding of psycho-social impacts is that by </w:t>
      </w:r>
      <w:hyperlink r:id="rId13" w:history="1">
        <w:r w:rsidR="00F725E7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Ishac and Swart (2022)</w:t>
        </w:r>
      </w:hyperlink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>youth residents' perceptions of hosting major international sport events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Using the 2019 IAAF Athletics World Championships in Doha, Qatar, they examine 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sychic income </w:t>
      </w:r>
      <w:r w:rsidR="00F725E7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046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perceived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>emotional and psychological benefit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residents receive from hosting an international sport event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They argue that for some nationals, perceived impact was higher, and the perceived impact was higher for females than males. Importantly, the authors identify that these events – whether attended in person or not – can still generate a positive psychic income. </w:t>
      </w:r>
      <w:r w:rsidR="00F4123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By evaluating the psychic income received by youth from different nationalities residing in Qatar, this study </w:t>
      </w:r>
      <w:r w:rsidR="003E0E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contributes to </w:t>
      </w:r>
      <w:r w:rsidR="00F4123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our theme of disruption by providing decision-makers and organizers with a better understanding </w:t>
      </w:r>
      <w:r w:rsidR="00890FF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differential </w:t>
      </w:r>
      <w:r w:rsidR="00F41239" w:rsidRPr="009969ED">
        <w:rPr>
          <w:rFonts w:ascii="Times New Roman" w:hAnsi="Times New Roman" w:cs="Times New Roman"/>
          <w:sz w:val="24"/>
          <w:szCs w:val="24"/>
          <w:lang w:val="en-US"/>
        </w:rPr>
        <w:t>outcomes generated from hosting major international sport events, and how the</w:t>
      </w:r>
      <w:r w:rsidR="003E0E5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se can be leveraged </w:t>
      </w:r>
      <w:r w:rsidR="00F41239" w:rsidRPr="009969ED">
        <w:rPr>
          <w:rFonts w:ascii="Times New Roman" w:hAnsi="Times New Roman" w:cs="Times New Roman"/>
          <w:sz w:val="24"/>
          <w:szCs w:val="24"/>
          <w:lang w:val="en-US"/>
        </w:rPr>
        <w:t>going forward.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 geographic and cultural make up of this study also presents a useful and timely challenge to dominant Western and Eurocentric research narratives concerning the social impact</w:t>
      </w:r>
      <w:r w:rsidR="00425B9B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 legacies of events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36086780"/>
          <w:citation/>
        </w:sdtPr>
        <w:sdtEndPr/>
        <w:sdtContent>
          <w:r w:rsidR="008125A8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8125A8" w:rsidRPr="009969ED">
            <w:rPr>
              <w:rFonts w:ascii="Times New Roman" w:hAnsi="Times New Roman" w:cs="Times New Roman"/>
              <w:sz w:val="24"/>
              <w:szCs w:val="24"/>
              <w:lang w:val="en-AU"/>
            </w:rPr>
            <w:instrText xml:space="preserve"> CITATION Tho20 \l 3081 </w:instrText>
          </w:r>
          <w:r w:rsidR="008125A8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8125A8" w:rsidRPr="009969ED">
            <w:rPr>
              <w:rFonts w:ascii="Times New Roman" w:hAnsi="Times New Roman" w:cs="Times New Roman"/>
              <w:noProof/>
              <w:sz w:val="24"/>
              <w:szCs w:val="24"/>
              <w:lang w:val="en-AU"/>
            </w:rPr>
            <w:t>(Thomson, Kennelly, &amp; Toohey, 2020)</w:t>
          </w:r>
          <w:r w:rsidR="008125A8" w:rsidRPr="009969ED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8125A8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3D7217" w14:textId="2BCB846C" w:rsidR="0029265E" w:rsidRPr="0013596B" w:rsidRDefault="006D63BE" w:rsidP="001905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next two papers </w:t>
      </w:r>
      <w:r w:rsidR="000E28FE">
        <w:rPr>
          <w:rFonts w:ascii="Times New Roman" w:hAnsi="Times New Roman" w:cs="Times New Roman"/>
          <w:sz w:val="24"/>
          <w:szCs w:val="24"/>
          <w:lang w:val="en-US"/>
        </w:rPr>
        <w:t xml:space="preserve">are 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changing perceptions. </w:t>
      </w:r>
      <w:r w:rsidRPr="006D63BE">
        <w:rPr>
          <w:rFonts w:ascii="Times New Roman" w:hAnsi="Times New Roman" w:cs="Times New Roman"/>
          <w:sz w:val="24"/>
          <w:szCs w:val="24"/>
          <w:lang w:val="en-US"/>
        </w:rPr>
        <w:t xml:space="preserve">The first paper </w:t>
      </w:r>
      <w:r w:rsidR="000E28F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hyperlink r:id="rId14" w:history="1">
        <w:r w:rsidR="000E28FE" w:rsidRPr="009969ED">
          <w:rPr>
            <w:rStyle w:val="-"/>
            <w:rFonts w:ascii="Times New Roman" w:hAnsi="Times New Roman" w:cs="Times New Roman"/>
            <w:sz w:val="24"/>
            <w:szCs w:val="24"/>
          </w:rPr>
          <w:t>Radmann, Hedenborg and Broms (2021)</w:t>
        </w:r>
      </w:hyperlink>
      <w:r w:rsidR="000E28FE" w:rsidRPr="009969ED">
        <w:rPr>
          <w:rFonts w:ascii="Times New Roman" w:hAnsi="Times New Roman" w:cs="Times New Roman"/>
          <w:sz w:val="24"/>
          <w:szCs w:val="24"/>
        </w:rPr>
        <w:t xml:space="preserve"> </w:t>
      </w:r>
      <w:r w:rsidRPr="006D63BE">
        <w:rPr>
          <w:rFonts w:ascii="Times New Roman" w:hAnsi="Times New Roman" w:cs="Times New Roman"/>
          <w:sz w:val="24"/>
          <w:szCs w:val="24"/>
          <w:lang w:val="en-US"/>
        </w:rPr>
        <w:t>focuses on how social media contributes to the development of people’s perceptions, perceived knowledge and concept of authenticity around their sport (equestrian sport</w:t>
      </w:r>
      <w:r w:rsidRPr="000E28F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28FE" w:rsidRPr="000E28FE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 They</w:t>
      </w:r>
      <w:r w:rsidR="00852D86" w:rsidRPr="000E28FE">
        <w:rPr>
          <w:rFonts w:ascii="Times New Roman" w:hAnsi="Times New Roman" w:cs="Times New Roman"/>
          <w:sz w:val="24"/>
          <w:szCs w:val="24"/>
        </w:rPr>
        <w:t xml:space="preserve">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>present the results of an empirical study</w:t>
      </w:r>
      <w:r w:rsidR="00CF72C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2C6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exploring how social media influencers within equestrian sport communicate with their followers. The research examined the </w:t>
      </w:r>
      <w:r w:rsidR="00CF72C6" w:rsidRPr="009969ED">
        <w:rPr>
          <w:rFonts w:ascii="Times New Roman" w:hAnsi="Times New Roman" w:cs="Times New Roman"/>
          <w:sz w:val="24"/>
          <w:szCs w:val="24"/>
          <w:lang w:val="en-US"/>
        </w:rPr>
        <w:t>social media accounts</w:t>
      </w:r>
      <w:r w:rsidR="00CF72C6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CF72C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six biggest equestrian influencers in Sweden and Norway </w:t>
      </w:r>
      <w:r w:rsidR="00CF72C6" w:rsidRPr="0013596B">
        <w:rPr>
          <w:rFonts w:ascii="Times New Roman" w:hAnsi="Times New Roman" w:cs="Times New Roman"/>
          <w:sz w:val="24"/>
          <w:szCs w:val="24"/>
          <w:lang w:val="en-US"/>
        </w:rPr>
        <w:t>in order to discover how ideas and perceived knowledge are formed and transferred in the sport.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171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Findings indicate that the equestrian influencers build trust and intimacy and construct authenticity in relation to their sport.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C6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relationship between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influencers </w:t>
      </w:r>
      <w:r w:rsidR="00934C6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CE8" w:rsidRPr="009969ED">
        <w:rPr>
          <w:rFonts w:ascii="Times New Roman" w:hAnsi="Times New Roman" w:cs="Times New Roman"/>
          <w:sz w:val="24"/>
          <w:szCs w:val="24"/>
          <w:lang w:val="en-US"/>
        </w:rPr>
        <w:t>followers centers on a shared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love of horses </w:t>
      </w:r>
      <w:r w:rsidR="00006CE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006CE8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 intimacy needed as a base for other messages (perceived knowledge and advertisement).</w:t>
      </w:r>
      <w:r w:rsidR="0029265E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Perceived as experts, i</w:t>
      </w:r>
      <w:r w:rsidR="0029265E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nfluencers are likely to impact followers' perception of the human-animal relationship as well as their consuming behavior, and together with their followers, 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29265E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 shape and determine what is considered as an authentic stable culture.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17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Little </w:t>
      </w:r>
      <w:r w:rsidR="00440171" w:rsidRPr="009969E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research has been done on social media and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4017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questrianism, and thus this research </w:t>
      </w:r>
      <w:r w:rsidR="00440171" w:rsidRPr="0013596B">
        <w:rPr>
          <w:rFonts w:ascii="Times New Roman" w:hAnsi="Times New Roman" w:cs="Times New Roman"/>
          <w:sz w:val="24"/>
          <w:szCs w:val="24"/>
          <w:lang w:val="en-US"/>
        </w:rPr>
        <w:t>contributes to the larger body of work on social media and sport.</w:t>
      </w:r>
      <w:r w:rsidR="0044017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171" w:rsidRPr="0013596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23637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D86" w:rsidRPr="0013596B">
        <w:rPr>
          <w:rFonts w:ascii="Times New Roman" w:hAnsi="Times New Roman" w:cs="Times New Roman"/>
          <w:sz w:val="24"/>
          <w:szCs w:val="24"/>
          <w:lang w:val="en-US"/>
        </w:rPr>
        <w:t xml:space="preserve">contributes to new ways of thinking, interpreting, and understanding </w:t>
      </w:r>
      <w:r w:rsidR="00440171" w:rsidRPr="0013596B">
        <w:rPr>
          <w:rFonts w:ascii="Times New Roman" w:hAnsi="Times New Roman" w:cs="Times New Roman"/>
          <w:sz w:val="24"/>
          <w:szCs w:val="24"/>
          <w:lang w:val="en-US"/>
        </w:rPr>
        <w:t>influencer-follower dynamics, perceived authenticity and the impact on consumer behavior in the sport landscape.</w:t>
      </w:r>
    </w:p>
    <w:p w14:paraId="3D5CED68" w14:textId="0EBDB969" w:rsidR="006D78C4" w:rsidRPr="009969ED" w:rsidRDefault="000E28FE" w:rsidP="00A65F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E28FE">
        <w:rPr>
          <w:rFonts w:ascii="Times New Roman" w:hAnsi="Times New Roman" w:cs="Times New Roman"/>
          <w:sz w:val="24"/>
          <w:szCs w:val="24"/>
        </w:rPr>
        <w:t xml:space="preserve">he second looks at how participating in outdoor sports increases awareness of sustainability and helps develop a caring culture for the environment </w:t>
      </w:r>
      <w:hyperlink r:id="rId15" w:history="1">
        <w:r w:rsidR="006B44C2" w:rsidRPr="009969ED">
          <w:rPr>
            <w:rStyle w:val="-"/>
            <w:rFonts w:ascii="Times New Roman" w:hAnsi="Times New Roman" w:cs="Times New Roman"/>
            <w:sz w:val="24"/>
            <w:szCs w:val="24"/>
          </w:rPr>
          <w:t>Trendafilova and Ziakas (2022)</w:t>
        </w:r>
      </w:hyperlink>
      <w:r w:rsidR="005D3783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provide a conceptual analysis of the sport-nature-culture nexus </w:t>
      </w:r>
      <w:r w:rsidR="005D3783" w:rsidRPr="009969E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focus on the social aspects and interactions central in shaping attitudes, behaviors and cultures about outdoor sports and the environment. </w:t>
      </w:r>
      <w:r w:rsidR="005D3783" w:rsidRPr="009969E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y offer a </w:t>
      </w:r>
      <w:r w:rsidR="005D3783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framework 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of a social sport ecology that </w:t>
      </w:r>
      <w:r w:rsidR="005D3783" w:rsidRPr="009969ED">
        <w:rPr>
          <w:rFonts w:ascii="Times New Roman" w:hAnsi="Times New Roman" w:cs="Times New Roman"/>
          <w:sz w:val="24"/>
          <w:szCs w:val="24"/>
          <w:lang w:val="en-US"/>
        </w:rPr>
        <w:t>synthesi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5D3783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management, nature sports, neo-tribalism, and non-representation theoretical perspectives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>. This framework i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>s predicated on the thesis that outdoor sports allow participants to feel more connected to nature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which may foster a desire to care for the natural world and contribute to environmentally sustainable practices. 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>Design of the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sports ecosphere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therefore requires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aligning </w:t>
      </w:r>
      <w:r w:rsidR="007D45C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>affective and cognitive dimensions of experience in ways that build caring cultures for the environment. This</w:t>
      </w:r>
      <w:r w:rsidR="009969ED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="006D78C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offers important insights for future practice, with respect to the design of interventions for the environmental management of outdoor recreational spaces. </w:t>
      </w:r>
    </w:p>
    <w:p w14:paraId="36A1B962" w14:textId="5471E3B5" w:rsidR="003F6850" w:rsidRPr="009969ED" w:rsidRDefault="009E4449" w:rsidP="009368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>A final t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wo articles are themed around the idea of </w:t>
      </w:r>
      <w:r w:rsidR="00185353" w:rsidRPr="009969ED">
        <w:rPr>
          <w:rFonts w:ascii="Times New Roman" w:hAnsi="Times New Roman" w:cs="Times New Roman"/>
          <w:sz w:val="24"/>
          <w:szCs w:val="24"/>
          <w:lang w:val="en-US"/>
        </w:rPr>
        <w:t>maximizing</w:t>
      </w:r>
      <w:r w:rsidR="00D00C6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the social </w:t>
      </w:r>
      <w:r w:rsidR="00D00C66" w:rsidRPr="009969ED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of events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>; one in relation to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advancing the portfolio approach of events,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>the other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in relation to 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>measuring and maximi</w:t>
      </w:r>
      <w:r w:rsidR="00A82CE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F5B4F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residents’ social value gained from </w:t>
      </w:r>
      <w:r w:rsidR="006951E6" w:rsidRPr="009969ED">
        <w:rPr>
          <w:rFonts w:ascii="Times New Roman" w:hAnsi="Times New Roman" w:cs="Times New Roman"/>
          <w:sz w:val="24"/>
          <w:szCs w:val="24"/>
        </w:rPr>
        <w:t>publicly-funded sport event</w:t>
      </w:r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>s.</w:t>
      </w:r>
      <w:r w:rsidR="003F6850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First, </w:t>
      </w:r>
      <w:hyperlink r:id="rId16" w:history="1">
        <w:r w:rsidR="003777E8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Ziakas (</w:t>
        </w:r>
        <w:r w:rsidR="009902A1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2022</w:t>
        </w:r>
        <w:r w:rsidR="003777E8" w:rsidRPr="009969E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)</w:t>
        </w:r>
      </w:hyperlink>
      <w:r w:rsidR="003777E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provides a</w:t>
      </w:r>
      <w:r w:rsidR="003921C2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64B" w:rsidRPr="009969ED">
        <w:rPr>
          <w:rFonts w:ascii="Times New Roman" w:hAnsi="Times New Roman" w:cs="Times New Roman"/>
          <w:sz w:val="24"/>
          <w:szCs w:val="24"/>
          <w:lang w:val="en-US"/>
        </w:rPr>
        <w:t>review paper focuse</w:t>
      </w:r>
      <w:r w:rsidR="00FF5804" w:rsidRPr="009969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6064B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on the emergent phenomenon of event portfolio</w:t>
      </w:r>
      <w:r w:rsidR="003777E8" w:rsidRPr="00996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064B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1483" w:rsidRPr="009969ED">
        <w:rPr>
          <w:rFonts w:ascii="Times New Roman" w:hAnsi="Times New Roman" w:cs="Times New Roman"/>
          <w:sz w:val="24"/>
          <w:szCs w:val="24"/>
          <w:lang w:val="en-US"/>
        </w:rPr>
        <w:t>He proposes</w:t>
      </w:r>
      <w:r w:rsidR="003777E8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483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 new conceptual lens named “morphosynthesis” to explain the multilevel integration processes that shape event portfolios and enable the interlinking of social networks and the community through </w:t>
      </w:r>
      <w:r w:rsidR="00C56B39" w:rsidRPr="009969E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11483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array of events. </w:t>
      </w:r>
      <w:r w:rsidR="00C56B39" w:rsidRPr="009969ED">
        <w:rPr>
          <w:rFonts w:ascii="Times New Roman" w:hAnsi="Times New Roman" w:cs="Times New Roman"/>
          <w:sz w:val="24"/>
          <w:szCs w:val="24"/>
          <w:lang w:val="en-US"/>
        </w:rPr>
        <w:t>Morphosynthesis offers a transdisciplinary perspective on the study of event portfolios that focuses on community engagement with event portfolios and their capacity to</w:t>
      </w:r>
      <w:r w:rsidR="00C56B39" w:rsidRPr="0099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6B3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contribute </w:t>
      </w:r>
      <w:r w:rsidR="000171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to the strengthening of </w:t>
      </w:r>
      <w:r w:rsidR="00C56B3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171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host community's social fabric. </w:t>
      </w:r>
      <w:r w:rsidR="00275935" w:rsidRPr="009969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75935" w:rsidRPr="009969ED">
        <w:rPr>
          <w:rFonts w:ascii="Times New Roman" w:hAnsi="Times New Roman" w:cs="Times New Roman"/>
          <w:sz w:val="24"/>
          <w:szCs w:val="24"/>
          <w:lang w:val="en-AU"/>
        </w:rPr>
        <w:t>his research contributes to our theme of disruption b</w:t>
      </w:r>
      <w:r w:rsidR="008E3AF8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y </w:t>
      </w:r>
      <w:r w:rsidR="00275935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highlighting the need to rethink traditional one-off event hosting approaches, and instead </w:t>
      </w:r>
      <w:r w:rsidR="00C56B39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through the lens of </w:t>
      </w:r>
      <w:r w:rsidR="00C56B39" w:rsidRPr="009969ED">
        <w:rPr>
          <w:rFonts w:ascii="Times New Roman" w:hAnsi="Times New Roman" w:cs="Times New Roman"/>
          <w:sz w:val="24"/>
          <w:szCs w:val="24"/>
          <w:lang w:val="en-US"/>
        </w:rPr>
        <w:t>morphosynthesis,</w:t>
      </w:r>
      <w:r w:rsidR="00C56B39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75935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consider </w:t>
      </w:r>
      <w:r w:rsidR="00C56B39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the contributions an event portfolio can make to the social fabric of a host community. </w:t>
      </w:r>
    </w:p>
    <w:p w14:paraId="2F0883DB" w14:textId="327E7721" w:rsidR="001E60DC" w:rsidRDefault="000F6BAE" w:rsidP="00DD52CE">
      <w:pP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US"/>
        </w:rPr>
      </w:pPr>
      <w:hyperlink r:id="rId17" w:history="1">
        <w:r w:rsidR="003E0E5A" w:rsidRPr="009969ED">
          <w:rPr>
            <w:rStyle w:val="-"/>
            <w:rFonts w:ascii="Times New Roman" w:hAnsi="Times New Roman" w:cs="Times New Roman"/>
            <w:sz w:val="24"/>
            <w:szCs w:val="24"/>
          </w:rPr>
          <w:t>Bakhsh</w:t>
        </w:r>
        <w:r w:rsidR="003E0E5A" w:rsidRPr="009969ED">
          <w:rPr>
            <w:rStyle w:val="-"/>
            <w:rFonts w:ascii="Times New Roman" w:hAnsi="Times New Roman" w:cs="Times New Roman"/>
            <w:sz w:val="24"/>
            <w:szCs w:val="24"/>
            <w:lang w:val="en-AU"/>
          </w:rPr>
          <w:t xml:space="preserve">, </w:t>
        </w:r>
        <w:r w:rsidR="003E0E5A" w:rsidRPr="009969ED">
          <w:rPr>
            <w:rStyle w:val="-"/>
            <w:rFonts w:ascii="Times New Roman" w:hAnsi="Times New Roman" w:cs="Times New Roman"/>
            <w:sz w:val="24"/>
            <w:szCs w:val="24"/>
          </w:rPr>
          <w:t>Taks and Parent (2022)</w:t>
        </w:r>
      </w:hyperlink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F6850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offer a further contribution to the theme of maximizing the social value of events. They </w:t>
      </w:r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investigated </w:t>
      </w:r>
      <w:r w:rsidR="006951E6" w:rsidRPr="009969ED">
        <w:rPr>
          <w:rFonts w:ascii="Times New Roman" w:hAnsi="Times New Roman" w:cs="Times New Roman"/>
          <w:sz w:val="24"/>
          <w:szCs w:val="24"/>
        </w:rPr>
        <w:t>monetary valuation methods used to analyze residents’ social value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from hosting a publicly-funded major sport event</w:t>
      </w:r>
      <w:r w:rsidR="003F6850" w:rsidRPr="009969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51E6" w:rsidRPr="009969ED">
        <w:rPr>
          <w:rFonts w:ascii="Times New Roman" w:hAnsi="Times New Roman" w:cs="Times New Roman"/>
          <w:sz w:val="24"/>
          <w:szCs w:val="24"/>
        </w:rPr>
        <w:t xml:space="preserve"> and tested the selected methods to</w:t>
      </w:r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951E6" w:rsidRPr="009969ED">
        <w:rPr>
          <w:rFonts w:ascii="Times New Roman" w:hAnsi="Times New Roman" w:cs="Times New Roman"/>
          <w:sz w:val="24"/>
          <w:szCs w:val="24"/>
        </w:rPr>
        <w:t xml:space="preserve">determine residents’ social value </w:t>
      </w:r>
      <w:r w:rsidR="00185353" w:rsidRPr="009969ED">
        <w:rPr>
          <w:rFonts w:ascii="Times New Roman" w:hAnsi="Times New Roman" w:cs="Times New Roman"/>
          <w:sz w:val="24"/>
          <w:szCs w:val="24"/>
          <w:lang w:val="en-AU"/>
        </w:rPr>
        <w:t>from</w:t>
      </w:r>
      <w:r w:rsidR="006951E6" w:rsidRPr="009969ED">
        <w:rPr>
          <w:rFonts w:ascii="Times New Roman" w:hAnsi="Times New Roman" w:cs="Times New Roman"/>
          <w:sz w:val="24"/>
          <w:szCs w:val="24"/>
        </w:rPr>
        <w:t xml:space="preserve"> hosting the 2010 Olympic Winter Games in Vancouver, Canad</w:t>
      </w:r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6951E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3682A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Findings highlighted the importance of using both the reverse contingent valuation method and opportunity cost approach given their complementary nature. This synergistic approach demonstrates the importance of </w:t>
      </w:r>
      <w:r w:rsidR="006951E6" w:rsidRPr="009969ED">
        <w:rPr>
          <w:rFonts w:ascii="Times New Roman" w:hAnsi="Times New Roman" w:cs="Times New Roman"/>
          <w:sz w:val="24"/>
          <w:szCs w:val="24"/>
        </w:rPr>
        <w:t>examining both residents’ micro- and macro-level perspectives.</w:t>
      </w:r>
      <w:r w:rsidR="006951E6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7538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This research has important implications for future event hosts by providing </w:t>
      </w:r>
      <w:r w:rsidR="00775386" w:rsidRPr="009969ED">
        <w:rPr>
          <w:rFonts w:ascii="Times New Roman" w:hAnsi="Times New Roman" w:cs="Times New Roman"/>
          <w:sz w:val="24"/>
          <w:szCs w:val="24"/>
          <w:lang w:val="en-AU"/>
        </w:rPr>
        <w:t xml:space="preserve">rigorous evaluation methods to provide a foundation for good governance </w:t>
      </w:r>
      <w:r w:rsidR="00775386" w:rsidRPr="009969ED">
        <w:rPr>
          <w:rFonts w:ascii="Times New Roman" w:hAnsi="Times New Roman" w:cs="Times New Roman"/>
          <w:sz w:val="24"/>
          <w:szCs w:val="24"/>
          <w:lang w:val="en-AU"/>
        </w:rPr>
        <w:lastRenderedPageBreak/>
        <w:t>and decision making to maximise the social value of events for host communities. T</w:t>
      </w:r>
      <w:r w:rsidR="00775386" w:rsidRPr="009969ED">
        <w:rPr>
          <w:rFonts w:ascii="Times New Roman" w:hAnsi="Times New Roman" w:cs="Times New Roman"/>
          <w:sz w:val="24"/>
          <w:szCs w:val="24"/>
          <w:lang w:val="en-US"/>
        </w:rPr>
        <w:t>his is important given the decreasing interest in bidding for and hosting mega-events (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Mair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 xml:space="preserve"> et al</w:t>
      </w:r>
      <w:r w:rsidR="001E60D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>.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 xml:space="preserve">, 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2023)</w:t>
      </w:r>
      <w:r w:rsidR="00775386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, coupled with host community concerns around corruption and lack of transparency leading to an increasing reluctance of </w:t>
      </w:r>
      <w:r w:rsidR="00775386" w:rsidRPr="009969ED">
        <w:rPr>
          <w:rFonts w:ascii="Times New Roman" w:hAnsi="Times New Roman" w:cs="Times New Roman"/>
          <w:sz w:val="24"/>
          <w:szCs w:val="24"/>
          <w:lang w:val="en-AU"/>
        </w:rPr>
        <w:t>communities with respect to event hosting (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Nunkoo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 xml:space="preserve"> et al</w:t>
      </w:r>
      <w:r w:rsidR="001E60DC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>.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  <w:lang w:val="en-AU"/>
        </w:rPr>
        <w:t xml:space="preserve">, </w:t>
      </w:r>
      <w:r w:rsidR="00775386" w:rsidRPr="009969E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2018).</w:t>
      </w:r>
    </w:p>
    <w:p w14:paraId="11AC99D0" w14:textId="74B72E77" w:rsidR="00842DEB" w:rsidRPr="009969ED" w:rsidRDefault="00F41239" w:rsidP="00DD52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We would like to thank the contributors to this special issue, who, in their own way helped our vision of </w:t>
      </w:r>
      <w:r w:rsidR="00DD52CE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 broad-ranging curation of articles which would </w:t>
      </w:r>
      <w:r w:rsidR="00A77AFE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bring to the fore </w:t>
      </w:r>
      <w:r w:rsidR="00A825BD" w:rsidRPr="009969ED">
        <w:rPr>
          <w:rFonts w:ascii="Times New Roman" w:hAnsi="Times New Roman" w:cs="Times New Roman"/>
          <w:sz w:val="24"/>
          <w:szCs w:val="24"/>
          <w:lang w:val="en-US"/>
        </w:rPr>
        <w:t>a range of perspectives, issues and themes across sport, leisure, tourism and events</w:t>
      </w:r>
      <w:r w:rsidR="00DD52CE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to illustrate various ways we can disrupt thinking and doing to arrive at better solutions into the future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9549C" w:rsidRPr="009969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75935" w:rsidRPr="009969ED">
        <w:rPr>
          <w:rFonts w:ascii="Times New Roman" w:hAnsi="Times New Roman" w:cs="Times New Roman"/>
          <w:sz w:val="24"/>
          <w:szCs w:val="24"/>
          <w:lang w:val="en-US"/>
        </w:rPr>
        <w:t>ogether, the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se articles </w:t>
      </w:r>
      <w:r w:rsidR="0059549C" w:rsidRPr="009969ED">
        <w:rPr>
          <w:rFonts w:ascii="Times New Roman" w:hAnsi="Times New Roman" w:cs="Times New Roman"/>
          <w:sz w:val="24"/>
          <w:szCs w:val="24"/>
          <w:lang w:val="en-US"/>
        </w:rPr>
        <w:t>highlight the social and well-being potential of sport, leisure, tourism and events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C5A84" w:rsidRPr="009969ED">
        <w:rPr>
          <w:rFonts w:ascii="Times New Roman" w:hAnsi="Times New Roman" w:cs="Times New Roman"/>
          <w:sz w:val="24"/>
          <w:szCs w:val="24"/>
          <w:lang w:val="en-US"/>
        </w:rPr>
        <w:t>testify</w:t>
      </w:r>
      <w:r w:rsidR="00275935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5A8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the resonance of </w:t>
      </w:r>
      <w:r w:rsidR="0059549C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interdisciplinarity </w:t>
      </w:r>
      <w:r w:rsidR="00DD52CE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and transdisciplinary approaches 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D1B79" w:rsidRPr="009969ED">
        <w:rPr>
          <w:rFonts w:ascii="Times New Roman" w:hAnsi="Times New Roman" w:cs="Times New Roman"/>
          <w:sz w:val="24"/>
          <w:szCs w:val="24"/>
          <w:lang w:val="en-US"/>
        </w:rPr>
        <w:t>lay the</w:t>
      </w:r>
      <w:r w:rsidR="00AC5A84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groundwork</w:t>
      </w:r>
      <w:r w:rsidR="006D1B79" w:rsidRPr="009969ED">
        <w:rPr>
          <w:rFonts w:ascii="Times New Roman" w:hAnsi="Times New Roman" w:cs="Times New Roman"/>
          <w:sz w:val="24"/>
          <w:szCs w:val="24"/>
          <w:lang w:val="en-US"/>
        </w:rPr>
        <w:t xml:space="preserve"> for further research </w:t>
      </w:r>
      <w:r w:rsidR="009902A1" w:rsidRPr="009969ED">
        <w:rPr>
          <w:rFonts w:ascii="Times New Roman" w:hAnsi="Times New Roman" w:cs="Times New Roman"/>
          <w:sz w:val="24"/>
          <w:szCs w:val="24"/>
          <w:lang w:val="en-US"/>
        </w:rPr>
        <w:t>in these fields</w:t>
      </w:r>
      <w:r w:rsidR="006D1B79" w:rsidRPr="009969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2A20A3" w14:textId="78D42306" w:rsidR="00DD52CE" w:rsidRPr="009969ED" w:rsidRDefault="00DD52CE" w:rsidP="00DD52CE">
      <w:pPr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l-GR"/>
        </w:rPr>
        <w:id w:val="1348129697"/>
        <w:docPartObj>
          <w:docPartGallery w:val="Bibliographies"/>
          <w:docPartUnique/>
        </w:docPartObj>
      </w:sdtPr>
      <w:sdtEndPr/>
      <w:sdtContent>
        <w:p w14:paraId="0ABFCB22" w14:textId="1E867B19" w:rsidR="00DD52CE" w:rsidRPr="009969ED" w:rsidRDefault="00DD52CE">
          <w:pPr>
            <w:pStyle w:val="1"/>
            <w:rPr>
              <w:rFonts w:ascii="Times New Roman" w:hAnsi="Times New Roman" w:cs="Times New Roman"/>
              <w:sz w:val="24"/>
              <w:szCs w:val="24"/>
            </w:rPr>
          </w:pPr>
          <w:r w:rsidRPr="009969ED">
            <w:rPr>
              <w:rFonts w:ascii="Times New Roman" w:hAnsi="Times New Roman" w:cs="Times New Roman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/>
          <w:sdtContent>
            <w:p w14:paraId="61155763" w14:textId="083BD402" w:rsidR="00934C6A" w:rsidRPr="00CA1CA1" w:rsidRDefault="00DD52CE" w:rsidP="00CA1CA1">
              <w:pPr>
                <w:pStyle w:val="a8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969ED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9969E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Byers, T., Hayday, E., Mason, F., Lunga, P., &amp; Headley, D. (2021). Innovation for Positive Sustainable Legacy From Mega Sports Events: Virtual Reality as a Tool for Social Inclusion Legacy for Paris 2024 Paralympic Games. </w:t>
              </w:r>
              <w:r w:rsidRPr="009969E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Frontiers in Sports and Active Living, 3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doi:10.3389/fspor.2021.625677</w:t>
              </w:r>
            </w:p>
            <w:p w14:paraId="02622670" w14:textId="0ACC779C" w:rsidR="00DD52CE" w:rsidRPr="009969ED" w:rsidRDefault="00DD52CE" w:rsidP="00DD52CE">
              <w:pPr>
                <w:pStyle w:val="a8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Liston, R., Mortimer, S., Hamilton, G., &amp; Cameron, R. (2017). </w:t>
              </w:r>
              <w:r w:rsidRPr="009969E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A team effort: Preventing violence against women through sport. Evidence Guide.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Melbourne, Australia: Report preapred for Our Watch by RMIT University.</w:t>
              </w:r>
            </w:p>
            <w:p w14:paraId="3DE44BF6" w14:textId="77777777" w:rsidR="00F649FC" w:rsidRPr="009969ED" w:rsidRDefault="00F649FC" w:rsidP="00F649FC">
              <w:pPr>
                <w:pStyle w:val="a8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Mair, Chien, P. M., Kelly, S. J., &amp; Derrington, S. (2023). Social impacts of mega-events: a systematic narrative review and research agenda. </w:t>
              </w:r>
              <w:r w:rsidRPr="009969ED"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en-US"/>
                </w:rPr>
                <w:t>Journal of Sustainable Tourism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 31(2), 538–560. https://doi.org/10.1080/09669582.2020.1870989</w:t>
              </w:r>
            </w:p>
            <w:p w14:paraId="28AAE743" w14:textId="0E4B95E7" w:rsidR="00F649FC" w:rsidRPr="009969ED" w:rsidRDefault="00F649FC" w:rsidP="00F649FC">
              <w:pPr>
                <w:pStyle w:val="a8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Nunkoo, Ribeiro, M. A., Sunnassee, V., &amp; Gursoy, D. (2018). Public trust in mega event planning institutions: The role of knowledge, transparency and corruption. </w:t>
              </w:r>
              <w:r w:rsidRPr="009969ED"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en-US"/>
                </w:rPr>
                <w:t>Tourism Management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 66, 155–166. https://doi.org/10.1016/j.tourman.2017.11.010</w:t>
              </w:r>
            </w:p>
            <w:p w14:paraId="27588D93" w14:textId="1ED17855" w:rsidR="00006CE8" w:rsidRPr="009969ED" w:rsidRDefault="00DD52CE" w:rsidP="00CA1CA1">
              <w:pPr>
                <w:pStyle w:val="a8"/>
                <w:ind w:left="720" w:hanging="720"/>
                <w:rPr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Thomson, A., Kennelly, M., &amp; Toohey, K. (2020). A systematic quantitative literature review of empirical research on large-scale sport events’ social legacies. </w:t>
              </w:r>
              <w:r w:rsidRPr="009969E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Leisure Studies, 39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(6), 859-876.</w:t>
              </w:r>
              <w:r w:rsidR="0013270B" w:rsidRPr="0013270B">
                <w:t xml:space="preserve"> </w:t>
              </w:r>
              <w:r w:rsidR="0013270B" w:rsidRPr="001327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https://doi.org/10.1080/02614367.2020.1800804</w:t>
              </w:r>
            </w:p>
            <w:p w14:paraId="44E035D1" w14:textId="6616D299" w:rsidR="0066198F" w:rsidRDefault="00DD52CE" w:rsidP="0066198F">
              <w:pPr>
                <w:pStyle w:val="a8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Zentveld, E. (2023). </w:t>
              </w:r>
              <w:r w:rsidRPr="009969E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Control, Abuse, Bullying and Family Violence in Tourism Industries.</w:t>
              </w:r>
              <w:r w:rsidRPr="009969ED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Channelview.doi:ISBN:9781845418700</w:t>
              </w:r>
            </w:p>
            <w:p w14:paraId="341D9BD6" w14:textId="149A1C37" w:rsidR="00EF1C89" w:rsidRPr="00EF1C89" w:rsidRDefault="008515DC" w:rsidP="00EF1C89">
              <w:pPr>
                <w:pStyle w:val="a8"/>
                <w:ind w:left="720" w:hanging="720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 w:rsidRPr="008515DC">
                <w:rPr>
                  <w:lang w:val="en-US"/>
                </w:rPr>
                <w:lastRenderedPageBreak/>
                <w:t>Z</w:t>
              </w: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iakas, V. (Ed.) (2022</w:t>
              </w:r>
              <w:r w:rsidR="0013270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). </w:t>
              </w:r>
              <w:r w:rsidRPr="00EF1C89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Trends and Advances in Sport and Leisure Management: Expanding the Frontiers</w:t>
              </w:r>
              <w:r w:rsidR="0066198F"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</w:t>
              </w: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Cambridge Scholars Publishing.</w:t>
              </w:r>
              <w:r w:rsid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doi:</w:t>
              </w:r>
              <w:r w:rsidR="00682655" w:rsidRP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="006D564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</w:t>
              </w:r>
              <w:r w:rsidR="00682655" w:rsidRPr="00682655">
                <w:t xml:space="preserve"> </w:t>
              </w:r>
              <w:r w:rsid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978152758590</w:t>
              </w:r>
              <w:r w:rsidR="00682655" w:rsidRP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p>
            <w:p w14:paraId="53969928" w14:textId="77391B48" w:rsidR="00EF1C89" w:rsidRPr="00EF1C89" w:rsidRDefault="00EF1C89" w:rsidP="00EF1C89">
              <w:pPr>
                <w:pStyle w:val="a8"/>
                <w:ind w:left="720" w:hanging="720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Ziakas, V. (2022</w:t>
              </w:r>
              <w:r w:rsidR="0013270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). </w:t>
              </w:r>
              <w:r w:rsidRPr="00EF1C89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Strategic Event Leveraging: Models, Practices and Prospects.</w:t>
              </w:r>
              <w:r w:rsidRPr="00EF1C8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CABI.</w:t>
              </w:r>
              <w:r w:rsid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13270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</w:t>
              </w:r>
              <w:r w:rsidR="00E62EE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ISBN:978178924785</w:t>
              </w:r>
              <w:r w:rsidR="00E62EE3" w:rsidRPr="00E62EE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  <w:r w:rsidR="0068265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p>
            <w:p w14:paraId="7AE07B8A" w14:textId="71E94EF1" w:rsidR="00DD52CE" w:rsidRPr="009969ED" w:rsidRDefault="00DD52CE" w:rsidP="00DD52CE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9969ED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37265CC" w14:textId="386F8761" w:rsidR="00DD52CE" w:rsidRPr="009969ED" w:rsidRDefault="00DD52CE" w:rsidP="00934C6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52CE" w:rsidRPr="00996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33DC0A" w15:done="0"/>
  <w15:commentEx w15:paraId="32F994D2" w15:done="0"/>
  <w15:commentEx w15:paraId="77393421" w15:done="0"/>
  <w15:commentEx w15:paraId="17FD7D9E" w15:done="0"/>
  <w15:commentEx w15:paraId="1CA5A9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AC4283" w16cex:dateUtc="2023-03-03T09:55:00Z"/>
  <w16cex:commentExtensible w16cex:durableId="27A34462" w16cex:dateUtc="2023-02-24T04:12:00Z"/>
  <w16cex:commentExtensible w16cex:durableId="27A34A0F" w16cex:dateUtc="2023-02-24T04:37:00Z"/>
  <w16cex:commentExtensible w16cex:durableId="27AC7546" w16cex:dateUtc="2023-03-03T13:31:00Z"/>
  <w16cex:commentExtensible w16cex:durableId="27A34ABE" w16cex:dateUtc="2023-02-24T0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3DC0A" w16cid:durableId="27BCD346"/>
  <w16cid:commentId w16cid:paraId="5CC7EFF4" w16cid:durableId="27AC4283"/>
  <w16cid:commentId w16cid:paraId="32F994D2" w16cid:durableId="27A34462"/>
  <w16cid:commentId w16cid:paraId="65173440" w16cid:durableId="27BCD349"/>
  <w16cid:commentId w16cid:paraId="50CCAD69" w16cid:durableId="27A34A0F"/>
  <w16cid:commentId w16cid:paraId="65F10D32" w16cid:durableId="27AC7546"/>
  <w16cid:commentId w16cid:paraId="7A317885" w16cid:durableId="27A34A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542"/>
    <w:multiLevelType w:val="hybridMultilevel"/>
    <w:tmpl w:val="00505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6712"/>
    <w:multiLevelType w:val="hybridMultilevel"/>
    <w:tmpl w:val="CDBC4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F478E"/>
    <w:multiLevelType w:val="multilevel"/>
    <w:tmpl w:val="C35C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ie Schlenker">
    <w15:presenceInfo w15:providerId="AD" w15:userId="S-1-5-21-3588706629-3798168970-822321252-76625"/>
  </w15:person>
  <w15:person w15:author="Alana Thomson">
    <w15:presenceInfo w15:providerId="AD" w15:userId="S::athomson@federation.edu.au::cdc7a24b-6318-4562-8a39-acae27c74d0e"/>
  </w15:person>
  <w15:person w15:author="Andrew Adams">
    <w15:presenceInfo w15:providerId="AD" w15:userId="S::aadams@bournemouth.ac.uk::dd8881f8-ea09-4920-b3e3-bc46945076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73"/>
    <w:rsid w:val="00006CE8"/>
    <w:rsid w:val="000171A1"/>
    <w:rsid w:val="000307D7"/>
    <w:rsid w:val="00061342"/>
    <w:rsid w:val="00081673"/>
    <w:rsid w:val="0008337F"/>
    <w:rsid w:val="000E1C99"/>
    <w:rsid w:val="000E28FE"/>
    <w:rsid w:val="000F6BAE"/>
    <w:rsid w:val="000F76BD"/>
    <w:rsid w:val="0013270B"/>
    <w:rsid w:val="0013596B"/>
    <w:rsid w:val="0014038F"/>
    <w:rsid w:val="001417E8"/>
    <w:rsid w:val="00185353"/>
    <w:rsid w:val="00190591"/>
    <w:rsid w:val="00192594"/>
    <w:rsid w:val="001A2A3E"/>
    <w:rsid w:val="001E60DC"/>
    <w:rsid w:val="0022645D"/>
    <w:rsid w:val="00242F62"/>
    <w:rsid w:val="00257090"/>
    <w:rsid w:val="00275935"/>
    <w:rsid w:val="0029265E"/>
    <w:rsid w:val="002C1546"/>
    <w:rsid w:val="002E0E82"/>
    <w:rsid w:val="002E7BD9"/>
    <w:rsid w:val="00322B9D"/>
    <w:rsid w:val="00326856"/>
    <w:rsid w:val="003777E8"/>
    <w:rsid w:val="003921C2"/>
    <w:rsid w:val="003A0F35"/>
    <w:rsid w:val="003A4C36"/>
    <w:rsid w:val="003D76CC"/>
    <w:rsid w:val="003E0E5A"/>
    <w:rsid w:val="003F6850"/>
    <w:rsid w:val="00411483"/>
    <w:rsid w:val="00425B9B"/>
    <w:rsid w:val="0043518D"/>
    <w:rsid w:val="00440171"/>
    <w:rsid w:val="00443E31"/>
    <w:rsid w:val="00444600"/>
    <w:rsid w:val="00445947"/>
    <w:rsid w:val="00463F6D"/>
    <w:rsid w:val="00484CD9"/>
    <w:rsid w:val="004A1749"/>
    <w:rsid w:val="004C7C69"/>
    <w:rsid w:val="004E4C5A"/>
    <w:rsid w:val="00532C17"/>
    <w:rsid w:val="00540938"/>
    <w:rsid w:val="0059549C"/>
    <w:rsid w:val="005D3783"/>
    <w:rsid w:val="006427D7"/>
    <w:rsid w:val="00645877"/>
    <w:rsid w:val="00646E27"/>
    <w:rsid w:val="0066198F"/>
    <w:rsid w:val="00672D45"/>
    <w:rsid w:val="00682655"/>
    <w:rsid w:val="00687BEA"/>
    <w:rsid w:val="006951E6"/>
    <w:rsid w:val="006B44C2"/>
    <w:rsid w:val="006D1B79"/>
    <w:rsid w:val="006D5644"/>
    <w:rsid w:val="006D63BE"/>
    <w:rsid w:val="006D78C4"/>
    <w:rsid w:val="00712DB5"/>
    <w:rsid w:val="00775386"/>
    <w:rsid w:val="007766E8"/>
    <w:rsid w:val="007B0320"/>
    <w:rsid w:val="007C1881"/>
    <w:rsid w:val="007C5E84"/>
    <w:rsid w:val="007D45C9"/>
    <w:rsid w:val="008125A8"/>
    <w:rsid w:val="00842DEB"/>
    <w:rsid w:val="008515DC"/>
    <w:rsid w:val="00852D86"/>
    <w:rsid w:val="00890FF8"/>
    <w:rsid w:val="00892D57"/>
    <w:rsid w:val="008E1093"/>
    <w:rsid w:val="008E3AF8"/>
    <w:rsid w:val="008F27B4"/>
    <w:rsid w:val="008F29BF"/>
    <w:rsid w:val="008F6B18"/>
    <w:rsid w:val="008F7660"/>
    <w:rsid w:val="009144E3"/>
    <w:rsid w:val="00934C6A"/>
    <w:rsid w:val="0093682A"/>
    <w:rsid w:val="00956373"/>
    <w:rsid w:val="009902A1"/>
    <w:rsid w:val="009969ED"/>
    <w:rsid w:val="009B35AC"/>
    <w:rsid w:val="009C0CCD"/>
    <w:rsid w:val="009E0AAC"/>
    <w:rsid w:val="009E4449"/>
    <w:rsid w:val="00A51A99"/>
    <w:rsid w:val="00A5384A"/>
    <w:rsid w:val="00A6064B"/>
    <w:rsid w:val="00A65F43"/>
    <w:rsid w:val="00A77AFE"/>
    <w:rsid w:val="00A825BD"/>
    <w:rsid w:val="00A82CEE"/>
    <w:rsid w:val="00AC5A84"/>
    <w:rsid w:val="00B23637"/>
    <w:rsid w:val="00B25E4C"/>
    <w:rsid w:val="00B56C9D"/>
    <w:rsid w:val="00B7045A"/>
    <w:rsid w:val="00B762D5"/>
    <w:rsid w:val="00BA349D"/>
    <w:rsid w:val="00BE5D6D"/>
    <w:rsid w:val="00C56B39"/>
    <w:rsid w:val="00C75378"/>
    <w:rsid w:val="00C77875"/>
    <w:rsid w:val="00CA1CA1"/>
    <w:rsid w:val="00CC38D3"/>
    <w:rsid w:val="00CF72C6"/>
    <w:rsid w:val="00D00C66"/>
    <w:rsid w:val="00D06114"/>
    <w:rsid w:val="00D24235"/>
    <w:rsid w:val="00D540D2"/>
    <w:rsid w:val="00D60927"/>
    <w:rsid w:val="00D73453"/>
    <w:rsid w:val="00D90D1D"/>
    <w:rsid w:val="00DD52CE"/>
    <w:rsid w:val="00E5046D"/>
    <w:rsid w:val="00E62EE3"/>
    <w:rsid w:val="00E6587B"/>
    <w:rsid w:val="00E754AC"/>
    <w:rsid w:val="00EB6A5B"/>
    <w:rsid w:val="00EE59C6"/>
    <w:rsid w:val="00EF1C89"/>
    <w:rsid w:val="00F02710"/>
    <w:rsid w:val="00F339E3"/>
    <w:rsid w:val="00F41239"/>
    <w:rsid w:val="00F649FC"/>
    <w:rsid w:val="00F6632C"/>
    <w:rsid w:val="00F725E7"/>
    <w:rsid w:val="00FC5D0F"/>
    <w:rsid w:val="00FF5804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52C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C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C5D0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D1D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D90D1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D90D1D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90D1D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D90D1D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D90D1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90D1D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D52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8">
    <w:name w:val="Bibliography"/>
    <w:basedOn w:val="a"/>
    <w:next w:val="a"/>
    <w:uiPriority w:val="37"/>
    <w:unhideWhenUsed/>
    <w:rsid w:val="00DD52CE"/>
  </w:style>
  <w:style w:type="paragraph" w:styleId="a9">
    <w:name w:val="Revision"/>
    <w:hidden/>
    <w:uiPriority w:val="99"/>
    <w:semiHidden/>
    <w:rsid w:val="00445947"/>
    <w:pPr>
      <w:spacing w:after="0" w:line="240" w:lineRule="auto"/>
    </w:pPr>
  </w:style>
  <w:style w:type="character" w:customStyle="1" w:styleId="h1">
    <w:name w:val="h1"/>
    <w:basedOn w:val="a0"/>
    <w:rsid w:val="006B44C2"/>
  </w:style>
  <w:style w:type="character" w:styleId="-0">
    <w:name w:val="FollowedHyperlink"/>
    <w:basedOn w:val="a0"/>
    <w:uiPriority w:val="99"/>
    <w:semiHidden/>
    <w:unhideWhenUsed/>
    <w:rsid w:val="00C56B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52C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C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C5D0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D1D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D90D1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D90D1D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90D1D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D90D1D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D90D1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90D1D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D52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8">
    <w:name w:val="Bibliography"/>
    <w:basedOn w:val="a"/>
    <w:next w:val="a"/>
    <w:uiPriority w:val="37"/>
    <w:unhideWhenUsed/>
    <w:rsid w:val="00DD52CE"/>
  </w:style>
  <w:style w:type="paragraph" w:styleId="a9">
    <w:name w:val="Revision"/>
    <w:hidden/>
    <w:uiPriority w:val="99"/>
    <w:semiHidden/>
    <w:rsid w:val="00445947"/>
    <w:pPr>
      <w:spacing w:after="0" w:line="240" w:lineRule="auto"/>
    </w:pPr>
  </w:style>
  <w:style w:type="character" w:customStyle="1" w:styleId="h1">
    <w:name w:val="h1"/>
    <w:basedOn w:val="a0"/>
    <w:rsid w:val="006B44C2"/>
  </w:style>
  <w:style w:type="character" w:styleId="-0">
    <w:name w:val="FollowedHyperlink"/>
    <w:basedOn w:val="a0"/>
    <w:uiPriority w:val="99"/>
    <w:semiHidden/>
    <w:unhideWhenUsed/>
    <w:rsid w:val="00C56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rontiersin.org/articles/10.3389/fspor.2022.922997/ful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yperlink" Target="https://www.frontiersin.org/articles/10.3389/fspor.2021.741277/full" TargetMode="External"/><Relationship Id="rId17" Type="http://schemas.openxmlformats.org/officeDocument/2006/relationships/hyperlink" Target="https://www.frontiersin.org/articles/10.3389/fspor.2022.823191/fu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ontiersin.org/articles/10.3389/fspor.2021.785018/ful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ontiersin.org/articles/10.3389/fspor.2021.548516/fu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rontiersin.org/articles/10.3389/fspor.2022.937765/full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www.frontiersin.org/articles/10.3389/fspor.2021.655579/ful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rontiersin.org/articles/10.3389/fspor.2021.669026/full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25C526BA544A90DEE1BBC8B281B1" ma:contentTypeVersion="15" ma:contentTypeDescription="Create a new document." ma:contentTypeScope="" ma:versionID="cd3c6c45bf5fbedb0e67b93737df2517">
  <xsd:schema xmlns:xsd="http://www.w3.org/2001/XMLSchema" xmlns:xs="http://www.w3.org/2001/XMLSchema" xmlns:p="http://schemas.microsoft.com/office/2006/metadata/properties" xmlns:ns3="b4ccc8b1-a181-439c-b784-95faf6650bd0" xmlns:ns4="bb342aa2-12f7-42cf-b278-24139aefc87c" targetNamespace="http://schemas.microsoft.com/office/2006/metadata/properties" ma:root="true" ma:fieldsID="2fac31b0a6456e55dfd4ca09ce16b964" ns3:_="" ns4:_="">
    <xsd:import namespace="b4ccc8b1-a181-439c-b784-95faf6650bd0"/>
    <xsd:import namespace="bb342aa2-12f7-42cf-b278-24139aefc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c8b1-a181-439c-b784-95faf6650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2aa2-12f7-42cf-b278-24139aefc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cc8b1-a181-439c-b784-95faf6650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Bye21</b:Tag>
    <b:SourceType>JournalArticle</b:SourceType>
    <b:Guid>{9E614E25-B245-4E2F-9ADA-52A004BE7472}</b:Guid>
    <b:Author>
      <b:Author>
        <b:NameList>
          <b:Person>
            <b:Last>Byers</b:Last>
            <b:First>T.</b:First>
          </b:Person>
          <b:Person>
            <b:Last>Hayday</b:Last>
            <b:First>E.</b:First>
          </b:Person>
          <b:Person>
            <b:Last>Mason</b:Last>
            <b:First>F.</b:First>
          </b:Person>
          <b:Person>
            <b:Last>Lunga</b:Last>
            <b:First>P</b:First>
          </b:Person>
          <b:Person>
            <b:Last>Headley</b:Last>
            <b:First>D.</b:First>
          </b:Person>
        </b:NameList>
      </b:Author>
    </b:Author>
    <b:Title>Innovation for Positive Sustainable Legacy From Mega Sports Events: Virtual Reality as a Tool for Social Inclusion Legacy for Paris 2024 Paralympic Games</b:Title>
    <b:JournalName>Frontiers in Sports and Active Living</b:JournalName>
    <b:Year>2021</b:Year>
    <b:Volume>3</b:Volume>
    <b:DOI>10.3389/fspor.2021.625677</b:DOI>
    <b:RefOrder>1</b:RefOrder>
  </b:Source>
  <b:Source>
    <b:Tag>Tho20</b:Tag>
    <b:SourceType>JournalArticle</b:SourceType>
    <b:Guid>{11CAA100-E6A9-4937-AE63-F5CDADE67810}</b:Guid>
    <b:Author>
      <b:Author>
        <b:NameList>
          <b:Person>
            <b:Last>Thomson</b:Last>
            <b:First>A.</b:First>
          </b:Person>
          <b:Person>
            <b:Last>Kennelly</b:Last>
            <b:First>M.</b:First>
          </b:Person>
          <b:Person>
            <b:Last>Toohey</b:Last>
            <b:First>K.</b:First>
          </b:Person>
        </b:NameList>
      </b:Author>
    </b:Author>
    <b:Title>A systematic quantitative literature review of empirical research on large-scale sport events’ social legacies</b:Title>
    <b:JournalName>Leisure Studies</b:JournalName>
    <b:Year>2020</b:Year>
    <b:Pages>859-876</b:Pages>
    <b:Volume>39</b:Volume>
    <b:Issue>6</b:Issue>
    <b:RefOrder>2</b:RefOrder>
  </b:Source>
  <b:Source>
    <b:Tag>Lis17</b:Tag>
    <b:SourceType>Report</b:SourceType>
    <b:Guid>{B599E7F5-FCBF-409D-8CBF-A39B0764D25A}</b:Guid>
    <b:Title>A team effort: Preventing violence against women through sport. Evidence Guide</b:Title>
    <b:Year>2017</b:Year>
    <b:Author>
      <b:Author>
        <b:NameList>
          <b:Person>
            <b:Last>Liston</b:Last>
            <b:First>R.</b:First>
          </b:Person>
          <b:Person>
            <b:Last>Mortimer</b:Last>
            <b:First>S.</b:First>
          </b:Person>
          <b:Person>
            <b:Last>Hamilton</b:Last>
            <b:First>G.</b:First>
          </b:Person>
          <b:Person>
            <b:Last>Cameron</b:Last>
            <b:First>R.</b:First>
          </b:Person>
        </b:NameList>
      </b:Author>
    </b:Author>
    <b:Publisher>Report preapred for Our Watch by RMIT University</b:Publisher>
    <b:City>Melbourne, Australia</b:City>
    <b:RefOrder>3</b:RefOrder>
  </b:Source>
  <b:Source>
    <b:Tag>Zen23</b:Tag>
    <b:SourceType>Book</b:SourceType>
    <b:Guid>{7A6CE19C-8CA6-4D4D-8A3A-9DBEC44DA5D6}</b:Guid>
    <b:Author>
      <b:Author>
        <b:NameList>
          <b:Person>
            <b:Last>Zentveld</b:Last>
            <b:First>E.</b:First>
          </b:Person>
        </b:NameList>
      </b:Author>
    </b:Author>
    <b:Title>Control, Abuse, Bullying and Family Violence in Tourism Industries</b:Title>
    <b:Year>2023</b:Year>
    <b:Publisher>Channelview Publications</b:Publisher>
    <b:DOI>ISBN: 9781845418700</b:DOI>
    <b:RefOrder>4</b:RefOrder>
  </b:Source>
  <b:Source>
    <b:Tag>Tho21</b:Tag>
    <b:SourceType>JournalArticle</b:SourceType>
    <b:Guid>{6C39BC1E-461A-45C4-9B3E-42BF3B29B192}</b:Guid>
    <b:Title>The political economy of mass sport participation legacies from large-scale sport events: A conceptual paper</b:Title>
    <b:Year>2021</b:Year>
    <b:Author>
      <b:Author>
        <b:NameList>
          <b:Person>
            <b:Last>Thomson</b:Last>
            <b:First>A.</b:First>
          </b:Person>
          <b:Person>
            <b:Last>Toohey</b:Last>
            <b:First>K.</b:First>
          </b:Person>
          <b:Person>
            <b:Last>Darcy</b:Last>
            <b:First>S.</b:First>
          </b:Person>
        </b:NameList>
      </b:Author>
    </b:Author>
    <b:JournalName>Journal of Sport Management</b:JournalName>
    <b:Pages>352-363</b:Pages>
    <b:RefOrder>5</b:RefOrder>
  </b:Source>
</b:Sources>
</file>

<file path=customXml/itemProps1.xml><?xml version="1.0" encoding="utf-8"?>
<ds:datastoreItem xmlns:ds="http://schemas.openxmlformats.org/officeDocument/2006/customXml" ds:itemID="{60091E63-D6DB-4AA9-A385-9D742C4D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cc8b1-a181-439c-b784-95faf6650bd0"/>
    <ds:schemaRef ds:uri="bb342aa2-12f7-42cf-b278-24139aefc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E8243-D61C-4CDF-89B0-17AAE18FC4E5}">
  <ds:schemaRefs>
    <ds:schemaRef ds:uri="http://schemas.microsoft.com/office/2006/metadata/properties"/>
    <ds:schemaRef ds:uri="http://schemas.microsoft.com/office/infopath/2007/PartnerControls"/>
    <ds:schemaRef ds:uri="b4ccc8b1-a181-439c-b784-95faf6650bd0"/>
  </ds:schemaRefs>
</ds:datastoreItem>
</file>

<file path=customXml/itemProps3.xml><?xml version="1.0" encoding="utf-8"?>
<ds:datastoreItem xmlns:ds="http://schemas.openxmlformats.org/officeDocument/2006/customXml" ds:itemID="{D1D60B1C-8A5D-4F03-B62C-34D724D43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F5843-EDDA-46C9-A023-1EDE9991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2080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2023-03-20T14:46:00Z</dcterms:created>
  <dcterms:modified xsi:type="dcterms:W3CDTF">2023-03-20T14:46:00Z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0x0101009CF725C526BA544A90DEE1BBC8B281B1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2023-03-16T06:29:10Z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3b84dcbc-7f16-4e69-86ff-1ee4526bc243</vt:lpwstr>
  </property>
  <property fmtid="{D5CDD505-2E9C-101B-9397-08002B2CF9AE}" pid="9" name="MSIP_Label_51a6c3db-1667-4f49-995a-8b9973972958_ContentBits">
    <vt:lpwstr>0</vt:lpwstr>
  </property>
</Properties>
</file>