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0077" w14:textId="77777777" w:rsidR="006675B0" w:rsidRPr="009A0EAF" w:rsidRDefault="006675B0" w:rsidP="009A0EAF">
      <w:pPr>
        <w:pStyle w:val="Default"/>
        <w:spacing w:before="100" w:beforeAutospacing="1" w:after="100" w:afterAutospacing="1" w:line="240" w:lineRule="auto"/>
        <w:rPr>
          <w:rFonts w:ascii="Times New Roman" w:hAnsi="Times New Roman" w:cs="Times New Roman"/>
          <w:b/>
          <w:bCs/>
          <w:color w:val="auto"/>
          <w:sz w:val="32"/>
          <w:szCs w:val="32"/>
        </w:rPr>
      </w:pPr>
      <w:r w:rsidRPr="009A0EAF">
        <w:rPr>
          <w:rFonts w:ascii="Times New Roman" w:hAnsi="Times New Roman" w:cs="Times New Roman"/>
          <w:b/>
          <w:bCs/>
          <w:color w:val="auto"/>
          <w:sz w:val="32"/>
          <w:szCs w:val="32"/>
        </w:rPr>
        <w:t>Climate Change Arbitration: Using the Energy Charter Treaty to Enforce the New European Green Deal</w:t>
      </w:r>
    </w:p>
    <w:p w14:paraId="5E4FCA65" w14:textId="7A5195CC" w:rsidR="009A0EAF" w:rsidRPr="009A0EAF" w:rsidRDefault="009A0EAF" w:rsidP="009A0EAF">
      <w:pPr>
        <w:pStyle w:val="Default"/>
        <w:spacing w:before="100" w:beforeAutospacing="1" w:after="100" w:afterAutospacing="1" w:line="240" w:lineRule="auto"/>
        <w:rPr>
          <w:rFonts w:ascii="Times New Roman" w:eastAsia="Times New Roman" w:hAnsi="Times New Roman" w:cs="Times New Roman"/>
          <w:i/>
          <w:iCs/>
          <w:color w:val="auto"/>
        </w:rPr>
      </w:pPr>
      <w:r w:rsidRPr="009A0EAF">
        <w:rPr>
          <w:rFonts w:ascii="Times New Roman" w:eastAsia="Times New Roman" w:hAnsi="Times New Roman" w:cs="Times New Roman"/>
          <w:i/>
          <w:iCs/>
          <w:color w:val="auto"/>
        </w:rPr>
        <w:t xml:space="preserve">Aikaterini </w:t>
      </w:r>
      <w:bookmarkStart w:id="0" w:name="_Hlk160717865"/>
      <w:r w:rsidRPr="009A0EAF">
        <w:rPr>
          <w:rFonts w:ascii="Times New Roman" w:eastAsia="Times New Roman" w:hAnsi="Times New Roman" w:cs="Times New Roman"/>
          <w:i/>
          <w:iCs/>
          <w:color w:val="auto"/>
        </w:rPr>
        <w:t>Florou</w:t>
      </w:r>
      <w:bookmarkEnd w:id="0"/>
      <w:r w:rsidRPr="009A0EAF">
        <w:rPr>
          <w:rStyle w:val="FootnoteReference"/>
          <w:rFonts w:ascii="Times New Roman" w:eastAsia="Times New Roman" w:hAnsi="Times New Roman" w:cs="Times New Roman"/>
          <w:i/>
          <w:iCs/>
          <w:color w:val="auto"/>
        </w:rPr>
        <w:footnoteReference w:customMarkFollows="1" w:id="1"/>
        <w:t>*</w:t>
      </w:r>
    </w:p>
    <w:p w14:paraId="11E9AB64" w14:textId="34C5508C" w:rsidR="006675B0" w:rsidRPr="009A0EAF" w:rsidRDefault="009A0EAF" w:rsidP="005D3741">
      <w:pPr>
        <w:pStyle w:val="Heading1"/>
      </w:pPr>
      <w:r w:rsidRPr="009A0EAF">
        <w:t xml:space="preserve">I. </w:t>
      </w:r>
      <w:r w:rsidR="006675B0" w:rsidRPr="009A0EAF">
        <w:t>Introduction: Private Investments in Renewable Energy as an Answer to the Climate Crisis</w:t>
      </w:r>
    </w:p>
    <w:p w14:paraId="3774D752" w14:textId="77777777"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Fonts w:ascii="Times New Roman" w:hAnsi="Times New Roman" w:cs="Times New Roman"/>
          <w:color w:val="auto"/>
        </w:rPr>
        <w:t>“It</w:t>
      </w:r>
      <w:r w:rsidRPr="009A0EAF">
        <w:rPr>
          <w:rFonts w:ascii="Times New Roman" w:hAnsi="Times New Roman" w:cs="Times New Roman"/>
          <w:color w:val="auto"/>
          <w:rtl/>
          <w:lang w:val="ar-SA"/>
        </w:rPr>
        <w:t>’</w:t>
      </w:r>
      <w:r w:rsidRPr="009A0EAF">
        <w:rPr>
          <w:rFonts w:ascii="Times New Roman" w:hAnsi="Times New Roman" w:cs="Times New Roman"/>
          <w:color w:val="auto"/>
        </w:rPr>
        <w:t>s now or never”, if we want to prevent a climate disaster; “without immediate and deep emissions reductions across all sectors, it will be impossible.” This is the main message that one can retain from the recent report of the Intergovernmental Panel on Climate Change (IPCC)</w:t>
      </w:r>
      <w:r w:rsidRPr="009A0EAF">
        <w:rPr>
          <w:rFonts w:ascii="Times New Roman" w:eastAsia="Times New Roman" w:hAnsi="Times New Roman" w:cs="Times New Roman"/>
          <w:color w:val="auto"/>
          <w:vertAlign w:val="superscript"/>
        </w:rPr>
        <w:footnoteReference w:id="2"/>
      </w:r>
      <w:r w:rsidRPr="009A0EAF">
        <w:rPr>
          <w:rStyle w:val="None"/>
          <w:rFonts w:ascii="Times New Roman" w:hAnsi="Times New Roman" w:cs="Times New Roman"/>
          <w:color w:val="auto"/>
        </w:rPr>
        <w:t xml:space="preserve"> and the concluding remarks of the co-chair of the IPCC’s Working Group on climate change mitigation.</w:t>
      </w:r>
      <w:r w:rsidRPr="009A0EAF">
        <w:rPr>
          <w:rStyle w:val="None"/>
          <w:rFonts w:ascii="Times New Roman" w:eastAsia="Times New Roman" w:hAnsi="Times New Roman" w:cs="Times New Roman"/>
          <w:color w:val="auto"/>
          <w:vertAlign w:val="superscript"/>
        </w:rPr>
        <w:footnoteReference w:id="3"/>
      </w:r>
      <w:r w:rsidRPr="009A0EAF">
        <w:rPr>
          <w:rStyle w:val="None"/>
          <w:rFonts w:ascii="Times New Roman" w:hAnsi="Times New Roman" w:cs="Times New Roman"/>
          <w:color w:val="auto"/>
        </w:rPr>
        <w:t xml:space="preserve"> Climate change is a concrete and increasing threat to a series of human rights, including the fundamental rights to equality and to a clean and healthy environment</w:t>
      </w:r>
      <w:r w:rsidRPr="009A0EAF">
        <w:rPr>
          <w:rStyle w:val="None"/>
          <w:rFonts w:ascii="Times New Roman" w:eastAsia="Times New Roman" w:hAnsi="Times New Roman" w:cs="Times New Roman"/>
          <w:color w:val="auto"/>
          <w:vertAlign w:val="superscript"/>
        </w:rPr>
        <w:footnoteReference w:id="4"/>
      </w:r>
      <w:r w:rsidRPr="009A0EAF">
        <w:rPr>
          <w:rStyle w:val="None"/>
          <w:rFonts w:ascii="Times New Roman" w:hAnsi="Times New Roman" w:cs="Times New Roman"/>
          <w:color w:val="auto"/>
        </w:rPr>
        <w:t xml:space="preserve">. </w:t>
      </w:r>
    </w:p>
    <w:p w14:paraId="18753CD5" w14:textId="1C48D018"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According to the International Energy Agency (IEA), the energy sector is the source of around three-quarters of greenhouse gas emissions today and holds the key to averting the worst effects of climate change by reducing global carbon dioxide (CO2) emissions to net zero by 2050. To this end, the IEA has invited governments to design policies that will send market signals to the private sector to invest in green energy projects while at the same time phasing out investments in the oil and gas and coal sectors.</w:t>
      </w:r>
      <w:r w:rsidRPr="009A0EAF">
        <w:rPr>
          <w:rStyle w:val="None"/>
          <w:rFonts w:ascii="Times New Roman" w:eastAsia="Times New Roman" w:hAnsi="Times New Roman" w:cs="Times New Roman"/>
          <w:color w:val="auto"/>
          <w:vertAlign w:val="superscript"/>
        </w:rPr>
        <w:footnoteReference w:id="5"/>
      </w:r>
      <w:r w:rsidRPr="009A0EAF">
        <w:rPr>
          <w:rStyle w:val="None"/>
          <w:rFonts w:ascii="Times New Roman" w:hAnsi="Times New Roman" w:cs="Times New Roman"/>
          <w:color w:val="auto"/>
        </w:rPr>
        <w:t xml:space="preserve"> </w:t>
      </w:r>
    </w:p>
    <w:p w14:paraId="64AB7B43" w14:textId="3AAF96BB"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To achieve the ambitious goal of net zero by 2050, the IEA has identified several </w:t>
      </w:r>
      <w:r w:rsidRPr="009A0EAF">
        <w:rPr>
          <w:rStyle w:val="None"/>
          <w:rFonts w:ascii="Times New Roman" w:hAnsi="Times New Roman" w:cs="Times New Roman"/>
          <w:color w:val="auto"/>
        </w:rPr>
        <w:t>“priority actions”. Among those are the following: make the 2020s the decade of massive clean energy expansion;</w:t>
      </w:r>
      <w:r w:rsidRPr="009A0EAF">
        <w:rPr>
          <w:rStyle w:val="None"/>
          <w:rFonts w:ascii="Times New Roman" w:eastAsia="Times New Roman" w:hAnsi="Times New Roman" w:cs="Times New Roman"/>
          <w:color w:val="auto"/>
          <w:vertAlign w:val="superscript"/>
        </w:rPr>
        <w:footnoteReference w:id="6"/>
      </w:r>
      <w:r w:rsidRPr="009A0EAF">
        <w:rPr>
          <w:rStyle w:val="None"/>
          <w:rFonts w:ascii="Times New Roman" w:hAnsi="Times New Roman" w:cs="Times New Roman"/>
          <w:color w:val="auto"/>
        </w:rPr>
        <w:t xml:space="preserve"> preclude new fossil-fuel projects as of 2021 and drive a historic surge in clean energy investment;</w:t>
      </w:r>
      <w:r w:rsidRPr="009A0EAF">
        <w:rPr>
          <w:rStyle w:val="None"/>
          <w:rFonts w:ascii="Times New Roman" w:eastAsia="Times New Roman" w:hAnsi="Times New Roman" w:cs="Times New Roman"/>
          <w:color w:val="auto"/>
          <w:vertAlign w:val="superscript"/>
        </w:rPr>
        <w:footnoteReference w:id="7"/>
      </w:r>
      <w:r w:rsidRPr="009A0EAF">
        <w:rPr>
          <w:rStyle w:val="None"/>
          <w:rFonts w:ascii="Times New Roman" w:hAnsi="Times New Roman" w:cs="Times New Roman"/>
          <w:color w:val="auto"/>
        </w:rPr>
        <w:t xml:space="preserve"> and foster international cooperation, especially on investment, in order to achieve net-zero emissions by 2050</w:t>
      </w:r>
      <w:r w:rsidRPr="009A0EAF">
        <w:rPr>
          <w:rStyle w:val="None"/>
          <w:rFonts w:ascii="Times New Roman" w:eastAsia="Times New Roman" w:hAnsi="Times New Roman" w:cs="Times New Roman"/>
          <w:color w:val="auto"/>
          <w:vertAlign w:val="superscript"/>
        </w:rPr>
        <w:footnoteReference w:id="8"/>
      </w:r>
      <w:r w:rsidRPr="009A0EAF">
        <w:rPr>
          <w:rStyle w:val="None"/>
          <w:rFonts w:ascii="Times New Roman" w:hAnsi="Times New Roman" w:cs="Times New Roman"/>
          <w:color w:val="auto"/>
        </w:rPr>
        <w:t>.</w:t>
      </w:r>
    </w:p>
    <w:p w14:paraId="21A4A8E9" w14:textId="7D364B43"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It has, thus, become clear that the climate crisis is a multifaceted problem that requires not only public but also private action.</w:t>
      </w:r>
      <w:r w:rsidRPr="009A0EAF">
        <w:rPr>
          <w:rStyle w:val="None"/>
          <w:rFonts w:ascii="Times New Roman" w:eastAsia="Times New Roman" w:hAnsi="Times New Roman" w:cs="Times New Roman"/>
          <w:color w:val="auto"/>
          <w:vertAlign w:val="superscript"/>
        </w:rPr>
        <w:footnoteReference w:id="9"/>
      </w:r>
      <w:r w:rsidRPr="009A0EAF">
        <w:rPr>
          <w:rStyle w:val="None"/>
          <w:rFonts w:ascii="Times New Roman" w:hAnsi="Times New Roman" w:cs="Times New Roman"/>
          <w:color w:val="auto"/>
        </w:rPr>
        <w:t xml:space="preserve"> According to the 2022 World Energy Investment Report,</w:t>
      </w:r>
      <w:r w:rsidRPr="009A0EAF">
        <w:rPr>
          <w:rStyle w:val="None"/>
          <w:rFonts w:ascii="Times New Roman" w:eastAsia="Times New Roman" w:hAnsi="Times New Roman" w:cs="Times New Roman"/>
          <w:color w:val="auto"/>
          <w:vertAlign w:val="superscript"/>
        </w:rPr>
        <w:footnoteReference w:id="10"/>
      </w:r>
      <w:r w:rsidRPr="009A0EAF">
        <w:rPr>
          <w:rStyle w:val="None"/>
          <w:rFonts w:ascii="Times New Roman" w:hAnsi="Times New Roman" w:cs="Times New Roman"/>
          <w:color w:val="auto"/>
        </w:rPr>
        <w:t xml:space="preserve"> renewables have outperformed fossil fuels in listed and unlisted markets, but their smaller market </w:t>
      </w:r>
      <w:r w:rsidR="00694D76" w:rsidRPr="009A0EAF">
        <w:rPr>
          <w:rStyle w:val="None"/>
          <w:rFonts w:ascii="Times New Roman" w:hAnsi="Times New Roman" w:cs="Times New Roman"/>
          <w:color w:val="auto"/>
        </w:rPr>
        <w:t>capitalizations</w:t>
      </w:r>
      <w:r w:rsidRPr="009A0EAF">
        <w:rPr>
          <w:rStyle w:val="None"/>
          <w:rFonts w:ascii="Times New Roman" w:hAnsi="Times New Roman" w:cs="Times New Roman"/>
          <w:color w:val="auto"/>
        </w:rPr>
        <w:t xml:space="preserve"> and lower margins reduce investors’ willingness to reallocate capital. The IEA has also found that </w:t>
      </w:r>
      <w:r w:rsidRPr="009A0EAF">
        <w:rPr>
          <w:rStyle w:val="None"/>
          <w:rFonts w:ascii="Times New Roman" w:hAnsi="Times New Roman" w:cs="Times New Roman"/>
          <w:color w:val="auto"/>
        </w:rPr>
        <w:lastRenderedPageBreak/>
        <w:t>reaching net zero targets requires a massive ramp-up of spending on clean energy, particularly by the private sector, which should account for 70% of all energy investment by 2030.</w:t>
      </w:r>
      <w:r w:rsidRPr="009A0EAF">
        <w:rPr>
          <w:rStyle w:val="None"/>
          <w:rFonts w:ascii="Times New Roman" w:eastAsia="Times New Roman" w:hAnsi="Times New Roman" w:cs="Times New Roman"/>
          <w:color w:val="auto"/>
          <w:vertAlign w:val="superscript"/>
        </w:rPr>
        <w:footnoteReference w:id="11"/>
      </w:r>
      <w:r w:rsidRPr="009A0EAF">
        <w:rPr>
          <w:rStyle w:val="None"/>
          <w:rFonts w:ascii="Times New Roman" w:hAnsi="Times New Roman" w:cs="Times New Roman"/>
          <w:color w:val="auto"/>
        </w:rPr>
        <w:t xml:space="preserve"> </w:t>
      </w:r>
    </w:p>
    <w:p w14:paraId="44F0B7E1" w14:textId="26F2468C"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In these circumstances, governments need to provide assurances of stability to investors in renewable energy projects. Does the European Union (</w:t>
      </w:r>
      <w:r w:rsidRPr="009A0EAF">
        <w:rPr>
          <w:rStyle w:val="None"/>
          <w:rFonts w:ascii="Times New Roman" w:hAnsi="Times New Roman" w:cs="Times New Roman"/>
          <w:color w:val="auto"/>
        </w:rPr>
        <w:t>“the EU”), as a prominent international actor in the battle against climate change, provide such stability to renewable-energy investors? Does the new EU Green Deal create legitimate expectations to investors for legal certainty and stability of their investments in renewable energy? What is the role of the Energy Charter Treaty (“ECT”)</w:t>
      </w:r>
      <w:r w:rsidRPr="009A0EAF">
        <w:rPr>
          <w:rStyle w:val="None"/>
          <w:rFonts w:ascii="Times New Roman" w:eastAsia="Times New Roman" w:hAnsi="Times New Roman" w:cs="Times New Roman"/>
          <w:color w:val="auto"/>
          <w:vertAlign w:val="superscript"/>
        </w:rPr>
        <w:footnoteReference w:id="12"/>
      </w:r>
      <w:r w:rsidRPr="009A0EAF">
        <w:rPr>
          <w:rStyle w:val="None"/>
          <w:rFonts w:ascii="Times New Roman" w:hAnsi="Times New Roman" w:cs="Times New Roman"/>
          <w:color w:val="auto"/>
        </w:rPr>
        <w:t xml:space="preserve"> in enforcing the legitimate expectations that the Clean Energy for All Europeans legislation may create?</w:t>
      </w:r>
    </w:p>
    <w:p w14:paraId="61CB0648" w14:textId="3789306B"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These are the questions that the present research aims to address by looking into the past, present and potential future of renewable energy investments in the EU. As a general caveat, this article does not take a position on the appropriateness of the ECT to accommodate the energy transition and </w:t>
      </w:r>
      <w:r w:rsidRPr="009A0EAF">
        <w:rPr>
          <w:rStyle w:val="None"/>
          <w:rFonts w:ascii="Times New Roman" w:hAnsi="Times New Roman" w:cs="Times New Roman"/>
          <w:color w:val="auto"/>
        </w:rPr>
        <w:t xml:space="preserve">the measures that states take to combat climate change. What it does, is to take stock of the way that the treaty has been used in the EU context to protect investments in the renewable energy sector and to make predictions for its future use based on the EU Green Deal. </w:t>
      </w:r>
    </w:p>
    <w:p w14:paraId="44BCE64D" w14:textId="25133E42"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As the most recent statistics show, the majority of ECT disputes have been launched to protect investments in renewable energy. Indeed, while 34% of the total 158 known ECT disputes have been initiated by the fossil fuels industry, 59% of those disputes refer to the renewable energy sector.</w:t>
      </w:r>
      <w:r w:rsidRPr="009A0EAF">
        <w:rPr>
          <w:rStyle w:val="None"/>
          <w:rFonts w:ascii="Times New Roman" w:eastAsia="Times New Roman" w:hAnsi="Times New Roman" w:cs="Times New Roman"/>
          <w:color w:val="auto"/>
          <w:vertAlign w:val="superscript"/>
        </w:rPr>
        <w:footnoteReference w:id="13"/>
      </w:r>
      <w:r w:rsidRPr="009A0EAF">
        <w:rPr>
          <w:rStyle w:val="None"/>
          <w:rFonts w:ascii="Times New Roman" w:hAnsi="Times New Roman" w:cs="Times New Roman"/>
          <w:color w:val="auto"/>
        </w:rPr>
        <w:t xml:space="preserve"> This picture shows that the ECT has been used and can be used to protect investments that aim at implementing the energy transition and addressing climate change.</w:t>
      </w:r>
    </w:p>
    <w:p w14:paraId="1DDBF243" w14:textId="6E482518" w:rsidR="006675B0" w:rsidRDefault="006675B0" w:rsidP="009A0EAF">
      <w:pPr>
        <w:pStyle w:val="Default"/>
        <w:spacing w:before="100" w:beforeAutospacing="1" w:after="100" w:afterAutospacing="1" w:line="240" w:lineRule="auto"/>
        <w:jc w:val="both"/>
        <w:rPr>
          <w:rStyle w:val="None"/>
          <w:rFonts w:ascii="Times New Roman" w:hAnsi="Times New Roman" w:cs="Times New Roman"/>
          <w:color w:val="auto"/>
        </w:rPr>
      </w:pPr>
      <w:r w:rsidRPr="009A0EAF">
        <w:rPr>
          <w:rStyle w:val="None"/>
          <w:rFonts w:ascii="Times New Roman" w:eastAsia="Times New Roman" w:hAnsi="Times New Roman" w:cs="Times New Roman"/>
          <w:color w:val="auto"/>
        </w:rPr>
        <w:t>The following section examine</w:t>
      </w:r>
      <w:r w:rsidRPr="009A0EAF">
        <w:rPr>
          <w:rStyle w:val="None"/>
          <w:rFonts w:ascii="Times New Roman" w:hAnsi="Times New Roman" w:cs="Times New Roman"/>
          <w:color w:val="auto"/>
        </w:rPr>
        <w:t xml:space="preserve">s the experience that EU investors had in various Member States under the previous EU legislative regime for renewables, and particularly the arbitral disputes that investors launched against Spain. The focus will be on the reasoning of arbitral tribunals regarding the concept of “legitimate expectations”, which allegedly arose from the legislative and regulatory regimes that investors relied upon in deciding to invest in renewable-energy projects. The third section examines the current state of play in the negotiations for the </w:t>
      </w:r>
      <w:r w:rsidR="00694D76" w:rsidRPr="009A0EAF">
        <w:rPr>
          <w:rStyle w:val="None"/>
          <w:rFonts w:ascii="Times New Roman" w:hAnsi="Times New Roman" w:cs="Times New Roman"/>
          <w:color w:val="auto"/>
        </w:rPr>
        <w:t>modernization</w:t>
      </w:r>
      <w:r w:rsidRPr="009A0EAF">
        <w:rPr>
          <w:rStyle w:val="None"/>
          <w:rFonts w:ascii="Times New Roman" w:hAnsi="Times New Roman" w:cs="Times New Roman"/>
          <w:color w:val="auto"/>
        </w:rPr>
        <w:t xml:space="preserve"> of the ECT, while the fourth section takes a close look into the investment elements of the EU Green Deal and examines whether the laws implementing this new deal create legitimate expectations on the part</w:t>
      </w:r>
      <w:r w:rsidR="00D4741A" w:rsidRPr="009A0EAF">
        <w:rPr>
          <w:rStyle w:val="None"/>
          <w:rFonts w:ascii="Times New Roman" w:hAnsi="Times New Roman" w:cs="Times New Roman"/>
          <w:color w:val="auto"/>
        </w:rPr>
        <w:t xml:space="preserve"> of</w:t>
      </w:r>
      <w:r w:rsidRPr="009A0EAF">
        <w:rPr>
          <w:rStyle w:val="None"/>
          <w:rFonts w:ascii="Times New Roman" w:hAnsi="Times New Roman" w:cs="Times New Roman"/>
          <w:color w:val="auto"/>
        </w:rPr>
        <w:t xml:space="preserve"> the EU as a whole to investors that </w:t>
      </w:r>
      <w:r w:rsidR="00D4741A" w:rsidRPr="009A0EAF">
        <w:rPr>
          <w:rStyle w:val="None"/>
          <w:rFonts w:ascii="Times New Roman" w:hAnsi="Times New Roman" w:cs="Times New Roman"/>
          <w:color w:val="auto"/>
        </w:rPr>
        <w:t>w</w:t>
      </w:r>
      <w:r w:rsidRPr="009A0EAF">
        <w:rPr>
          <w:rStyle w:val="None"/>
          <w:rFonts w:ascii="Times New Roman" w:hAnsi="Times New Roman" w:cs="Times New Roman"/>
          <w:color w:val="auto"/>
        </w:rPr>
        <w:t>ould rely on these laws to invest in the EU renewable energy sector. The fifth</w:t>
      </w:r>
      <w:r w:rsidR="00D4741A" w:rsidRPr="009A0EAF">
        <w:rPr>
          <w:rStyle w:val="None"/>
          <w:rFonts w:ascii="Times New Roman" w:hAnsi="Times New Roman" w:cs="Times New Roman"/>
          <w:color w:val="auto"/>
        </w:rPr>
        <w:t>,</w:t>
      </w:r>
      <w:r w:rsidRPr="009A0EAF">
        <w:rPr>
          <w:rStyle w:val="None"/>
          <w:rFonts w:ascii="Times New Roman" w:hAnsi="Times New Roman" w:cs="Times New Roman"/>
          <w:color w:val="auto"/>
        </w:rPr>
        <w:t xml:space="preserve"> and final</w:t>
      </w:r>
      <w:r w:rsidR="00D4741A" w:rsidRPr="009A0EAF">
        <w:rPr>
          <w:rStyle w:val="None"/>
          <w:rFonts w:ascii="Times New Roman" w:hAnsi="Times New Roman" w:cs="Times New Roman"/>
          <w:color w:val="auto"/>
        </w:rPr>
        <w:t>,</w:t>
      </w:r>
      <w:r w:rsidRPr="009A0EAF">
        <w:rPr>
          <w:rStyle w:val="None"/>
          <w:rFonts w:ascii="Times New Roman" w:hAnsi="Times New Roman" w:cs="Times New Roman"/>
          <w:color w:val="auto"/>
        </w:rPr>
        <w:t xml:space="preserve"> section concludes.</w:t>
      </w:r>
    </w:p>
    <w:p w14:paraId="38E27488" w14:textId="6CBF7EE8" w:rsidR="006675B0" w:rsidRPr="009A0EAF" w:rsidRDefault="009A0EAF" w:rsidP="005D3741">
      <w:pPr>
        <w:pStyle w:val="Heading1"/>
        <w:rPr>
          <w:rStyle w:val="None"/>
          <w:rFonts w:eastAsia="Times New Roman" w:cs="Times New Roman"/>
        </w:rPr>
      </w:pPr>
      <w:r w:rsidRPr="009A0EAF">
        <w:rPr>
          <w:rStyle w:val="None"/>
          <w:rFonts w:cs="Times New Roman"/>
        </w:rPr>
        <w:t xml:space="preserve">II. </w:t>
      </w:r>
      <w:r w:rsidR="006675B0" w:rsidRPr="009A0EAF">
        <w:rPr>
          <w:rStyle w:val="None"/>
          <w:rFonts w:cs="Times New Roman"/>
        </w:rPr>
        <w:t>The Saga of Renewable Energy Arbitration Disputes</w:t>
      </w:r>
    </w:p>
    <w:p w14:paraId="48F475B9" w14:textId="2103DFD6" w:rsidR="006675B0" w:rsidRPr="009A0EAF" w:rsidRDefault="009A0EAF" w:rsidP="00B937CC">
      <w:pPr>
        <w:pStyle w:val="Heading2"/>
        <w:rPr>
          <w:rStyle w:val="None"/>
          <w:rFonts w:eastAsia="Times New Roman" w:cs="Times New Roman"/>
        </w:rPr>
      </w:pPr>
      <w:r w:rsidRPr="009A0EAF">
        <w:rPr>
          <w:rStyle w:val="None"/>
          <w:rFonts w:cs="Times New Roman"/>
        </w:rPr>
        <w:t>1</w:t>
      </w:r>
      <w:r w:rsidR="006675B0" w:rsidRPr="009A0EAF">
        <w:rPr>
          <w:rStyle w:val="None"/>
          <w:rFonts w:cs="Times New Roman"/>
        </w:rPr>
        <w:t xml:space="preserve">. The Change of the Legal and Regulatory Framework for Renewable-Energy Investments </w:t>
      </w:r>
    </w:p>
    <w:p w14:paraId="0E53267D" w14:textId="6F81A6AB"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hAnsi="Times New Roman" w:cs="Times New Roman"/>
          <w:color w:val="auto"/>
        </w:rPr>
        <w:t>In the early to mid-2000s, several European countries enacted support schemes for investors in the renewable energy sector. In the midst of a global financial crisis in 2008</w:t>
      </w:r>
      <w:r w:rsidR="004F027D" w:rsidRPr="009A0EAF">
        <w:rPr>
          <w:rStyle w:val="None"/>
          <w:rFonts w:ascii="Times New Roman" w:hAnsi="Times New Roman" w:cs="Times New Roman"/>
          <w:color w:val="auto"/>
        </w:rPr>
        <w:t>,</w:t>
      </w:r>
      <w:r w:rsidRPr="009A0EAF">
        <w:rPr>
          <w:rStyle w:val="None"/>
          <w:rFonts w:ascii="Times New Roman" w:hAnsi="Times New Roman" w:cs="Times New Roman"/>
          <w:color w:val="auto"/>
        </w:rPr>
        <w:t xml:space="preserve"> and confronted with budget deficits, many of these countries retracted</w:t>
      </w:r>
      <w:r w:rsidR="004F027D" w:rsidRPr="009A0EAF">
        <w:rPr>
          <w:rStyle w:val="None"/>
          <w:rFonts w:ascii="Times New Roman" w:hAnsi="Times New Roman" w:cs="Times New Roman"/>
          <w:color w:val="auto"/>
        </w:rPr>
        <w:t>,</w:t>
      </w:r>
      <w:r w:rsidRPr="009A0EAF">
        <w:rPr>
          <w:rStyle w:val="None"/>
          <w:rFonts w:ascii="Times New Roman" w:hAnsi="Times New Roman" w:cs="Times New Roman"/>
          <w:color w:val="auto"/>
        </w:rPr>
        <w:t xml:space="preserve"> partially or completely</w:t>
      </w:r>
      <w:r w:rsidR="004F027D" w:rsidRPr="009A0EAF">
        <w:rPr>
          <w:rStyle w:val="None"/>
          <w:rFonts w:ascii="Times New Roman" w:hAnsi="Times New Roman" w:cs="Times New Roman"/>
          <w:color w:val="auto"/>
        </w:rPr>
        <w:t>,</w:t>
      </w:r>
      <w:r w:rsidRPr="009A0EAF">
        <w:rPr>
          <w:rStyle w:val="None"/>
          <w:rFonts w:ascii="Times New Roman" w:hAnsi="Times New Roman" w:cs="Times New Roman"/>
          <w:color w:val="auto"/>
        </w:rPr>
        <w:t xml:space="preserve"> these investment incentive schemes. At times, these changes resulted from those countries’ obligations under EU law.</w:t>
      </w:r>
      <w:r w:rsidRPr="009A0EAF">
        <w:rPr>
          <w:rStyle w:val="None"/>
          <w:rFonts w:ascii="Times New Roman" w:eastAsia="Times New Roman" w:hAnsi="Times New Roman" w:cs="Times New Roman"/>
          <w:color w:val="auto"/>
          <w:vertAlign w:val="superscript"/>
        </w:rPr>
        <w:footnoteReference w:id="14"/>
      </w:r>
      <w:r w:rsidRPr="009A0EAF">
        <w:rPr>
          <w:rStyle w:val="None"/>
          <w:rFonts w:ascii="Times New Roman" w:hAnsi="Times New Roman" w:cs="Times New Roman"/>
          <w:color w:val="auto"/>
        </w:rPr>
        <w:t xml:space="preserve"> For example, the European Commission has issued a decision holding that, should Spain pay an arbitral </w:t>
      </w:r>
      <w:r w:rsidRPr="009A0EAF">
        <w:rPr>
          <w:rStyle w:val="None"/>
          <w:rFonts w:ascii="Times New Roman" w:hAnsi="Times New Roman" w:cs="Times New Roman"/>
          <w:color w:val="auto"/>
        </w:rPr>
        <w:lastRenderedPageBreak/>
        <w:t>award against it, such a payment would constitute illegal state aid and the granting of state aid falls under the exclusive competence of the Commission.</w:t>
      </w:r>
      <w:r w:rsidRPr="009A0EAF">
        <w:rPr>
          <w:rStyle w:val="None"/>
          <w:rFonts w:ascii="Times New Roman" w:eastAsia="Times New Roman" w:hAnsi="Times New Roman" w:cs="Times New Roman"/>
          <w:color w:val="auto"/>
          <w:vertAlign w:val="superscript"/>
        </w:rPr>
        <w:footnoteReference w:id="15"/>
      </w:r>
      <w:r w:rsidRPr="009A0EAF">
        <w:rPr>
          <w:rStyle w:val="None"/>
          <w:rFonts w:ascii="Times New Roman" w:hAnsi="Times New Roman" w:cs="Times New Roman"/>
          <w:color w:val="auto"/>
        </w:rPr>
        <w:t xml:space="preserve"> </w:t>
      </w:r>
    </w:p>
    <w:p w14:paraId="26F84102" w14:textId="3D5711DA" w:rsidR="006675B0" w:rsidRPr="009A0EAF" w:rsidRDefault="006675B0" w:rsidP="009A0EAF">
      <w:pPr>
        <w:pStyle w:val="Default"/>
        <w:spacing w:before="100" w:beforeAutospacing="1" w:after="100" w:afterAutospacing="1" w:line="240" w:lineRule="auto"/>
        <w:jc w:val="both"/>
        <w:rPr>
          <w:rStyle w:val="None"/>
          <w:rFonts w:ascii="Times New Roman" w:hAnsi="Times New Roman" w:cs="Times New Roman"/>
          <w:color w:val="auto"/>
        </w:rPr>
      </w:pPr>
      <w:r w:rsidRPr="009A0EAF">
        <w:rPr>
          <w:rStyle w:val="None"/>
          <w:rFonts w:ascii="Times New Roman" w:eastAsia="Times New Roman" w:hAnsi="Times New Roman" w:cs="Times New Roman"/>
          <w:color w:val="auto"/>
        </w:rPr>
        <w:t>If one were to engage in an effective interpretation of the EU treaties, a question would arise on the practical meaning and effect of the distinction between exclusive and shared competences. Energy</w:t>
      </w:r>
      <w:r w:rsidRPr="009A0EAF">
        <w:rPr>
          <w:rStyle w:val="None"/>
          <w:rFonts w:ascii="Times New Roman" w:eastAsia="Times New Roman" w:hAnsi="Times New Roman" w:cs="Times New Roman"/>
          <w:color w:val="auto"/>
          <w:vertAlign w:val="superscript"/>
        </w:rPr>
        <w:footnoteReference w:id="16"/>
      </w:r>
      <w:r w:rsidRPr="009A0EAF">
        <w:rPr>
          <w:rStyle w:val="None"/>
          <w:rFonts w:ascii="Times New Roman" w:hAnsi="Times New Roman" w:cs="Times New Roman"/>
          <w:color w:val="auto"/>
        </w:rPr>
        <w:t xml:space="preserve"> and investor-state dispute settlement</w:t>
      </w:r>
      <w:r w:rsidRPr="009A0EAF">
        <w:rPr>
          <w:rStyle w:val="None"/>
          <w:rFonts w:ascii="Times New Roman" w:eastAsia="Times New Roman" w:hAnsi="Times New Roman" w:cs="Times New Roman"/>
          <w:color w:val="auto"/>
          <w:vertAlign w:val="superscript"/>
        </w:rPr>
        <w:footnoteReference w:id="17"/>
      </w:r>
      <w:r w:rsidRPr="009A0EAF">
        <w:rPr>
          <w:rStyle w:val="None"/>
          <w:rFonts w:ascii="Times New Roman" w:hAnsi="Times New Roman" w:cs="Times New Roman"/>
          <w:color w:val="auto"/>
        </w:rPr>
        <w:t xml:space="preserve"> are shared and not exclusive competences. Should a Member State exercise its own competence in these areas and commit an international wrong, one would expect that the state would incur international responsibility for its wrongful act. Paying an arbitral award issued on the basis of such wrongful act would seem a natural consequence of the state’s exercise of its competence and ensuing responsibility. The European Commission’s claims that the payment of any such award would constitute illegal state aid falling under the Commission’s exclusive competence seems to annul the meaning and effect of shared competences in the fields of energy and investor-state arbitration.</w:t>
      </w:r>
    </w:p>
    <w:p w14:paraId="1CE2BB07" w14:textId="5054B854" w:rsidR="006675B0" w:rsidRPr="009A0EAF" w:rsidRDefault="006675B0" w:rsidP="009A0EAF">
      <w:pPr>
        <w:pStyle w:val="NormalWeb"/>
        <w:jc w:val="both"/>
      </w:pPr>
      <w:r w:rsidRPr="009A0EAF">
        <w:rPr>
          <w:rStyle w:val="None"/>
          <w:rFonts w:eastAsiaTheme="majorEastAsia"/>
        </w:rPr>
        <w:t>The issue of the relationship between EU law and international law is, of course, not new and traces back to the “Kadi saga”.</w:t>
      </w:r>
      <w:r w:rsidRPr="009A0EAF">
        <w:rPr>
          <w:rStyle w:val="FootnoteReference"/>
        </w:rPr>
        <w:footnoteReference w:id="18"/>
      </w:r>
      <w:r w:rsidRPr="009A0EAF">
        <w:rPr>
          <w:rStyle w:val="None"/>
          <w:rFonts w:eastAsiaTheme="majorEastAsia"/>
        </w:rPr>
        <w:t xml:space="preserve"> The Kadi case referred to the implementation by the EU of a series of UN Security Council Resolutions that imposed sanctions on persons associated with </w:t>
      </w:r>
      <w:r w:rsidRPr="009A0EAF">
        <w:rPr>
          <w:shd w:val="clear" w:color="auto" w:fill="FFFFFF"/>
        </w:rPr>
        <w:t>the Al-Qaeda and Taliban terrorist networks</w:t>
      </w:r>
      <w:r w:rsidRPr="009A0EAF">
        <w:rPr>
          <w:rStyle w:val="None"/>
          <w:rFonts w:eastAsiaTheme="majorEastAsia"/>
        </w:rPr>
        <w:t>.</w:t>
      </w:r>
      <w:r w:rsidRPr="009A0EAF">
        <w:rPr>
          <w:rStyle w:val="FootnoteReference"/>
        </w:rPr>
        <w:footnoteReference w:id="19"/>
      </w:r>
      <w:r w:rsidRPr="009A0EAF">
        <w:rPr>
          <w:rStyle w:val="None"/>
          <w:rFonts w:eastAsiaTheme="majorEastAsia"/>
        </w:rPr>
        <w:t xml:space="preserve"> To give effect to those UN Resolutions, the EU Council adopted a series of regulations freezing funds and other financial resources belonging to persons designated by the UN Sanctions Committee.</w:t>
      </w:r>
      <w:r w:rsidRPr="009A0EAF">
        <w:rPr>
          <w:rStyle w:val="FootnoteReference"/>
        </w:rPr>
        <w:footnoteReference w:id="20"/>
      </w:r>
      <w:r w:rsidRPr="009A0EAF">
        <w:rPr>
          <w:rStyle w:val="None"/>
          <w:rFonts w:eastAsiaTheme="majorEastAsia"/>
        </w:rPr>
        <w:t xml:space="preserve"> Judging on the application of two affected persons, Mr Kadi and Al Barakaat International Foundation, the Court of First Instance (now, the General Court), examined whether the EU Council was competent to adopt a regulation on the basis of the “flexibility clause” of Article 308 EC Treaty (now, 352 TFEU)</w:t>
      </w:r>
      <w:r w:rsidRPr="009A0EAF">
        <w:rPr>
          <w:rStyle w:val="FootnoteReference"/>
        </w:rPr>
        <w:footnoteReference w:id="21"/>
      </w:r>
      <w:r w:rsidRPr="009A0EAF">
        <w:rPr>
          <w:rStyle w:val="None"/>
          <w:rFonts w:eastAsiaTheme="majorEastAsia"/>
        </w:rPr>
        <w:t>. It held that Article 308 “</w:t>
      </w:r>
      <w:r w:rsidRPr="009A0EAF">
        <w:t>being an integral part of an institutional system based on the principle of conferred powers, cannot serve as a basis for widening the scope of Community powers beyond the general framework created by the provisions of the Treaty as a whole and, in particular, by those that define the tasks and the activities of the Community”.</w:t>
      </w:r>
      <w:r w:rsidRPr="009A0EAF">
        <w:rPr>
          <w:rStyle w:val="FootnoteReference"/>
        </w:rPr>
        <w:footnoteReference w:id="22"/>
      </w:r>
      <w:r w:rsidRPr="009A0EAF">
        <w:t xml:space="preserve"> Applying the “theory of succession” the Court concluded that “in so far as under the EC Treaty the Community has assumed powers previously exercised by Member States in the area </w:t>
      </w:r>
      <w:r w:rsidRPr="009A0EAF">
        <w:lastRenderedPageBreak/>
        <w:t>governed by the Charter of the United Nations, the provisions of that Charter have the effect of binding the Community”.</w:t>
      </w:r>
      <w:r w:rsidRPr="009A0EAF">
        <w:rPr>
          <w:rStyle w:val="FootnoteReference"/>
        </w:rPr>
        <w:footnoteReference w:id="23"/>
      </w:r>
      <w:r w:rsidRPr="009A0EAF">
        <w:t xml:space="preserve"> </w:t>
      </w:r>
    </w:p>
    <w:p w14:paraId="1115FF30" w14:textId="3748E881" w:rsidR="006675B0" w:rsidRPr="009A0EAF" w:rsidRDefault="006675B0" w:rsidP="009A0EAF">
      <w:pPr>
        <w:pStyle w:val="NormalWeb"/>
        <w:jc w:val="both"/>
        <w:rPr>
          <w:rStyle w:val="None"/>
        </w:rPr>
      </w:pPr>
      <w:r w:rsidRPr="009A0EAF">
        <w:t xml:space="preserve">In the investment field, more recent cases clearly exemplifying the tension between EU law and international law are the ECJ’s judgments in the </w:t>
      </w:r>
      <w:r w:rsidR="001A49FC" w:rsidRPr="009A0EAF">
        <w:t>well-known</w:t>
      </w:r>
      <w:r w:rsidR="00172564" w:rsidRPr="009A0EAF">
        <w:t xml:space="preserve"> </w:t>
      </w:r>
      <w:r w:rsidRPr="009A0EAF">
        <w:rPr>
          <w:i/>
          <w:iCs/>
        </w:rPr>
        <w:t>Achmea</w:t>
      </w:r>
      <w:r w:rsidRPr="009A0EAF">
        <w:t xml:space="preserve">, </w:t>
      </w:r>
      <w:r w:rsidRPr="009A0EAF">
        <w:rPr>
          <w:i/>
          <w:iCs/>
        </w:rPr>
        <w:t>Komstroy</w:t>
      </w:r>
      <w:r w:rsidRPr="009A0EAF">
        <w:t xml:space="preserve"> and </w:t>
      </w:r>
      <w:r w:rsidRPr="009A0EAF">
        <w:rPr>
          <w:i/>
          <w:iCs/>
        </w:rPr>
        <w:t>Micula</w:t>
      </w:r>
      <w:r w:rsidRPr="009A0EAF">
        <w:t xml:space="preserve"> disputes. In </w:t>
      </w:r>
      <w:r w:rsidRPr="009A0EAF">
        <w:rPr>
          <w:i/>
          <w:iCs/>
        </w:rPr>
        <w:t>Achmea</w:t>
      </w:r>
      <w:r w:rsidRPr="009A0EAF">
        <w:t>, the ECJ declared the incompatibility with EU law of the investor-state arbitration mechanism included in an intra-EU BIT</w:t>
      </w:r>
      <w:r w:rsidRPr="009A0EAF">
        <w:rPr>
          <w:rStyle w:val="FootnoteReference"/>
        </w:rPr>
        <w:footnoteReference w:id="24"/>
      </w:r>
      <w:r w:rsidRPr="009A0EAF">
        <w:t>,</w:t>
      </w:r>
      <w:r w:rsidR="009A0EAF" w:rsidRPr="009A0EAF">
        <w:t xml:space="preserve"> </w:t>
      </w:r>
      <w:r w:rsidRPr="009A0EAF">
        <w:t xml:space="preserve">while in </w:t>
      </w:r>
      <w:r w:rsidRPr="009A0EAF">
        <w:rPr>
          <w:i/>
          <w:iCs/>
        </w:rPr>
        <w:t>Komstroy</w:t>
      </w:r>
      <w:r w:rsidRPr="009A0EAF">
        <w:t xml:space="preserve"> the Court similarly ruled that intra-EU arbitrations based on the ECT are contrary to EU law.</w:t>
      </w:r>
      <w:r w:rsidRPr="009A0EAF">
        <w:rPr>
          <w:rStyle w:val="FootnoteReference"/>
        </w:rPr>
        <w:footnoteReference w:id="25"/>
      </w:r>
      <w:r w:rsidRPr="009A0EAF">
        <w:t xml:space="preserve"> In the </w:t>
      </w:r>
      <w:r w:rsidRPr="009A0EAF">
        <w:rPr>
          <w:i/>
          <w:iCs/>
        </w:rPr>
        <w:t>Micula</w:t>
      </w:r>
      <w:r w:rsidRPr="009A0EAF">
        <w:t xml:space="preserve"> case, an ICSID tribunal held that Romania had breached its BIT with Sweden and awarded the investors compensation, which Romania paid.</w:t>
      </w:r>
      <w:r w:rsidRPr="009A0EAF">
        <w:rPr>
          <w:rStyle w:val="FootnoteReference"/>
        </w:rPr>
        <w:footnoteReference w:id="26"/>
      </w:r>
      <w:r w:rsidRPr="009A0EAF">
        <w:t xml:space="preserve"> In 2015 the European Commission issued a Decision considering the payment of the award illegal state aid and ordering Romania to recover the payment.</w:t>
      </w:r>
      <w:r w:rsidRPr="009A0EAF">
        <w:rPr>
          <w:rStyle w:val="FootnoteReference"/>
        </w:rPr>
        <w:footnoteReference w:id="27"/>
      </w:r>
      <w:r w:rsidRPr="009A0EAF">
        <w:t xml:space="preserve"> In 2019, the General Court annulled the EC Decision, </w:t>
      </w:r>
      <w:r w:rsidR="00210C9A" w:rsidRPr="009A0EAF">
        <w:t>ruling</w:t>
      </w:r>
      <w:r w:rsidRPr="009A0EAF">
        <w:t xml:space="preserve"> that the Commission lacked competence </w:t>
      </w:r>
      <w:r w:rsidRPr="009A0EAF">
        <w:rPr>
          <w:i/>
          <w:iCs/>
        </w:rPr>
        <w:t>ratione temporis</w:t>
      </w:r>
      <w:r w:rsidRPr="009A0EAF">
        <w:t>, as</w:t>
      </w:r>
      <w:r w:rsidR="00B31F60" w:rsidRPr="009A0EAF">
        <w:t xml:space="preserve"> the</w:t>
      </w:r>
      <w:r w:rsidRPr="009A0EAF">
        <w:t xml:space="preserve"> </w:t>
      </w:r>
      <w:r w:rsidR="00B31F60" w:rsidRPr="009A0EAF">
        <w:t>state aid had been granted before Romania’s accession to the EU.</w:t>
      </w:r>
      <w:r w:rsidR="00A41EC3" w:rsidRPr="009A0EAF">
        <w:rPr>
          <w:rStyle w:val="FootnoteReference"/>
        </w:rPr>
        <w:footnoteReference w:id="28"/>
      </w:r>
      <w:r w:rsidR="001E0058" w:rsidRPr="009A0EAF">
        <w:t xml:space="preserve"> The </w:t>
      </w:r>
      <w:r w:rsidR="00195117" w:rsidRPr="009A0EAF">
        <w:t>European Court of Justice (“</w:t>
      </w:r>
      <w:r w:rsidR="001E0058" w:rsidRPr="009A0EAF">
        <w:t>ECJ</w:t>
      </w:r>
      <w:r w:rsidR="00195117" w:rsidRPr="009A0EAF">
        <w:t>”)</w:t>
      </w:r>
      <w:r w:rsidR="001E0058" w:rsidRPr="009A0EAF">
        <w:t xml:space="preserve"> quashed the General Court’s decision</w:t>
      </w:r>
      <w:r w:rsidR="004F47A0" w:rsidRPr="009A0EAF">
        <w:t>,</w:t>
      </w:r>
      <w:r w:rsidR="001E0058" w:rsidRPr="009A0EAF">
        <w:t xml:space="preserve"> </w:t>
      </w:r>
      <w:r w:rsidR="00210C9A" w:rsidRPr="009A0EAF">
        <w:t>holding</w:t>
      </w:r>
      <w:r w:rsidR="00E9413C" w:rsidRPr="009A0EAF">
        <w:t xml:space="preserve"> that</w:t>
      </w:r>
      <w:r w:rsidR="00210C9A" w:rsidRPr="009A0EAF">
        <w:t xml:space="preserve"> the date when the state aid was granted was </w:t>
      </w:r>
      <w:r w:rsidR="004F47A0" w:rsidRPr="009A0EAF">
        <w:t>when the ICSID award was issued. As the ICSID tribunal ordered compensation following Romania’s accession to the EU, the European Commission was competent to decide whether that compensation constituted unlawful state aid under the EU Treaties.</w:t>
      </w:r>
      <w:r w:rsidR="00BE448B" w:rsidRPr="009A0EAF">
        <w:rPr>
          <w:rStyle w:val="FootnoteReference"/>
        </w:rPr>
        <w:footnoteReference w:id="29"/>
      </w:r>
    </w:p>
    <w:p w14:paraId="13EB9E52" w14:textId="5D304A14"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Before exploring the potential legal implications for the division of EU competences that the enactment of the new EU Green Deal could have, it is important to delve into the various renewable</w:t>
      </w:r>
      <w:r w:rsidR="001403D1" w:rsidRPr="009A0EAF">
        <w:rPr>
          <w:rStyle w:val="None"/>
          <w:rFonts w:ascii="Times New Roman" w:eastAsia="Times New Roman" w:hAnsi="Times New Roman" w:cs="Times New Roman"/>
          <w:color w:val="auto"/>
        </w:rPr>
        <w:t xml:space="preserve"> </w:t>
      </w:r>
      <w:r w:rsidRPr="009A0EAF">
        <w:rPr>
          <w:rStyle w:val="None"/>
          <w:rFonts w:ascii="Times New Roman" w:eastAsia="Times New Roman" w:hAnsi="Times New Roman" w:cs="Times New Roman"/>
          <w:color w:val="auto"/>
        </w:rPr>
        <w:t xml:space="preserve">energy arbitral disputes that member states have been confronting as contracting parties to the </w:t>
      </w:r>
      <w:r w:rsidRPr="009A0EAF">
        <w:rPr>
          <w:rStyle w:val="None"/>
          <w:rFonts w:ascii="Times New Roman" w:hAnsi="Times New Roman" w:cs="Times New Roman"/>
          <w:color w:val="auto"/>
        </w:rPr>
        <w:t xml:space="preserve">ECT. The main question in this context is whether and under which conditions the states’ change of the legal and regulatory framework for renewable-energy investments was considered a violation of the investor’s “legitimate expectations” as an element of the standard of “fair and equitable treatment”. As </w:t>
      </w:r>
      <w:r w:rsidR="00FF648B" w:rsidRPr="009A0EAF">
        <w:rPr>
          <w:rStyle w:val="None"/>
          <w:rFonts w:ascii="Times New Roman" w:hAnsi="Times New Roman" w:cs="Times New Roman"/>
          <w:color w:val="auto"/>
        </w:rPr>
        <w:t>analyzed</w:t>
      </w:r>
      <w:r w:rsidRPr="009A0EAF">
        <w:rPr>
          <w:rStyle w:val="None"/>
          <w:rFonts w:ascii="Times New Roman" w:hAnsi="Times New Roman" w:cs="Times New Roman"/>
          <w:color w:val="auto"/>
        </w:rPr>
        <w:t xml:space="preserve"> in the following section, the answer to this question has not been uniform in arbitral practice. </w:t>
      </w:r>
    </w:p>
    <w:p w14:paraId="22EDB2E9" w14:textId="7A112942" w:rsidR="006675B0" w:rsidRPr="009A0EAF" w:rsidRDefault="006675B0" w:rsidP="00B937CC">
      <w:pPr>
        <w:pStyle w:val="Heading2"/>
        <w:rPr>
          <w:rStyle w:val="None"/>
          <w:rFonts w:eastAsia="Times New Roman" w:cs="Times New Roman"/>
        </w:rPr>
      </w:pPr>
      <w:r w:rsidRPr="009A0EAF">
        <w:rPr>
          <w:rStyle w:val="None"/>
          <w:rFonts w:cs="Times New Roman"/>
        </w:rPr>
        <w:t>2. The Violation of the Investors’ “Legitimate Expectations”: An Overview of the Case Law</w:t>
      </w:r>
    </w:p>
    <w:p w14:paraId="4768F611" w14:textId="77777777"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hAnsi="Times New Roman" w:cs="Times New Roman"/>
          <w:color w:val="auto"/>
        </w:rPr>
        <w:t>Arbitral tribunals have diverged in their reasoning on the investor’s legitimate expectations arising from the state’s legal and regulatory regimes for renewable-energy investments.</w:t>
      </w:r>
      <w:r w:rsidRPr="009A0EAF">
        <w:rPr>
          <w:rStyle w:val="None"/>
          <w:rFonts w:ascii="Times New Roman" w:eastAsia="Times New Roman" w:hAnsi="Times New Roman" w:cs="Times New Roman"/>
          <w:color w:val="auto"/>
          <w:vertAlign w:val="superscript"/>
        </w:rPr>
        <w:footnoteReference w:id="30"/>
      </w:r>
      <w:r w:rsidRPr="009A0EAF">
        <w:rPr>
          <w:rStyle w:val="None"/>
          <w:rFonts w:ascii="Times New Roman" w:hAnsi="Times New Roman" w:cs="Times New Roman"/>
          <w:color w:val="auto"/>
        </w:rPr>
        <w:t xml:space="preserve"> Some have found a frustration of legitimate expectations only when the state had made a specific commitment to the investor, while others have considered general legislation as such specific commitment giving rise to legitimate expectations of legislative stability. </w:t>
      </w:r>
    </w:p>
    <w:p w14:paraId="20B4C5AA" w14:textId="2096B9C2"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lastRenderedPageBreak/>
        <w:t xml:space="preserve">Among the cases </w:t>
      </w:r>
      <w:r w:rsidR="00FF648B" w:rsidRPr="009A0EAF">
        <w:rPr>
          <w:rStyle w:val="None"/>
          <w:rFonts w:ascii="Times New Roman" w:eastAsia="Times New Roman" w:hAnsi="Times New Roman" w:cs="Times New Roman"/>
          <w:color w:val="auto"/>
        </w:rPr>
        <w:t>emphasizing</w:t>
      </w:r>
      <w:r w:rsidRPr="009A0EAF">
        <w:rPr>
          <w:rStyle w:val="None"/>
          <w:rFonts w:ascii="Times New Roman" w:eastAsia="Times New Roman" w:hAnsi="Times New Roman" w:cs="Times New Roman"/>
          <w:color w:val="auto"/>
        </w:rPr>
        <w:t xml:space="preserve"> the importance of the stability of the legal framework is</w:t>
      </w:r>
      <w:r w:rsidRPr="009A0EAF">
        <w:rPr>
          <w:rStyle w:val="None"/>
          <w:rFonts w:ascii="Times New Roman" w:hAnsi="Times New Roman" w:cs="Times New Roman"/>
          <w:i/>
          <w:iCs/>
          <w:color w:val="auto"/>
        </w:rPr>
        <w:t xml:space="preserve"> Masdar v. Spain</w:t>
      </w:r>
      <w:r w:rsidRPr="009A0EAF">
        <w:rPr>
          <w:rStyle w:val="None"/>
          <w:rFonts w:ascii="Times New Roman" w:hAnsi="Times New Roman" w:cs="Times New Roman"/>
          <w:color w:val="auto"/>
        </w:rPr>
        <w:t>.</w:t>
      </w:r>
      <w:r w:rsidRPr="009A0EAF">
        <w:rPr>
          <w:rStyle w:val="None"/>
          <w:rFonts w:ascii="Times New Roman" w:eastAsia="Times New Roman" w:hAnsi="Times New Roman" w:cs="Times New Roman"/>
          <w:color w:val="auto"/>
          <w:vertAlign w:val="superscript"/>
        </w:rPr>
        <w:footnoteReference w:id="31"/>
      </w:r>
      <w:r w:rsidRPr="009A0EAF">
        <w:rPr>
          <w:rStyle w:val="None"/>
          <w:rFonts w:ascii="Times New Roman" w:hAnsi="Times New Roman" w:cs="Times New Roman"/>
          <w:color w:val="auto"/>
        </w:rPr>
        <w:t xml:space="preserve"> In examining Article 10(1) of the ECT, the tribunal stressed that the provision on “fair and equitable treatment” constitutes a standard having as purpose to “ensure that an investor may be confident that (i) the legal framework in which the investment has been made will not be subject to unreasonable or unjustified modification; and (ii) the legal framework will not be subject to modification in a manner contrary to specific commitments made to the investor.”</w:t>
      </w:r>
      <w:r w:rsidRPr="009A0EAF">
        <w:rPr>
          <w:rStyle w:val="None"/>
          <w:rFonts w:ascii="Times New Roman" w:eastAsia="Times New Roman" w:hAnsi="Times New Roman" w:cs="Times New Roman"/>
          <w:color w:val="auto"/>
          <w:vertAlign w:val="superscript"/>
        </w:rPr>
        <w:footnoteReference w:id="32"/>
      </w:r>
    </w:p>
    <w:p w14:paraId="520FDC47" w14:textId="51610ECF"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w:t>
      </w:r>
      <w:r w:rsidRPr="009A0EAF">
        <w:rPr>
          <w:rStyle w:val="None"/>
          <w:rFonts w:ascii="Times New Roman" w:hAnsi="Times New Roman" w:cs="Times New Roman"/>
          <w:i/>
          <w:iCs/>
          <w:color w:val="auto"/>
        </w:rPr>
        <w:t>Masdar</w:t>
      </w:r>
      <w:r w:rsidRPr="009A0EAF">
        <w:rPr>
          <w:rStyle w:val="None"/>
          <w:rFonts w:ascii="Times New Roman" w:hAnsi="Times New Roman" w:cs="Times New Roman"/>
          <w:color w:val="auto"/>
        </w:rPr>
        <w:t xml:space="preserve"> tribunal identified two schools addressing the question which kind of specific commitments can give rise to legitimate expectations. The first school is of the view that such expectations can ensue from general statements in general legislation and regulation whereas the second school requires that commitments be specific to give rise to legitimate expectations. </w:t>
      </w:r>
    </w:p>
    <w:p w14:paraId="4582819C" w14:textId="1381F20B"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According to the first school, what is determinative of the investor</w:t>
      </w:r>
      <w:r w:rsidRPr="009A0EAF">
        <w:rPr>
          <w:rStyle w:val="None"/>
          <w:rFonts w:ascii="Times New Roman" w:hAnsi="Times New Roman" w:cs="Times New Roman"/>
          <w:color w:val="auto"/>
        </w:rPr>
        <w:t>’s legitimate expectations is “the legal framework of the host state at the time when the investor made its investment.”</w:t>
      </w:r>
      <w:r w:rsidRPr="009A0EAF">
        <w:rPr>
          <w:rStyle w:val="None"/>
          <w:rFonts w:ascii="Times New Roman" w:eastAsia="Times New Roman" w:hAnsi="Times New Roman" w:cs="Times New Roman"/>
          <w:color w:val="auto"/>
          <w:vertAlign w:val="superscript"/>
        </w:rPr>
        <w:footnoteReference w:id="33"/>
      </w:r>
      <w:r w:rsidRPr="009A0EAF">
        <w:rPr>
          <w:rStyle w:val="None"/>
          <w:rFonts w:ascii="Times New Roman" w:hAnsi="Times New Roman" w:cs="Times New Roman"/>
          <w:color w:val="auto"/>
        </w:rPr>
        <w:t xml:space="preserve"> Supportive of this view, the tribunal in </w:t>
      </w:r>
      <w:r w:rsidRPr="009A0EAF">
        <w:rPr>
          <w:rStyle w:val="None"/>
          <w:rFonts w:ascii="Times New Roman" w:hAnsi="Times New Roman" w:cs="Times New Roman"/>
          <w:i/>
          <w:iCs/>
          <w:color w:val="auto"/>
        </w:rPr>
        <w:t>Suez v. Argentina</w:t>
      </w:r>
      <w:r w:rsidRPr="009A0EAF">
        <w:rPr>
          <w:rStyle w:val="None"/>
          <w:rFonts w:ascii="Times New Roman" w:eastAsia="Times New Roman" w:hAnsi="Times New Roman" w:cs="Times New Roman"/>
          <w:color w:val="auto"/>
          <w:vertAlign w:val="superscript"/>
        </w:rPr>
        <w:footnoteReference w:id="34"/>
      </w:r>
      <w:r w:rsidRPr="009A0EAF">
        <w:rPr>
          <w:rStyle w:val="None"/>
          <w:rFonts w:ascii="Times New Roman" w:hAnsi="Times New Roman" w:cs="Times New Roman"/>
          <w:i/>
          <w:iCs/>
          <w:color w:val="auto"/>
        </w:rPr>
        <w:t xml:space="preserve"> </w:t>
      </w:r>
      <w:r w:rsidRPr="009A0EAF">
        <w:rPr>
          <w:rStyle w:val="None"/>
          <w:rFonts w:ascii="Times New Roman" w:hAnsi="Times New Roman" w:cs="Times New Roman"/>
          <w:color w:val="auto"/>
        </w:rPr>
        <w:t>held that the host state’s laws, regulations, declared policies and statements when the investment is made, create in the investor legitimate expectations about the nature of the treatment that it may anticipate from the host State. If the state subsequently frustrates those expectations, it has failed to accord investors fair and equitable treatment.</w:t>
      </w:r>
      <w:r w:rsidRPr="009A0EAF">
        <w:rPr>
          <w:rStyle w:val="None"/>
          <w:rFonts w:ascii="Times New Roman" w:eastAsia="Times New Roman" w:hAnsi="Times New Roman" w:cs="Times New Roman"/>
          <w:color w:val="auto"/>
          <w:vertAlign w:val="superscript"/>
        </w:rPr>
        <w:footnoteReference w:id="35"/>
      </w:r>
      <w:r w:rsidRPr="009A0EAF">
        <w:rPr>
          <w:rStyle w:val="None"/>
          <w:rFonts w:ascii="Times New Roman" w:hAnsi="Times New Roman" w:cs="Times New Roman"/>
          <w:color w:val="auto"/>
        </w:rPr>
        <w:t xml:space="preserve"> </w:t>
      </w:r>
    </w:p>
    <w:p w14:paraId="3AB31424" w14:textId="7B2F5779"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In this context, the </w:t>
      </w:r>
      <w:r w:rsidRPr="009A0EAF">
        <w:rPr>
          <w:rStyle w:val="None"/>
          <w:rFonts w:ascii="Times New Roman" w:hAnsi="Times New Roman" w:cs="Times New Roman"/>
          <w:i/>
          <w:iCs/>
          <w:color w:val="auto"/>
        </w:rPr>
        <w:t>Masdar</w:t>
      </w:r>
      <w:r w:rsidRPr="009A0EAF">
        <w:rPr>
          <w:rStyle w:val="None"/>
          <w:rFonts w:ascii="Times New Roman" w:hAnsi="Times New Roman" w:cs="Times New Roman"/>
          <w:color w:val="auto"/>
        </w:rPr>
        <w:t xml:space="preserve"> tribunal paid particular attention to what the investor knew at the time when it made its investment and to the due diligence that it had exercised to </w:t>
      </w:r>
      <w:r w:rsidR="001532ED" w:rsidRPr="009A0EAF">
        <w:rPr>
          <w:rStyle w:val="None"/>
          <w:rFonts w:ascii="Times New Roman" w:hAnsi="Times New Roman" w:cs="Times New Roman"/>
          <w:color w:val="auto"/>
        </w:rPr>
        <w:t>familiarize</w:t>
      </w:r>
      <w:r w:rsidRPr="009A0EAF">
        <w:rPr>
          <w:rStyle w:val="None"/>
          <w:rFonts w:ascii="Times New Roman" w:hAnsi="Times New Roman" w:cs="Times New Roman"/>
          <w:color w:val="auto"/>
        </w:rPr>
        <w:t xml:space="preserve"> itself with the existing laws.</w:t>
      </w:r>
      <w:r w:rsidRPr="009A0EAF">
        <w:rPr>
          <w:rStyle w:val="None"/>
          <w:rFonts w:ascii="Times New Roman" w:eastAsia="Times New Roman" w:hAnsi="Times New Roman" w:cs="Times New Roman"/>
          <w:color w:val="auto"/>
          <w:vertAlign w:val="superscript"/>
        </w:rPr>
        <w:footnoteReference w:id="36"/>
      </w:r>
      <w:r w:rsidRPr="009A0EAF">
        <w:rPr>
          <w:rStyle w:val="None"/>
          <w:rFonts w:ascii="Times New Roman" w:hAnsi="Times New Roman" w:cs="Times New Roman"/>
          <w:color w:val="auto"/>
        </w:rPr>
        <w:t xml:space="preserve"> It concluded that, on the basis of the due diligence exercised, the Claimant believed that it had a legitimate expectation that the laws would not be changed, as they included </w:t>
      </w:r>
      <w:r w:rsidR="001532ED" w:rsidRPr="009A0EAF">
        <w:rPr>
          <w:rStyle w:val="None"/>
          <w:rFonts w:ascii="Times New Roman" w:hAnsi="Times New Roman" w:cs="Times New Roman"/>
          <w:color w:val="auto"/>
        </w:rPr>
        <w:t>stabilization</w:t>
      </w:r>
      <w:r w:rsidRPr="009A0EAF">
        <w:rPr>
          <w:rStyle w:val="None"/>
          <w:rFonts w:ascii="Times New Roman" w:hAnsi="Times New Roman" w:cs="Times New Roman"/>
          <w:color w:val="auto"/>
        </w:rPr>
        <w:t xml:space="preserve"> clauses.</w:t>
      </w:r>
      <w:r w:rsidRPr="009A0EAF">
        <w:rPr>
          <w:rStyle w:val="None"/>
          <w:rFonts w:ascii="Times New Roman" w:eastAsia="Times New Roman" w:hAnsi="Times New Roman" w:cs="Times New Roman"/>
          <w:color w:val="auto"/>
          <w:vertAlign w:val="superscript"/>
        </w:rPr>
        <w:footnoteReference w:id="37"/>
      </w:r>
      <w:r w:rsidRPr="009A0EAF">
        <w:rPr>
          <w:rStyle w:val="None"/>
          <w:rFonts w:ascii="Times New Roman" w:hAnsi="Times New Roman" w:cs="Times New Roman"/>
          <w:color w:val="auto"/>
        </w:rPr>
        <w:t xml:space="preserve"> Following the first school of thought, the tribunal considered the </w:t>
      </w:r>
      <w:r w:rsidR="001532ED" w:rsidRPr="009A0EAF">
        <w:rPr>
          <w:rStyle w:val="None"/>
          <w:rFonts w:ascii="Times New Roman" w:hAnsi="Times New Roman" w:cs="Times New Roman"/>
          <w:color w:val="auto"/>
        </w:rPr>
        <w:t>stabilization</w:t>
      </w:r>
      <w:r w:rsidRPr="009A0EAF">
        <w:rPr>
          <w:rStyle w:val="None"/>
          <w:rFonts w:ascii="Times New Roman" w:hAnsi="Times New Roman" w:cs="Times New Roman"/>
          <w:color w:val="auto"/>
        </w:rPr>
        <w:t xml:space="preserve"> clauses included in Spain’s laws, which investors had relied upon in making their investments, sufficient to preclude a modification of such laws.</w:t>
      </w:r>
      <w:r w:rsidRPr="009A0EAF">
        <w:rPr>
          <w:rStyle w:val="None"/>
          <w:rFonts w:ascii="Times New Roman" w:eastAsia="Times New Roman" w:hAnsi="Times New Roman" w:cs="Times New Roman"/>
          <w:color w:val="auto"/>
          <w:vertAlign w:val="superscript"/>
        </w:rPr>
        <w:footnoteReference w:id="38"/>
      </w:r>
    </w:p>
    <w:p w14:paraId="03187416" w14:textId="623BC819"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tribunal contrasted this perspective with the second school of thought, according to which specific commitments cannot arise from general legislation and </w:t>
      </w:r>
      <w:r w:rsidR="001532ED" w:rsidRPr="009A0EAF">
        <w:rPr>
          <w:rStyle w:val="None"/>
          <w:rFonts w:ascii="Times New Roman" w:eastAsia="Times New Roman" w:hAnsi="Times New Roman" w:cs="Times New Roman"/>
          <w:color w:val="auto"/>
        </w:rPr>
        <w:t>stabilization</w:t>
      </w:r>
      <w:r w:rsidRPr="009A0EAF">
        <w:rPr>
          <w:rStyle w:val="None"/>
          <w:rFonts w:ascii="Times New Roman" w:eastAsia="Times New Roman" w:hAnsi="Times New Roman" w:cs="Times New Roman"/>
          <w:color w:val="auto"/>
        </w:rPr>
        <w:t xml:space="preserve"> clauses in the law</w:t>
      </w:r>
      <w:r w:rsidR="001532ED" w:rsidRPr="009A0EAF">
        <w:rPr>
          <w:rStyle w:val="None"/>
          <w:rFonts w:ascii="Times New Roman" w:eastAsia="Times New Roman" w:hAnsi="Times New Roman" w:cs="Times New Roman"/>
          <w:color w:val="auto"/>
        </w:rPr>
        <w:t>, which</w:t>
      </w:r>
      <w:r w:rsidRPr="009A0EAF">
        <w:rPr>
          <w:rStyle w:val="None"/>
          <w:rFonts w:ascii="Times New Roman" w:eastAsia="Times New Roman" w:hAnsi="Times New Roman" w:cs="Times New Roman"/>
          <w:color w:val="auto"/>
        </w:rPr>
        <w:t xml:space="preserve"> are as much subject to change as all the other provisions of the law. The only limit to state</w:t>
      </w:r>
      <w:r w:rsidRPr="009A0EAF">
        <w:rPr>
          <w:rStyle w:val="None"/>
          <w:rFonts w:ascii="Times New Roman" w:hAnsi="Times New Roman" w:cs="Times New Roman"/>
          <w:color w:val="auto"/>
        </w:rPr>
        <w:t xml:space="preserve">’s legislative power are constitutional principles of its own internal legal order or international </w:t>
      </w:r>
      <w:r w:rsidRPr="009A0EAF">
        <w:rPr>
          <w:rStyle w:val="None"/>
          <w:rFonts w:ascii="Times New Roman" w:hAnsi="Times New Roman" w:cs="Times New Roman"/>
          <w:i/>
          <w:iCs/>
          <w:color w:val="auto"/>
        </w:rPr>
        <w:t>jus cogens</w:t>
      </w:r>
      <w:r w:rsidRPr="009A0EAF">
        <w:rPr>
          <w:rStyle w:val="None"/>
          <w:rFonts w:ascii="Times New Roman" w:hAnsi="Times New Roman" w:cs="Times New Roman"/>
          <w:color w:val="auto"/>
        </w:rPr>
        <w:t>.</w:t>
      </w:r>
      <w:r w:rsidRPr="009A0EAF">
        <w:rPr>
          <w:rStyle w:val="None"/>
          <w:rFonts w:ascii="Times New Roman" w:eastAsia="Times New Roman" w:hAnsi="Times New Roman" w:cs="Times New Roman"/>
          <w:color w:val="auto"/>
          <w:vertAlign w:val="superscript"/>
        </w:rPr>
        <w:footnoteReference w:id="39"/>
      </w:r>
      <w:r w:rsidRPr="009A0EAF">
        <w:rPr>
          <w:rStyle w:val="None"/>
          <w:rFonts w:ascii="Times New Roman" w:hAnsi="Times New Roman" w:cs="Times New Roman"/>
          <w:color w:val="auto"/>
        </w:rPr>
        <w:t xml:space="preserve"> Representative of this school is the award in</w:t>
      </w:r>
      <w:r w:rsidRPr="009A0EAF">
        <w:rPr>
          <w:rStyle w:val="None"/>
          <w:rFonts w:ascii="Times New Roman" w:hAnsi="Times New Roman" w:cs="Times New Roman"/>
          <w:i/>
          <w:iCs/>
          <w:color w:val="auto"/>
        </w:rPr>
        <w:t xml:space="preserve"> El Paso v. Argentina</w:t>
      </w:r>
      <w:r w:rsidRPr="009A0EAF">
        <w:rPr>
          <w:rStyle w:val="None"/>
          <w:rFonts w:ascii="Times New Roman" w:hAnsi="Times New Roman" w:cs="Times New Roman"/>
          <w:color w:val="auto"/>
        </w:rPr>
        <w:t>, where the tribunal held that “a reasonable general regulation can be considered a violation of the FET standard if it violates a specific commitment towards the investor.”</w:t>
      </w:r>
      <w:r w:rsidRPr="009A0EAF">
        <w:rPr>
          <w:rStyle w:val="None"/>
          <w:rFonts w:ascii="Times New Roman" w:eastAsia="Times New Roman" w:hAnsi="Times New Roman" w:cs="Times New Roman"/>
          <w:color w:val="auto"/>
          <w:vertAlign w:val="superscript"/>
        </w:rPr>
        <w:footnoteReference w:id="40"/>
      </w:r>
      <w:r w:rsidRPr="009A0EAF">
        <w:rPr>
          <w:rStyle w:val="None"/>
          <w:rFonts w:ascii="Times New Roman" w:hAnsi="Times New Roman" w:cs="Times New Roman"/>
          <w:color w:val="auto"/>
        </w:rPr>
        <w:t xml:space="preserve"> </w:t>
      </w:r>
    </w:p>
    <w:p w14:paraId="5C2A1CA6" w14:textId="2A784CC3"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Noting that there is no general definition of </w:t>
      </w:r>
      <w:r w:rsidRPr="009A0EAF">
        <w:rPr>
          <w:rStyle w:val="None"/>
          <w:rFonts w:ascii="Times New Roman" w:hAnsi="Times New Roman" w:cs="Times New Roman"/>
          <w:color w:val="auto"/>
        </w:rPr>
        <w:t xml:space="preserve">“specific commitments”, which are context-specific, the </w:t>
      </w:r>
      <w:r w:rsidRPr="009A0EAF">
        <w:rPr>
          <w:rStyle w:val="None"/>
          <w:rFonts w:ascii="Times New Roman" w:hAnsi="Times New Roman" w:cs="Times New Roman"/>
          <w:i/>
          <w:iCs/>
          <w:color w:val="auto"/>
        </w:rPr>
        <w:t>El Paso</w:t>
      </w:r>
      <w:r w:rsidRPr="009A0EAF">
        <w:rPr>
          <w:rStyle w:val="None"/>
          <w:rFonts w:ascii="Times New Roman" w:hAnsi="Times New Roman" w:cs="Times New Roman"/>
          <w:color w:val="auto"/>
        </w:rPr>
        <w:t xml:space="preserve"> tribunal, nevertheless, identified two types of commitments that might be considered specific: those specific as to their addressee and those specific regarding their object and purpose.</w:t>
      </w:r>
      <w:r w:rsidRPr="009A0EAF">
        <w:rPr>
          <w:rStyle w:val="None"/>
          <w:rFonts w:ascii="Times New Roman" w:eastAsia="Times New Roman" w:hAnsi="Times New Roman" w:cs="Times New Roman"/>
          <w:color w:val="auto"/>
          <w:vertAlign w:val="superscript"/>
        </w:rPr>
        <w:footnoteReference w:id="41"/>
      </w:r>
      <w:r w:rsidRPr="009A0EAF">
        <w:rPr>
          <w:rStyle w:val="None"/>
          <w:rFonts w:ascii="Times New Roman" w:hAnsi="Times New Roman" w:cs="Times New Roman"/>
          <w:color w:val="auto"/>
        </w:rPr>
        <w:t xml:space="preserve"> Under the first category fall those commitments made directly to the investor, on which the latter has relied; for </w:t>
      </w:r>
      <w:r w:rsidRPr="009A0EAF">
        <w:rPr>
          <w:rStyle w:val="None"/>
          <w:rFonts w:ascii="Times New Roman" w:hAnsi="Times New Roman" w:cs="Times New Roman"/>
          <w:color w:val="auto"/>
        </w:rPr>
        <w:lastRenderedPageBreak/>
        <w:t>example, commitments included in a contract. The second category refers to commitments “the precise object of which is to give a real guarantee of stability to the investor.”</w:t>
      </w:r>
      <w:r w:rsidRPr="009A0EAF">
        <w:rPr>
          <w:rStyle w:val="None"/>
          <w:rFonts w:ascii="Times New Roman" w:eastAsia="Times New Roman" w:hAnsi="Times New Roman" w:cs="Times New Roman"/>
          <w:color w:val="auto"/>
          <w:vertAlign w:val="superscript"/>
        </w:rPr>
        <w:footnoteReference w:id="42"/>
      </w:r>
      <w:r w:rsidRPr="009A0EAF">
        <w:rPr>
          <w:rStyle w:val="None"/>
          <w:rFonts w:ascii="Times New Roman" w:hAnsi="Times New Roman" w:cs="Times New Roman"/>
          <w:color w:val="auto"/>
        </w:rPr>
        <w:t xml:space="preserve"> </w:t>
      </w:r>
    </w:p>
    <w:p w14:paraId="5699F009" w14:textId="64259AF9"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award in </w:t>
      </w:r>
      <w:r w:rsidRPr="009A0EAF">
        <w:rPr>
          <w:rStyle w:val="None"/>
          <w:rFonts w:ascii="Times New Roman" w:hAnsi="Times New Roman" w:cs="Times New Roman"/>
          <w:i/>
          <w:iCs/>
          <w:color w:val="auto"/>
        </w:rPr>
        <w:t>Continental Casualty v. Argentina</w:t>
      </w:r>
      <w:r w:rsidRPr="009A0EAF">
        <w:rPr>
          <w:rStyle w:val="None"/>
          <w:rFonts w:ascii="Times New Roman" w:hAnsi="Times New Roman" w:cs="Times New Roman"/>
          <w:color w:val="auto"/>
        </w:rPr>
        <w:t xml:space="preserve"> shed some more clarity on the criteria used to give content to the abstract concept of “reasonable legitimate expectations” as a central element of the standard of fair and equitable treatment.</w:t>
      </w:r>
      <w:r w:rsidRPr="009A0EAF">
        <w:rPr>
          <w:rStyle w:val="None"/>
          <w:rFonts w:ascii="Times New Roman" w:eastAsia="Times New Roman" w:hAnsi="Times New Roman" w:cs="Times New Roman"/>
          <w:color w:val="auto"/>
          <w:vertAlign w:val="superscript"/>
        </w:rPr>
        <w:footnoteReference w:id="43"/>
      </w:r>
      <w:r w:rsidRPr="009A0EAF">
        <w:rPr>
          <w:rStyle w:val="None"/>
          <w:rFonts w:ascii="Times New Roman" w:hAnsi="Times New Roman" w:cs="Times New Roman"/>
          <w:color w:val="auto"/>
        </w:rPr>
        <w:t xml:space="preserve"> Contrasting the case before it with previous disputes that involved “specific undertakings” (legislative, administrative or contractual), directed at or agreed with the investor,</w:t>
      </w:r>
      <w:r w:rsidRPr="009A0EAF">
        <w:rPr>
          <w:rStyle w:val="None"/>
          <w:rFonts w:ascii="Times New Roman" w:eastAsia="Times New Roman" w:hAnsi="Times New Roman" w:cs="Times New Roman"/>
          <w:color w:val="auto"/>
          <w:vertAlign w:val="superscript"/>
        </w:rPr>
        <w:footnoteReference w:id="44"/>
      </w:r>
      <w:r w:rsidRPr="009A0EAF">
        <w:rPr>
          <w:rStyle w:val="None"/>
          <w:rFonts w:ascii="Times New Roman" w:hAnsi="Times New Roman" w:cs="Times New Roman"/>
          <w:color w:val="auto"/>
        </w:rPr>
        <w:t xml:space="preserve"> the </w:t>
      </w:r>
      <w:r w:rsidRPr="009A0EAF">
        <w:rPr>
          <w:rStyle w:val="None"/>
          <w:rFonts w:ascii="Times New Roman" w:hAnsi="Times New Roman" w:cs="Times New Roman"/>
          <w:i/>
          <w:iCs/>
          <w:color w:val="auto"/>
        </w:rPr>
        <w:t>Continental</w:t>
      </w:r>
      <w:r w:rsidRPr="009A0EAF">
        <w:rPr>
          <w:rStyle w:val="None"/>
          <w:rFonts w:ascii="Times New Roman" w:hAnsi="Times New Roman" w:cs="Times New Roman"/>
          <w:color w:val="auto"/>
        </w:rPr>
        <w:t xml:space="preserve"> tribunal identified several factors to interpret “legitimate expectations”, such as “the specificity of the undertaking allegedly relied upon”.</w:t>
      </w:r>
      <w:r w:rsidRPr="009A0EAF">
        <w:rPr>
          <w:rStyle w:val="None"/>
          <w:rFonts w:ascii="Times New Roman" w:eastAsia="Times New Roman" w:hAnsi="Times New Roman" w:cs="Times New Roman"/>
          <w:color w:val="auto"/>
          <w:vertAlign w:val="superscript"/>
        </w:rPr>
        <w:footnoteReference w:id="45"/>
      </w:r>
      <w:r w:rsidRPr="009A0EAF">
        <w:rPr>
          <w:rStyle w:val="None"/>
          <w:rFonts w:ascii="Times New Roman" w:hAnsi="Times New Roman" w:cs="Times New Roman"/>
          <w:color w:val="auto"/>
        </w:rPr>
        <w:t xml:space="preserve"> </w:t>
      </w:r>
    </w:p>
    <w:p w14:paraId="6A9A710B" w14:textId="11B71CE6"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In this context, the tribunal noted that </w:t>
      </w:r>
      <w:r w:rsidRPr="009A0EAF">
        <w:rPr>
          <w:rStyle w:val="None"/>
          <w:rFonts w:ascii="Times New Roman" w:hAnsi="Times New Roman" w:cs="Times New Roman"/>
          <w:color w:val="auto"/>
        </w:rPr>
        <w:t>“</w:t>
      </w:r>
      <w:r w:rsidRPr="009A0EAF">
        <w:rPr>
          <w:rStyle w:val="None"/>
          <w:rFonts w:ascii="Times New Roman" w:hAnsi="Times New Roman" w:cs="Times New Roman"/>
          <w:i/>
          <w:iCs/>
          <w:color w:val="auto"/>
        </w:rPr>
        <w:t>general legislative statements engender reduced expectations</w:t>
      </w:r>
      <w:r w:rsidRPr="009A0EAF">
        <w:rPr>
          <w:rStyle w:val="None"/>
          <w:rFonts w:ascii="Times New Roman" w:hAnsi="Times New Roman" w:cs="Times New Roman"/>
          <w:color w:val="auto"/>
        </w:rPr>
        <w:t>, especially with competent major international investors in a context where the political risk is high”. Such general legislation is by nature evolutionary, i.e. subject to subsequent modification or even withdrawal.</w:t>
      </w:r>
      <w:r w:rsidRPr="009A0EAF">
        <w:rPr>
          <w:rStyle w:val="None"/>
          <w:rFonts w:ascii="Times New Roman" w:eastAsia="Times New Roman" w:hAnsi="Times New Roman" w:cs="Times New Roman"/>
          <w:color w:val="auto"/>
          <w:vertAlign w:val="superscript"/>
        </w:rPr>
        <w:footnoteReference w:id="46"/>
      </w:r>
      <w:r w:rsidRPr="009A0EAF">
        <w:rPr>
          <w:rStyle w:val="None"/>
          <w:rFonts w:ascii="Times New Roman" w:hAnsi="Times New Roman" w:cs="Times New Roman"/>
          <w:color w:val="auto"/>
        </w:rPr>
        <w:t xml:space="preserve"> By contrast, a unilateral governmental modification of contractual undertakings clearly warrants more scrutiny. Moreover, the tribunal found the overall impact of changes on the operation of the investment to be also relevant. In particular, good faith, non-discrimination (for example, through generally applicable laws), relevance of the public interest pursued, and any accompanying damage-control measures should be taken into account in ascertaining the “fairness” of the disputed laws and regulations.</w:t>
      </w:r>
      <w:r w:rsidRPr="009A0EAF">
        <w:rPr>
          <w:rStyle w:val="None"/>
          <w:rFonts w:ascii="Times New Roman" w:eastAsia="Times New Roman" w:hAnsi="Times New Roman" w:cs="Times New Roman"/>
          <w:color w:val="auto"/>
          <w:vertAlign w:val="superscript"/>
        </w:rPr>
        <w:footnoteReference w:id="47"/>
      </w:r>
      <w:r w:rsidRPr="009A0EAF">
        <w:rPr>
          <w:rStyle w:val="None"/>
          <w:rFonts w:ascii="Times New Roman" w:hAnsi="Times New Roman" w:cs="Times New Roman"/>
          <w:color w:val="auto"/>
        </w:rPr>
        <w:t xml:space="preserve"> </w:t>
      </w:r>
    </w:p>
    <w:p w14:paraId="41EFA2CA" w14:textId="38DC603F"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majority of the arbitrators in </w:t>
      </w:r>
      <w:r w:rsidRPr="009A0EAF">
        <w:rPr>
          <w:rStyle w:val="None"/>
          <w:rFonts w:ascii="Times New Roman" w:hAnsi="Times New Roman" w:cs="Times New Roman"/>
          <w:i/>
          <w:iCs/>
          <w:color w:val="auto"/>
        </w:rPr>
        <w:t>Charanne v. Spain</w:t>
      </w:r>
      <w:r w:rsidRPr="009A0EAF">
        <w:rPr>
          <w:rStyle w:val="None"/>
          <w:rFonts w:ascii="Times New Roman" w:hAnsi="Times New Roman" w:cs="Times New Roman"/>
          <w:color w:val="auto"/>
        </w:rPr>
        <w:t xml:space="preserve"> also subscribed to the second school of thought and rejected the Claimants’ arguments that Spain’s commitments were made specifically to the investors because its regulatory framework was addressed to a specific and limited group of investors.</w:t>
      </w:r>
      <w:r w:rsidRPr="009A0EAF">
        <w:rPr>
          <w:rStyle w:val="None"/>
          <w:rFonts w:ascii="Times New Roman" w:eastAsia="Times New Roman" w:hAnsi="Times New Roman" w:cs="Times New Roman"/>
          <w:color w:val="auto"/>
          <w:vertAlign w:val="superscript"/>
        </w:rPr>
        <w:footnoteReference w:id="48"/>
      </w:r>
      <w:r w:rsidRPr="009A0EAF">
        <w:rPr>
          <w:rStyle w:val="None"/>
          <w:rFonts w:ascii="Times New Roman" w:hAnsi="Times New Roman" w:cs="Times New Roman"/>
          <w:color w:val="auto"/>
        </w:rPr>
        <w:t xml:space="preserve"> Observing that the host state had not directed any commitments to the Claimants themselves</w:t>
      </w:r>
      <w:r w:rsidRPr="009A0EAF">
        <w:rPr>
          <w:rStyle w:val="None"/>
          <w:rFonts w:ascii="Times New Roman" w:eastAsia="Times New Roman" w:hAnsi="Times New Roman" w:cs="Times New Roman"/>
          <w:color w:val="auto"/>
          <w:vertAlign w:val="superscript"/>
        </w:rPr>
        <w:footnoteReference w:id="49"/>
      </w:r>
      <w:r w:rsidRPr="009A0EAF">
        <w:rPr>
          <w:rStyle w:val="None"/>
          <w:rFonts w:ascii="Times New Roman" w:hAnsi="Times New Roman" w:cs="Times New Roman"/>
          <w:color w:val="auto"/>
        </w:rPr>
        <w:t>, the tribunal held that the disputed royal decrees did not lose their general nature by the fact that they were directed to a limited group of investors. It also noted that converting a regulatory standard into a specific commitment of the state, by the limited character of the persons who may be affected, “would constitute an excessive limitation on power of states to regulate the economy in accordance with the public interest.”</w:t>
      </w:r>
      <w:r w:rsidRPr="009A0EAF">
        <w:rPr>
          <w:rStyle w:val="None"/>
          <w:rFonts w:ascii="Times New Roman" w:eastAsia="Times New Roman" w:hAnsi="Times New Roman" w:cs="Times New Roman"/>
          <w:color w:val="auto"/>
          <w:vertAlign w:val="superscript"/>
        </w:rPr>
        <w:footnoteReference w:id="50"/>
      </w:r>
      <w:r w:rsidRPr="009A0EAF">
        <w:rPr>
          <w:rStyle w:val="None"/>
          <w:rFonts w:ascii="Times New Roman" w:hAnsi="Times New Roman" w:cs="Times New Roman"/>
          <w:color w:val="auto"/>
        </w:rPr>
        <w:t xml:space="preserve"> </w:t>
      </w:r>
    </w:p>
    <w:p w14:paraId="2144F986" w14:textId="39E2AAB5"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In light of the above, the </w:t>
      </w:r>
      <w:r w:rsidRPr="009A0EAF">
        <w:rPr>
          <w:rStyle w:val="None"/>
          <w:rFonts w:ascii="Times New Roman" w:hAnsi="Times New Roman" w:cs="Times New Roman"/>
          <w:i/>
          <w:iCs/>
          <w:color w:val="auto"/>
        </w:rPr>
        <w:t>Charanne</w:t>
      </w:r>
      <w:r w:rsidRPr="009A0EAF">
        <w:rPr>
          <w:rStyle w:val="None"/>
          <w:rFonts w:ascii="Times New Roman" w:hAnsi="Times New Roman" w:cs="Times New Roman"/>
          <w:color w:val="auto"/>
        </w:rPr>
        <w:t xml:space="preserve"> tribunal concluded that, in the absence of specific commitments, an investor cannot have a legitimate expectation that the existing legislative and regulatory framework will not change.</w:t>
      </w:r>
      <w:r w:rsidRPr="009A0EAF">
        <w:rPr>
          <w:rStyle w:val="None"/>
          <w:rFonts w:ascii="Times New Roman" w:eastAsia="Times New Roman" w:hAnsi="Times New Roman" w:cs="Times New Roman"/>
          <w:color w:val="auto"/>
          <w:vertAlign w:val="superscript"/>
        </w:rPr>
        <w:footnoteReference w:id="51"/>
      </w:r>
      <w:r w:rsidRPr="009A0EAF">
        <w:rPr>
          <w:rStyle w:val="None"/>
          <w:rFonts w:ascii="Times New Roman" w:hAnsi="Times New Roman" w:cs="Times New Roman"/>
          <w:color w:val="auto"/>
        </w:rPr>
        <w:t xml:space="preserve"> It sided in this respect with the tribunal in </w:t>
      </w:r>
      <w:r w:rsidRPr="009A0EAF">
        <w:rPr>
          <w:rStyle w:val="None"/>
          <w:rFonts w:ascii="Times New Roman" w:hAnsi="Times New Roman" w:cs="Times New Roman"/>
          <w:i/>
          <w:iCs/>
          <w:color w:val="auto"/>
        </w:rPr>
        <w:t xml:space="preserve">Electrabel v. Hungary, </w:t>
      </w:r>
      <w:r w:rsidRPr="009A0EAF">
        <w:rPr>
          <w:rStyle w:val="None"/>
          <w:rFonts w:ascii="Times New Roman" w:hAnsi="Times New Roman" w:cs="Times New Roman"/>
          <w:color w:val="auto"/>
        </w:rPr>
        <w:t>which held that “while the investor is promised protection against unfair changes, it is well established that the host State is entitled to maintain a reasonable degree of regulatory flexibility to respond to changing circumstances in the public interest. Consequently, the requirement of fairness must not be understood as the immutability of the legal framework, but as implying that subsequent changes should be made fairly, consistently and predictably, taking into account the circumstances of the investment.”</w:t>
      </w:r>
      <w:r w:rsidRPr="009A0EAF">
        <w:rPr>
          <w:rStyle w:val="None"/>
          <w:rFonts w:ascii="Times New Roman" w:eastAsia="Times New Roman" w:hAnsi="Times New Roman" w:cs="Times New Roman"/>
          <w:color w:val="auto"/>
          <w:vertAlign w:val="superscript"/>
        </w:rPr>
        <w:footnoteReference w:id="52"/>
      </w:r>
      <w:r w:rsidRPr="009A0EAF">
        <w:rPr>
          <w:rStyle w:val="None"/>
          <w:rFonts w:ascii="Times New Roman" w:hAnsi="Times New Roman" w:cs="Times New Roman"/>
          <w:color w:val="auto"/>
        </w:rPr>
        <w:t xml:space="preserve"> </w:t>
      </w:r>
      <w:r w:rsidRPr="009A0EAF">
        <w:rPr>
          <w:rStyle w:val="None"/>
          <w:rFonts w:ascii="Times New Roman" w:hAnsi="Times New Roman" w:cs="Times New Roman"/>
          <w:color w:val="auto"/>
        </w:rPr>
        <w:br/>
        <w:t xml:space="preserve">Notably, one of the arbitrators, Professor Tawil, dissented from the majority of the </w:t>
      </w:r>
      <w:r w:rsidRPr="009A0EAF">
        <w:rPr>
          <w:rStyle w:val="None"/>
          <w:rFonts w:ascii="Times New Roman" w:hAnsi="Times New Roman" w:cs="Times New Roman"/>
          <w:i/>
          <w:iCs/>
          <w:color w:val="auto"/>
        </w:rPr>
        <w:t>Charanne</w:t>
      </w:r>
      <w:r w:rsidRPr="009A0EAF">
        <w:rPr>
          <w:rStyle w:val="None"/>
          <w:rFonts w:ascii="Times New Roman" w:hAnsi="Times New Roman" w:cs="Times New Roman"/>
          <w:color w:val="auto"/>
        </w:rPr>
        <w:t xml:space="preserve"> tribunal </w:t>
      </w:r>
      <w:r w:rsidRPr="009A0EAF">
        <w:rPr>
          <w:rStyle w:val="None"/>
          <w:rFonts w:ascii="Times New Roman" w:hAnsi="Times New Roman" w:cs="Times New Roman"/>
          <w:color w:val="auto"/>
        </w:rPr>
        <w:lastRenderedPageBreak/>
        <w:t xml:space="preserve">with regard to the interpretation of “legitimate expectations” as an element of the FET standard. Subscribing to the first school of thought, the dissenting arbitrator opined that legitimate expectations </w:t>
      </w:r>
      <w:r w:rsidR="004A4DB3" w:rsidRPr="009A0EAF">
        <w:rPr>
          <w:rStyle w:val="None"/>
          <w:rFonts w:ascii="Times New Roman" w:hAnsi="Times New Roman" w:cs="Times New Roman"/>
          <w:color w:val="auto"/>
        </w:rPr>
        <w:t>can</w:t>
      </w:r>
      <w:r w:rsidRPr="009A0EAF">
        <w:rPr>
          <w:rStyle w:val="None"/>
          <w:rFonts w:ascii="Times New Roman" w:hAnsi="Times New Roman" w:cs="Times New Roman"/>
          <w:color w:val="auto"/>
        </w:rPr>
        <w:t xml:space="preserve"> originate not only in a “specific commitment” – contractual or based on statements or specific terms granted by the host State – but can also be grounded in the legal order in force when the investment was made.</w:t>
      </w:r>
      <w:r w:rsidRPr="009A0EAF">
        <w:rPr>
          <w:rStyle w:val="None"/>
          <w:rFonts w:ascii="Times New Roman" w:eastAsia="Times New Roman" w:hAnsi="Times New Roman" w:cs="Times New Roman"/>
          <w:color w:val="auto"/>
          <w:vertAlign w:val="superscript"/>
        </w:rPr>
        <w:footnoteReference w:id="53"/>
      </w:r>
    </w:p>
    <w:p w14:paraId="6E2550DC" w14:textId="47BBB7B2"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In a similar vein, in </w:t>
      </w:r>
      <w:r w:rsidRPr="009A0EAF">
        <w:rPr>
          <w:rStyle w:val="None"/>
          <w:rFonts w:ascii="Times New Roman" w:hAnsi="Times New Roman" w:cs="Times New Roman"/>
          <w:i/>
          <w:iCs/>
          <w:color w:val="auto"/>
        </w:rPr>
        <w:t>OperaFund v. Spain</w:t>
      </w:r>
      <w:r w:rsidRPr="009A0EAF">
        <w:rPr>
          <w:rStyle w:val="None"/>
          <w:rFonts w:ascii="Times New Roman" w:hAnsi="Times New Roman" w:cs="Times New Roman"/>
          <w:color w:val="auto"/>
        </w:rPr>
        <w:t>,</w:t>
      </w:r>
      <w:r w:rsidRPr="009A0EAF">
        <w:rPr>
          <w:rStyle w:val="None"/>
          <w:rFonts w:ascii="Times New Roman" w:eastAsia="Times New Roman" w:hAnsi="Times New Roman" w:cs="Times New Roman"/>
          <w:color w:val="auto"/>
          <w:vertAlign w:val="superscript"/>
        </w:rPr>
        <w:footnoteReference w:id="54"/>
      </w:r>
      <w:r w:rsidRPr="009A0EAF">
        <w:rPr>
          <w:rStyle w:val="None"/>
          <w:rFonts w:ascii="Times New Roman" w:hAnsi="Times New Roman" w:cs="Times New Roman"/>
          <w:color w:val="auto"/>
        </w:rPr>
        <w:t xml:space="preserve"> the Claimants argued that general legislation had given rise to legitimate expectations. Among the arguments (which could be interesting also for the following section, examining the potential international responsibility of the EU under the new EU Green Deal) were the investors’ remarks that they relied on Spain’s conduct along with “its reputation as a reliable EU Member State”</w:t>
      </w:r>
      <w:r w:rsidRPr="009A0EAF">
        <w:rPr>
          <w:rStyle w:val="None"/>
          <w:rFonts w:ascii="Times New Roman" w:eastAsia="Times New Roman" w:hAnsi="Times New Roman" w:cs="Times New Roman"/>
          <w:color w:val="auto"/>
          <w:vertAlign w:val="superscript"/>
        </w:rPr>
        <w:footnoteReference w:id="55"/>
      </w:r>
      <w:r w:rsidRPr="009A0EAF">
        <w:rPr>
          <w:rStyle w:val="None"/>
          <w:rFonts w:ascii="Times New Roman" w:hAnsi="Times New Roman" w:cs="Times New Roman"/>
          <w:color w:val="auto"/>
        </w:rPr>
        <w:t xml:space="preserve"> and that the Respondent “entered into international commitments under EU and international law”</w:t>
      </w:r>
      <w:r w:rsidRPr="009A0EAF">
        <w:rPr>
          <w:rStyle w:val="None"/>
          <w:rFonts w:ascii="Times New Roman" w:eastAsia="Times New Roman" w:hAnsi="Times New Roman" w:cs="Times New Roman"/>
          <w:color w:val="auto"/>
          <w:vertAlign w:val="superscript"/>
        </w:rPr>
        <w:footnoteReference w:id="56"/>
      </w:r>
      <w:r w:rsidRPr="009A0EAF">
        <w:rPr>
          <w:rStyle w:val="None"/>
          <w:rFonts w:ascii="Times New Roman" w:hAnsi="Times New Roman" w:cs="Times New Roman"/>
          <w:color w:val="auto"/>
        </w:rPr>
        <w:t xml:space="preserve"> to promote renewable energy and reduce carbon emissions. </w:t>
      </w:r>
    </w:p>
    <w:p w14:paraId="289BF731" w14:textId="07830E9F"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Further linking the state</w:t>
      </w:r>
      <w:r w:rsidRPr="009A0EAF">
        <w:rPr>
          <w:rStyle w:val="None"/>
          <w:rFonts w:ascii="Times New Roman" w:hAnsi="Times New Roman" w:cs="Times New Roman"/>
          <w:color w:val="auto"/>
        </w:rPr>
        <w:t>’s international investment commitments with its international environmental obligations, the investors, OperaFund and Schwab, argued that Spain “intended to be bound by its guarantees” for legal and regulatory stability and “created the credible appearance that it would be so bound”.</w:t>
      </w:r>
      <w:r w:rsidRPr="009A0EAF">
        <w:rPr>
          <w:rStyle w:val="None"/>
          <w:rFonts w:ascii="Times New Roman" w:eastAsia="Times New Roman" w:hAnsi="Times New Roman" w:cs="Times New Roman"/>
          <w:color w:val="auto"/>
          <w:vertAlign w:val="superscript"/>
        </w:rPr>
        <w:footnoteReference w:id="57"/>
      </w:r>
      <w:r w:rsidRPr="009A0EAF">
        <w:rPr>
          <w:rStyle w:val="None"/>
          <w:rFonts w:ascii="Times New Roman" w:hAnsi="Times New Roman" w:cs="Times New Roman"/>
          <w:color w:val="auto"/>
        </w:rPr>
        <w:t xml:space="preserve"> The Claimants stressed that “without creating this appearance, Respondent's RE policies would be a catastrophe, and Respondent would risk breaching its </w:t>
      </w:r>
      <w:r w:rsidRPr="009A0EAF">
        <w:rPr>
          <w:rStyle w:val="None"/>
          <w:rFonts w:ascii="Times New Roman" w:hAnsi="Times New Roman" w:cs="Times New Roman"/>
          <w:i/>
          <w:iCs/>
          <w:color w:val="auto"/>
        </w:rPr>
        <w:t>international environmental commitments</w:t>
      </w:r>
      <w:r w:rsidRPr="009A0EAF">
        <w:rPr>
          <w:rStyle w:val="None"/>
          <w:rFonts w:ascii="Times New Roman" w:hAnsi="Times New Roman" w:cs="Times New Roman"/>
          <w:color w:val="auto"/>
        </w:rPr>
        <w:t xml:space="preserve"> if no investors came.”</w:t>
      </w:r>
      <w:r w:rsidRPr="009A0EAF">
        <w:rPr>
          <w:rStyle w:val="None"/>
          <w:rFonts w:ascii="Times New Roman" w:eastAsia="Times New Roman" w:hAnsi="Times New Roman" w:cs="Times New Roman"/>
          <w:color w:val="auto"/>
          <w:vertAlign w:val="superscript"/>
        </w:rPr>
        <w:footnoteReference w:id="58"/>
      </w:r>
      <w:r w:rsidRPr="009A0EAF">
        <w:rPr>
          <w:rStyle w:val="None"/>
          <w:rFonts w:ascii="Times New Roman" w:hAnsi="Times New Roman" w:cs="Times New Roman"/>
          <w:color w:val="auto"/>
        </w:rPr>
        <w:t xml:space="preserve"> </w:t>
      </w:r>
    </w:p>
    <w:p w14:paraId="0266E29A" w14:textId="49D48CE7"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investors also claimed that specific commitments are not just those addressed to a particular investor or group of investors, but also include those which are </w:t>
      </w:r>
      <w:r w:rsidRPr="009A0EAF">
        <w:rPr>
          <w:rStyle w:val="None"/>
          <w:rFonts w:ascii="Times New Roman" w:hAnsi="Times New Roman" w:cs="Times New Roman"/>
          <w:color w:val="auto"/>
        </w:rPr>
        <w:t>“specific regarding their object and purpose.”</w:t>
      </w:r>
      <w:r w:rsidRPr="009A0EAF">
        <w:rPr>
          <w:rStyle w:val="None"/>
          <w:rFonts w:ascii="Times New Roman" w:eastAsia="Times New Roman" w:hAnsi="Times New Roman" w:cs="Times New Roman"/>
          <w:color w:val="auto"/>
          <w:vertAlign w:val="superscript"/>
        </w:rPr>
        <w:footnoteReference w:id="59"/>
      </w:r>
      <w:r w:rsidRPr="009A0EAF">
        <w:rPr>
          <w:rStyle w:val="None"/>
          <w:rFonts w:ascii="Times New Roman" w:hAnsi="Times New Roman" w:cs="Times New Roman"/>
          <w:color w:val="auto"/>
        </w:rPr>
        <w:t xml:space="preserve"> Pointing to a press release that accompanied the enactment of the regulatory regime and which allegedly also contained a specific commitment that the regulatory framework would remain stable, the Claimants argued that, by acceding to the ECT, the Respondent “accepted a limitation on its powers to alter the remuneration framework” applicable to the investment and committed to not contradict with impunity any “clear and repeated assurances of a long-term and stable framework, if it subsequently decided to take the remuneration framework apart.”</w:t>
      </w:r>
      <w:r w:rsidRPr="009A0EAF">
        <w:rPr>
          <w:rStyle w:val="None"/>
          <w:rFonts w:ascii="Times New Roman" w:eastAsia="Times New Roman" w:hAnsi="Times New Roman" w:cs="Times New Roman"/>
          <w:color w:val="auto"/>
          <w:vertAlign w:val="superscript"/>
        </w:rPr>
        <w:footnoteReference w:id="60"/>
      </w:r>
      <w:r w:rsidRPr="009A0EAF">
        <w:rPr>
          <w:rStyle w:val="None"/>
          <w:rFonts w:ascii="Times New Roman" w:hAnsi="Times New Roman" w:cs="Times New Roman"/>
          <w:color w:val="auto"/>
        </w:rPr>
        <w:t xml:space="preserve"> </w:t>
      </w:r>
    </w:p>
    <w:p w14:paraId="400FF294" w14:textId="7A2E5B06"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Claimants referred also to the conduct of the European Commission, noting that the EC State Aid Decision of 2017 </w:t>
      </w:r>
      <w:r w:rsidRPr="009A0EAF">
        <w:rPr>
          <w:rStyle w:val="None"/>
          <w:rFonts w:ascii="Times New Roman" w:hAnsi="Times New Roman" w:cs="Times New Roman"/>
          <w:color w:val="auto"/>
        </w:rPr>
        <w:t>“did not assess the Original Regime</w:t>
      </w:r>
      <w:r w:rsidR="00941FD7" w:rsidRPr="009A0EAF">
        <w:rPr>
          <w:rStyle w:val="None"/>
          <w:rFonts w:ascii="Times New Roman" w:hAnsi="Times New Roman" w:cs="Times New Roman"/>
          <w:color w:val="auto"/>
        </w:rPr>
        <w:t>’s</w:t>
      </w:r>
      <w:r w:rsidRPr="009A0EAF">
        <w:rPr>
          <w:rStyle w:val="None"/>
          <w:rFonts w:ascii="Times New Roman" w:hAnsi="Times New Roman" w:cs="Times New Roman"/>
          <w:color w:val="auto"/>
        </w:rPr>
        <w:t xml:space="preserve"> (RD 661/2007) compatibility with the EU internal market at the time of its enactment, because the Original Regime was never notified to the EC, as neither Respondent nor the EC deemed it to constitute State Aid under CJEU Case law.”</w:t>
      </w:r>
      <w:r w:rsidRPr="009A0EAF">
        <w:rPr>
          <w:rStyle w:val="None"/>
          <w:rFonts w:ascii="Times New Roman" w:eastAsia="Times New Roman" w:hAnsi="Times New Roman" w:cs="Times New Roman"/>
          <w:color w:val="auto"/>
          <w:vertAlign w:val="superscript"/>
        </w:rPr>
        <w:footnoteReference w:id="61"/>
      </w:r>
      <w:r w:rsidRPr="009A0EAF">
        <w:rPr>
          <w:rStyle w:val="None"/>
          <w:rFonts w:ascii="Times New Roman" w:hAnsi="Times New Roman" w:cs="Times New Roman"/>
          <w:color w:val="auto"/>
        </w:rPr>
        <w:t xml:space="preserve"> The investors thus contented that they were entitled to rely on Respondent's and the EC's conduct, and Respondent was </w:t>
      </w:r>
      <w:r w:rsidRPr="009A0EAF">
        <w:rPr>
          <w:rStyle w:val="None"/>
          <w:rFonts w:ascii="Times New Roman" w:hAnsi="Times New Roman" w:cs="Times New Roman"/>
          <w:i/>
          <w:iCs/>
          <w:color w:val="auto"/>
        </w:rPr>
        <w:t>estopped</w:t>
      </w:r>
      <w:r w:rsidRPr="009A0EAF">
        <w:rPr>
          <w:rStyle w:val="None"/>
          <w:rFonts w:ascii="Times New Roman" w:hAnsi="Times New Roman" w:cs="Times New Roman"/>
          <w:color w:val="auto"/>
        </w:rPr>
        <w:t xml:space="preserve"> from invoking the EC Decision to escape international liability under the ECT.”</w:t>
      </w:r>
      <w:r w:rsidRPr="009A0EAF">
        <w:rPr>
          <w:rStyle w:val="None"/>
          <w:rFonts w:ascii="Times New Roman" w:eastAsia="Times New Roman" w:hAnsi="Times New Roman" w:cs="Times New Roman"/>
          <w:color w:val="auto"/>
          <w:vertAlign w:val="superscript"/>
        </w:rPr>
        <w:footnoteReference w:id="62"/>
      </w:r>
      <w:r w:rsidRPr="009A0EAF">
        <w:rPr>
          <w:rStyle w:val="None"/>
          <w:rFonts w:ascii="Times New Roman" w:hAnsi="Times New Roman" w:cs="Times New Roman"/>
          <w:color w:val="auto"/>
        </w:rPr>
        <w:t xml:space="preserve"> The Respondent also noted that the Claimants’ witness stated that Schwab invested in Spain “relying on the EU legal order.”</w:t>
      </w:r>
      <w:r w:rsidRPr="009A0EAF">
        <w:rPr>
          <w:rStyle w:val="None"/>
          <w:rFonts w:ascii="Times New Roman" w:eastAsia="Times New Roman" w:hAnsi="Times New Roman" w:cs="Times New Roman"/>
          <w:color w:val="auto"/>
          <w:vertAlign w:val="superscript"/>
        </w:rPr>
        <w:footnoteReference w:id="63"/>
      </w:r>
    </w:p>
    <w:p w14:paraId="3EDA004B" w14:textId="5F66DE9A"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The Respondent rebutted the Claimants</w:t>
      </w:r>
      <w:r w:rsidRPr="009A0EAF">
        <w:rPr>
          <w:rStyle w:val="None"/>
          <w:rFonts w:ascii="Times New Roman" w:hAnsi="Times New Roman" w:cs="Times New Roman"/>
          <w:color w:val="auto"/>
        </w:rPr>
        <w:t xml:space="preserve">’ attempt to build an expectation based on a generally applicable regulation. Spain argued that regulations are by nature changeable and prone to legislative adaptation to the changing economic and technical circumstances. Invoking the case law of the </w:t>
      </w:r>
      <w:r w:rsidRPr="009A0EAF">
        <w:rPr>
          <w:rStyle w:val="None"/>
          <w:rFonts w:ascii="Times New Roman" w:hAnsi="Times New Roman" w:cs="Times New Roman"/>
          <w:color w:val="auto"/>
        </w:rPr>
        <w:lastRenderedPageBreak/>
        <w:t xml:space="preserve">Spanish Supreme Court and other arbitral awards such as those in </w:t>
      </w:r>
      <w:r w:rsidRPr="009A0EAF">
        <w:rPr>
          <w:rStyle w:val="None"/>
          <w:rFonts w:ascii="Times New Roman" w:hAnsi="Times New Roman" w:cs="Times New Roman"/>
          <w:i/>
          <w:iCs/>
          <w:color w:val="auto"/>
        </w:rPr>
        <w:t>Isolux</w:t>
      </w:r>
      <w:r w:rsidRPr="009A0EAF">
        <w:rPr>
          <w:rStyle w:val="None"/>
          <w:rFonts w:ascii="Times New Roman" w:eastAsia="Times New Roman" w:hAnsi="Times New Roman" w:cs="Times New Roman"/>
          <w:i/>
          <w:iCs/>
          <w:color w:val="auto"/>
          <w:vertAlign w:val="superscript"/>
        </w:rPr>
        <w:footnoteReference w:id="64"/>
      </w:r>
      <w:r w:rsidRPr="009A0EAF">
        <w:rPr>
          <w:rStyle w:val="None"/>
          <w:rFonts w:ascii="Times New Roman" w:hAnsi="Times New Roman" w:cs="Times New Roman"/>
          <w:color w:val="auto"/>
        </w:rPr>
        <w:t xml:space="preserve"> and </w:t>
      </w:r>
      <w:r w:rsidRPr="009A0EAF">
        <w:rPr>
          <w:rStyle w:val="None"/>
          <w:rFonts w:ascii="Times New Roman" w:hAnsi="Times New Roman" w:cs="Times New Roman"/>
          <w:i/>
          <w:iCs/>
          <w:color w:val="auto"/>
        </w:rPr>
        <w:t>Charanne</w:t>
      </w:r>
      <w:r w:rsidRPr="009A0EAF">
        <w:rPr>
          <w:rStyle w:val="None"/>
          <w:rFonts w:ascii="Times New Roman" w:hAnsi="Times New Roman" w:cs="Times New Roman"/>
          <w:color w:val="auto"/>
        </w:rPr>
        <w:t>,</w:t>
      </w:r>
      <w:r w:rsidRPr="009A0EAF">
        <w:rPr>
          <w:rStyle w:val="None"/>
          <w:rFonts w:ascii="Times New Roman" w:eastAsia="Times New Roman" w:hAnsi="Times New Roman" w:cs="Times New Roman"/>
          <w:color w:val="auto"/>
          <w:vertAlign w:val="superscript"/>
        </w:rPr>
        <w:footnoteReference w:id="65"/>
      </w:r>
      <w:r w:rsidRPr="009A0EAF">
        <w:rPr>
          <w:rStyle w:val="None"/>
          <w:rFonts w:ascii="Times New Roman" w:hAnsi="Times New Roman" w:cs="Times New Roman"/>
          <w:color w:val="auto"/>
        </w:rPr>
        <w:t xml:space="preserve"> Spain retorted that the regulatory framework only guaranteed “a reasonable rate of return”.</w:t>
      </w:r>
      <w:r w:rsidRPr="009A0EAF">
        <w:rPr>
          <w:rStyle w:val="None"/>
          <w:rFonts w:ascii="Times New Roman" w:eastAsia="Times New Roman" w:hAnsi="Times New Roman" w:cs="Times New Roman"/>
          <w:color w:val="auto"/>
          <w:vertAlign w:val="superscript"/>
        </w:rPr>
        <w:footnoteReference w:id="66"/>
      </w:r>
      <w:r w:rsidRPr="009A0EAF">
        <w:rPr>
          <w:rStyle w:val="None"/>
          <w:rFonts w:ascii="Times New Roman" w:hAnsi="Times New Roman" w:cs="Times New Roman"/>
          <w:color w:val="auto"/>
        </w:rPr>
        <w:t xml:space="preserve"> On the contrary, there was no reasonable expectation of regulatory “freezing” as government interventions in the market were frequent and any reasonable investor would know that the government would intervene to fix market distortions or overcompensation constituting State aid under EU law.</w:t>
      </w:r>
      <w:r w:rsidRPr="009A0EAF">
        <w:rPr>
          <w:rStyle w:val="None"/>
          <w:rFonts w:ascii="Times New Roman" w:eastAsia="Times New Roman" w:hAnsi="Times New Roman" w:cs="Times New Roman"/>
          <w:color w:val="auto"/>
          <w:vertAlign w:val="superscript"/>
        </w:rPr>
        <w:footnoteReference w:id="67"/>
      </w:r>
    </w:p>
    <w:p w14:paraId="4C4A16A3" w14:textId="0876A9AB"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 Spain stressed that objective expectations cannot be formed independently of the state</w:t>
      </w:r>
      <w:r w:rsidRPr="009A0EAF">
        <w:rPr>
          <w:rStyle w:val="None"/>
          <w:rFonts w:ascii="Times New Roman" w:hAnsi="Times New Roman" w:cs="Times New Roman"/>
          <w:color w:val="auto"/>
        </w:rPr>
        <w:t>’s regulatory framework and that case law showed that change was possible and that changes could affect existing facilities. The Respondent pointed particularly to the consistent judgments of the Spanish Supreme Court, which reiterated that “the principle of legitimate expectations does not guarantee the perpetuation of the existing situation; which can be modified at the discretion of the institutions and public authorities to impose new regulations taking into account the needs of the general interest.”</w:t>
      </w:r>
      <w:r w:rsidRPr="009A0EAF">
        <w:rPr>
          <w:rStyle w:val="None"/>
          <w:rFonts w:ascii="Times New Roman" w:eastAsia="Times New Roman" w:hAnsi="Times New Roman" w:cs="Times New Roman"/>
          <w:color w:val="auto"/>
          <w:vertAlign w:val="superscript"/>
        </w:rPr>
        <w:footnoteReference w:id="68"/>
      </w:r>
      <w:r w:rsidRPr="009A0EAF">
        <w:rPr>
          <w:rStyle w:val="None"/>
          <w:rFonts w:ascii="Times New Roman" w:hAnsi="Times New Roman" w:cs="Times New Roman"/>
          <w:color w:val="auto"/>
        </w:rPr>
        <w:t xml:space="preserve"> Spain also underlined that the ECT is not an insurance policy against regulatory risks</w:t>
      </w:r>
      <w:r w:rsidRPr="009A0EAF">
        <w:rPr>
          <w:rStyle w:val="None"/>
          <w:rFonts w:ascii="Times New Roman" w:eastAsia="Times New Roman" w:hAnsi="Times New Roman" w:cs="Times New Roman"/>
          <w:color w:val="auto"/>
          <w:vertAlign w:val="superscript"/>
        </w:rPr>
        <w:footnoteReference w:id="69"/>
      </w:r>
      <w:r w:rsidRPr="009A0EAF">
        <w:rPr>
          <w:rStyle w:val="None"/>
          <w:rFonts w:ascii="Times New Roman" w:hAnsi="Times New Roman" w:cs="Times New Roman"/>
          <w:color w:val="auto"/>
        </w:rPr>
        <w:t xml:space="preserve"> and contrasted the present case to those where specific commitments were made to investors, for example, through concession contracts that included </w:t>
      </w:r>
      <w:r w:rsidR="005D16F2" w:rsidRPr="009A0EAF">
        <w:rPr>
          <w:rStyle w:val="None"/>
          <w:rFonts w:ascii="Times New Roman" w:hAnsi="Times New Roman" w:cs="Times New Roman"/>
          <w:color w:val="auto"/>
        </w:rPr>
        <w:t>stabilization</w:t>
      </w:r>
      <w:r w:rsidRPr="009A0EAF">
        <w:rPr>
          <w:rStyle w:val="None"/>
          <w:rFonts w:ascii="Times New Roman" w:hAnsi="Times New Roman" w:cs="Times New Roman"/>
          <w:color w:val="auto"/>
        </w:rPr>
        <w:t xml:space="preserve"> clauses in their favour. </w:t>
      </w:r>
      <w:r w:rsidRPr="009A0EAF">
        <w:rPr>
          <w:rStyle w:val="None"/>
          <w:rFonts w:ascii="Times New Roman" w:eastAsia="Times New Roman" w:hAnsi="Times New Roman" w:cs="Times New Roman"/>
          <w:color w:val="auto"/>
          <w:vertAlign w:val="superscript"/>
        </w:rPr>
        <w:footnoteReference w:id="70"/>
      </w:r>
    </w:p>
    <w:p w14:paraId="51533970" w14:textId="4B57B1EE"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The tribunal took issue with Spain</w:t>
      </w:r>
      <w:r w:rsidRPr="009A0EAF">
        <w:rPr>
          <w:rStyle w:val="None"/>
          <w:rFonts w:ascii="Times New Roman" w:hAnsi="Times New Roman" w:cs="Times New Roman"/>
          <w:color w:val="auto"/>
        </w:rPr>
        <w:t>’s interpretation of its laws and regulations and held that the disputed Royal Decree (“RD”)</w:t>
      </w:r>
      <w:r w:rsidRPr="009A0EAF">
        <w:rPr>
          <w:rStyle w:val="None"/>
          <w:rFonts w:ascii="Times New Roman" w:eastAsia="Times New Roman" w:hAnsi="Times New Roman" w:cs="Times New Roman"/>
          <w:color w:val="auto"/>
          <w:vertAlign w:val="superscript"/>
        </w:rPr>
        <w:footnoteReference w:id="71"/>
      </w:r>
      <w:r w:rsidRPr="009A0EAF">
        <w:rPr>
          <w:rStyle w:val="None"/>
          <w:rFonts w:ascii="Times New Roman" w:hAnsi="Times New Roman" w:cs="Times New Roman"/>
          <w:color w:val="auto"/>
        </w:rPr>
        <w:t xml:space="preserve"> undoubtedly contained a </w:t>
      </w:r>
      <w:r w:rsidR="00395D9B" w:rsidRPr="009A0EAF">
        <w:rPr>
          <w:rStyle w:val="None"/>
          <w:rFonts w:ascii="Times New Roman" w:hAnsi="Times New Roman" w:cs="Times New Roman"/>
          <w:color w:val="auto"/>
        </w:rPr>
        <w:t>stabilization</w:t>
      </w:r>
      <w:r w:rsidRPr="009A0EAF">
        <w:rPr>
          <w:rStyle w:val="None"/>
          <w:rFonts w:ascii="Times New Roman" w:hAnsi="Times New Roman" w:cs="Times New Roman"/>
          <w:color w:val="auto"/>
        </w:rPr>
        <w:t xml:space="preserve"> clause finding its expression in Article 44, which provided that “the revisions of the regulated tariff […] limits […] shall not affect facilities for which the commissioning certificate had been granted […].”</w:t>
      </w:r>
      <w:r w:rsidRPr="009A0EAF">
        <w:rPr>
          <w:rStyle w:val="None"/>
          <w:rFonts w:ascii="Times New Roman" w:eastAsia="Times New Roman" w:hAnsi="Times New Roman" w:cs="Times New Roman"/>
          <w:color w:val="auto"/>
          <w:vertAlign w:val="superscript"/>
        </w:rPr>
        <w:footnoteReference w:id="72"/>
      </w:r>
      <w:r w:rsidRPr="009A0EAF">
        <w:rPr>
          <w:rStyle w:val="None"/>
          <w:rFonts w:ascii="Times New Roman" w:hAnsi="Times New Roman" w:cs="Times New Roman"/>
          <w:color w:val="auto"/>
        </w:rPr>
        <w:t xml:space="preserve"> Siding with the </w:t>
      </w:r>
      <w:r w:rsidRPr="009A0EAF">
        <w:rPr>
          <w:rStyle w:val="None"/>
          <w:rFonts w:ascii="Times New Roman" w:hAnsi="Times New Roman" w:cs="Times New Roman"/>
          <w:i/>
          <w:iCs/>
          <w:color w:val="auto"/>
        </w:rPr>
        <w:t>Masdar</w:t>
      </w:r>
      <w:r w:rsidRPr="009A0EAF">
        <w:rPr>
          <w:rStyle w:val="None"/>
          <w:rFonts w:ascii="Times New Roman" w:hAnsi="Times New Roman" w:cs="Times New Roman"/>
          <w:color w:val="auto"/>
        </w:rPr>
        <w:t xml:space="preserve"> tribunal, which found that this </w:t>
      </w:r>
      <w:r w:rsidR="00395D9B" w:rsidRPr="009A0EAF">
        <w:rPr>
          <w:rStyle w:val="None"/>
          <w:rFonts w:ascii="Times New Roman" w:hAnsi="Times New Roman" w:cs="Times New Roman"/>
          <w:color w:val="auto"/>
        </w:rPr>
        <w:t>stabilization</w:t>
      </w:r>
      <w:r w:rsidRPr="009A0EAF">
        <w:rPr>
          <w:rStyle w:val="None"/>
          <w:rFonts w:ascii="Times New Roman" w:hAnsi="Times New Roman" w:cs="Times New Roman"/>
          <w:color w:val="auto"/>
        </w:rPr>
        <w:t xml:space="preserve"> clause could create a “specific commitment” creating “legitimate expectations that the benefits granted by RD661/2007 would remain unaltered”</w:t>
      </w:r>
      <w:r w:rsidRPr="009A0EAF">
        <w:rPr>
          <w:rStyle w:val="None"/>
          <w:rFonts w:ascii="Times New Roman" w:eastAsia="Times New Roman" w:hAnsi="Times New Roman" w:cs="Times New Roman"/>
          <w:color w:val="auto"/>
          <w:vertAlign w:val="superscript"/>
        </w:rPr>
        <w:footnoteReference w:id="73"/>
      </w:r>
      <w:r w:rsidRPr="009A0EAF">
        <w:rPr>
          <w:rStyle w:val="None"/>
          <w:rFonts w:ascii="Times New Roman" w:hAnsi="Times New Roman" w:cs="Times New Roman"/>
          <w:color w:val="auto"/>
        </w:rPr>
        <w:t xml:space="preserve">, the </w:t>
      </w:r>
      <w:r w:rsidRPr="009A0EAF">
        <w:rPr>
          <w:rStyle w:val="None"/>
          <w:rFonts w:ascii="Times New Roman" w:hAnsi="Times New Roman" w:cs="Times New Roman"/>
          <w:i/>
          <w:iCs/>
          <w:color w:val="auto"/>
        </w:rPr>
        <w:t>OperaFund</w:t>
      </w:r>
      <w:r w:rsidRPr="009A0EAF">
        <w:rPr>
          <w:rStyle w:val="None"/>
          <w:rFonts w:ascii="Times New Roman" w:hAnsi="Times New Roman" w:cs="Times New Roman"/>
          <w:color w:val="auto"/>
        </w:rPr>
        <w:t xml:space="preserve"> tribunal held that it was hard to imagine a more explicit </w:t>
      </w:r>
      <w:r w:rsidR="00395D9B" w:rsidRPr="009A0EAF">
        <w:rPr>
          <w:rStyle w:val="None"/>
          <w:rFonts w:ascii="Times New Roman" w:hAnsi="Times New Roman" w:cs="Times New Roman"/>
          <w:color w:val="auto"/>
        </w:rPr>
        <w:t>stabilization</w:t>
      </w:r>
      <w:r w:rsidRPr="009A0EAF">
        <w:rPr>
          <w:rStyle w:val="None"/>
          <w:rFonts w:ascii="Times New Roman" w:hAnsi="Times New Roman" w:cs="Times New Roman"/>
          <w:color w:val="auto"/>
        </w:rPr>
        <w:t xml:space="preserve"> assurance than the one in Article 44 of the disputed regulation.</w:t>
      </w:r>
    </w:p>
    <w:p w14:paraId="00CF6FCF" w14:textId="7E51C2C3"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hAnsi="Times New Roman" w:cs="Times New Roman"/>
          <w:color w:val="auto"/>
        </w:rPr>
        <w:t xml:space="preserve">Notably, the tribunal clarified that it did not challenge Spain’s right to regulate, which was incorporated in the </w:t>
      </w:r>
      <w:r w:rsidR="00331C1D" w:rsidRPr="009A0EAF">
        <w:rPr>
          <w:rStyle w:val="None"/>
          <w:rFonts w:ascii="Times New Roman" w:hAnsi="Times New Roman" w:cs="Times New Roman"/>
          <w:color w:val="auto"/>
        </w:rPr>
        <w:t>stabilization</w:t>
      </w:r>
      <w:r w:rsidRPr="009A0EAF">
        <w:rPr>
          <w:rStyle w:val="None"/>
          <w:rFonts w:ascii="Times New Roman" w:hAnsi="Times New Roman" w:cs="Times New Roman"/>
          <w:color w:val="auto"/>
        </w:rPr>
        <w:t xml:space="preserve"> clause itself that shielded certain existing facilities from future tariff revisions. In support of its interpretation of Spain’s regulatory framework, it invoked the award in the </w:t>
      </w:r>
      <w:r w:rsidRPr="009A0EAF">
        <w:rPr>
          <w:rStyle w:val="None"/>
          <w:rFonts w:ascii="Times New Roman" w:hAnsi="Times New Roman" w:cs="Times New Roman"/>
          <w:i/>
          <w:iCs/>
          <w:color w:val="auto"/>
        </w:rPr>
        <w:t>Novenergia</w:t>
      </w:r>
      <w:r w:rsidRPr="009A0EAF">
        <w:rPr>
          <w:rStyle w:val="None"/>
          <w:rFonts w:ascii="Times New Roman" w:hAnsi="Times New Roman" w:cs="Times New Roman"/>
          <w:color w:val="auto"/>
        </w:rPr>
        <w:t xml:space="preserve"> dispute, which found that the Claimant “made its investment in reliance of the RD 661/2007”</w:t>
      </w:r>
      <w:r w:rsidRPr="009A0EAF">
        <w:rPr>
          <w:rStyle w:val="None"/>
          <w:rFonts w:ascii="Times New Roman" w:eastAsia="Times New Roman" w:hAnsi="Times New Roman" w:cs="Times New Roman"/>
          <w:color w:val="auto"/>
          <w:vertAlign w:val="superscript"/>
        </w:rPr>
        <w:footnoteReference w:id="74"/>
      </w:r>
      <w:r w:rsidRPr="009A0EAF">
        <w:rPr>
          <w:rStyle w:val="None"/>
          <w:rFonts w:ascii="Times New Roman" w:hAnsi="Times New Roman" w:cs="Times New Roman"/>
          <w:color w:val="auto"/>
        </w:rPr>
        <w:t xml:space="preserve"> and concluded that the Claimant had a “legitimate and reasonable expectation that there would not be any radical or fundamental changes to the Special Regime as set out in RD 661/2007.”</w:t>
      </w:r>
      <w:r w:rsidRPr="009A0EAF">
        <w:rPr>
          <w:rStyle w:val="None"/>
          <w:rFonts w:ascii="Times New Roman" w:eastAsia="Times New Roman" w:hAnsi="Times New Roman" w:cs="Times New Roman"/>
          <w:color w:val="auto"/>
          <w:vertAlign w:val="superscript"/>
        </w:rPr>
        <w:footnoteReference w:id="75"/>
      </w:r>
      <w:r w:rsidRPr="009A0EAF">
        <w:rPr>
          <w:rStyle w:val="None"/>
          <w:rFonts w:ascii="Times New Roman" w:hAnsi="Times New Roman" w:cs="Times New Roman"/>
          <w:color w:val="auto"/>
        </w:rPr>
        <w:t xml:space="preserve"> </w:t>
      </w:r>
    </w:p>
    <w:p w14:paraId="3100FDD1" w14:textId="21A9A1BC"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tribunal also agreed with the reasoning in the </w:t>
      </w:r>
      <w:r w:rsidRPr="009A0EAF">
        <w:rPr>
          <w:rStyle w:val="None"/>
          <w:rFonts w:ascii="Times New Roman" w:hAnsi="Times New Roman" w:cs="Times New Roman"/>
          <w:i/>
          <w:iCs/>
          <w:color w:val="auto"/>
        </w:rPr>
        <w:t>Antin</w:t>
      </w:r>
      <w:r w:rsidRPr="009A0EAF">
        <w:rPr>
          <w:rStyle w:val="None"/>
          <w:rFonts w:ascii="Times New Roman" w:hAnsi="Times New Roman" w:cs="Times New Roman"/>
          <w:color w:val="auto"/>
        </w:rPr>
        <w:t xml:space="preserve"> award,</w:t>
      </w:r>
      <w:r w:rsidRPr="009A0EAF">
        <w:rPr>
          <w:rStyle w:val="None"/>
          <w:rFonts w:ascii="Times New Roman" w:eastAsia="Times New Roman" w:hAnsi="Times New Roman" w:cs="Times New Roman"/>
          <w:color w:val="auto"/>
          <w:vertAlign w:val="superscript"/>
        </w:rPr>
        <w:footnoteReference w:id="76"/>
      </w:r>
      <w:r w:rsidRPr="009A0EAF">
        <w:rPr>
          <w:rStyle w:val="None"/>
          <w:rFonts w:ascii="Times New Roman" w:hAnsi="Times New Roman" w:cs="Times New Roman"/>
          <w:color w:val="auto"/>
        </w:rPr>
        <w:t xml:space="preserve"> according to which the tribunal “must consider when the investment was made, what the circumstances were at that time and the information that the investor had or should reasonably have had, had it acted with the requisite degree of diligence (considering its expertise).”</w:t>
      </w:r>
      <w:r w:rsidRPr="009A0EAF">
        <w:rPr>
          <w:rStyle w:val="None"/>
          <w:rFonts w:ascii="Times New Roman" w:eastAsia="Times New Roman" w:hAnsi="Times New Roman" w:cs="Times New Roman"/>
          <w:color w:val="auto"/>
          <w:vertAlign w:val="superscript"/>
        </w:rPr>
        <w:footnoteReference w:id="77"/>
      </w:r>
      <w:r w:rsidRPr="009A0EAF">
        <w:rPr>
          <w:rStyle w:val="None"/>
          <w:rFonts w:ascii="Times New Roman" w:hAnsi="Times New Roman" w:cs="Times New Roman"/>
          <w:color w:val="auto"/>
        </w:rPr>
        <w:t xml:space="preserve"> To this end, it found that the Claimants had not failed in performing the due diligence expected from a diligent investor. The tribunal thus held that it was </w:t>
      </w:r>
      <w:r w:rsidRPr="009A0EAF">
        <w:rPr>
          <w:rStyle w:val="None"/>
          <w:rFonts w:ascii="Times New Roman" w:hAnsi="Times New Roman" w:cs="Times New Roman"/>
          <w:color w:val="auto"/>
        </w:rPr>
        <w:lastRenderedPageBreak/>
        <w:t>irrelevant that the Claimants relied on a legal opinion issued for one of its financiers, the Deutsche Bank, and not for the investors directly.</w:t>
      </w:r>
      <w:r w:rsidRPr="009A0EAF">
        <w:rPr>
          <w:rStyle w:val="None"/>
          <w:rFonts w:ascii="Times New Roman" w:eastAsia="Times New Roman" w:hAnsi="Times New Roman" w:cs="Times New Roman"/>
          <w:color w:val="auto"/>
          <w:vertAlign w:val="superscript"/>
        </w:rPr>
        <w:footnoteReference w:id="78"/>
      </w:r>
      <w:r w:rsidRPr="009A0EAF">
        <w:rPr>
          <w:rStyle w:val="None"/>
          <w:rFonts w:ascii="Times New Roman" w:hAnsi="Times New Roman" w:cs="Times New Roman"/>
          <w:color w:val="auto"/>
        </w:rPr>
        <w:t xml:space="preserve"> </w:t>
      </w:r>
    </w:p>
    <w:p w14:paraId="0E15F573" w14:textId="03AE7C8C"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The tribunal also held that the Spanish authorities would certainly not have been able to provide better information, had the Claimants, who were not familiar with the relevant parts of Spanish law, contacted them directly.</w:t>
      </w:r>
      <w:r w:rsidRPr="009A0EAF">
        <w:rPr>
          <w:rStyle w:val="None"/>
          <w:rFonts w:ascii="Times New Roman" w:eastAsia="Times New Roman" w:hAnsi="Times New Roman" w:cs="Times New Roman"/>
          <w:color w:val="auto"/>
          <w:vertAlign w:val="superscript"/>
        </w:rPr>
        <w:footnoteReference w:id="79"/>
      </w:r>
      <w:r w:rsidRPr="009A0EAF">
        <w:rPr>
          <w:rStyle w:val="None"/>
          <w:rFonts w:ascii="Times New Roman" w:hAnsi="Times New Roman" w:cs="Times New Roman"/>
          <w:color w:val="auto"/>
        </w:rPr>
        <w:t xml:space="preserve"> It is not clear where the tribunal deduced that conclusion from, as a direct contact with the authorities would seem particularly appropriate for those not familiar with Spanish law, as their contact with the domestic authorities could possibly increase their familiarity with the domestic law. Nevertheless, the tribunal concluded that it had not been shown (thus placing the burden of proof on the Respondent) and it could not be argued that enquiring with national authorities about possible future regulatory changes would have altered the investors’ expectations that the assurances and benefits they had received would be unaffected. Consequently, the </w:t>
      </w:r>
      <w:r w:rsidRPr="009A0EAF">
        <w:rPr>
          <w:rStyle w:val="None"/>
          <w:rFonts w:ascii="Times New Roman" w:hAnsi="Times New Roman" w:cs="Times New Roman"/>
          <w:i/>
          <w:iCs/>
          <w:color w:val="auto"/>
        </w:rPr>
        <w:t xml:space="preserve">OperaFund </w:t>
      </w:r>
      <w:r w:rsidRPr="009A0EAF">
        <w:rPr>
          <w:rStyle w:val="None"/>
          <w:rFonts w:ascii="Times New Roman" w:hAnsi="Times New Roman" w:cs="Times New Roman"/>
          <w:color w:val="auto"/>
        </w:rPr>
        <w:t>award found that Spain breached the Claimants’ legitimate expectations and, as a result, the ECT standard of fair and equitable treatment.</w:t>
      </w:r>
      <w:r w:rsidRPr="009A0EAF">
        <w:rPr>
          <w:rStyle w:val="None"/>
          <w:rFonts w:ascii="Times New Roman" w:eastAsia="Times New Roman" w:hAnsi="Times New Roman" w:cs="Times New Roman"/>
          <w:color w:val="auto"/>
          <w:vertAlign w:val="superscript"/>
        </w:rPr>
        <w:footnoteReference w:id="80"/>
      </w:r>
      <w:r w:rsidRPr="009A0EAF">
        <w:rPr>
          <w:rStyle w:val="None"/>
          <w:rFonts w:ascii="Times New Roman" w:hAnsi="Times New Roman" w:cs="Times New Roman"/>
          <w:color w:val="auto"/>
        </w:rPr>
        <w:t xml:space="preserve"> </w:t>
      </w:r>
    </w:p>
    <w:p w14:paraId="7B75F66E" w14:textId="57ECB2C4"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As aforementioned, the </w:t>
      </w:r>
      <w:r w:rsidRPr="009A0EAF">
        <w:rPr>
          <w:rStyle w:val="None"/>
          <w:rFonts w:ascii="Times New Roman" w:hAnsi="Times New Roman" w:cs="Times New Roman"/>
          <w:i/>
          <w:iCs/>
          <w:color w:val="auto"/>
        </w:rPr>
        <w:t>OperaFund</w:t>
      </w:r>
      <w:r w:rsidRPr="009A0EAF">
        <w:rPr>
          <w:rStyle w:val="None"/>
          <w:rFonts w:ascii="Times New Roman" w:hAnsi="Times New Roman" w:cs="Times New Roman"/>
          <w:color w:val="auto"/>
        </w:rPr>
        <w:t xml:space="preserve"> tribunal relied on previous awards against Spain and particularly the findings in the </w:t>
      </w:r>
      <w:r w:rsidRPr="009A0EAF">
        <w:rPr>
          <w:rStyle w:val="None"/>
          <w:rFonts w:ascii="Times New Roman" w:hAnsi="Times New Roman" w:cs="Times New Roman"/>
          <w:i/>
          <w:iCs/>
          <w:color w:val="auto"/>
        </w:rPr>
        <w:t>Antin</w:t>
      </w:r>
      <w:r w:rsidRPr="009A0EAF">
        <w:rPr>
          <w:rStyle w:val="None"/>
          <w:rFonts w:ascii="Times New Roman" w:hAnsi="Times New Roman" w:cs="Times New Roman"/>
          <w:color w:val="auto"/>
        </w:rPr>
        <w:t xml:space="preserve">, </w:t>
      </w:r>
      <w:r w:rsidRPr="009A0EAF">
        <w:rPr>
          <w:rStyle w:val="None"/>
          <w:rFonts w:ascii="Times New Roman" w:hAnsi="Times New Roman" w:cs="Times New Roman"/>
          <w:i/>
          <w:iCs/>
          <w:color w:val="auto"/>
        </w:rPr>
        <w:t>Novenergia</w:t>
      </w:r>
      <w:r w:rsidRPr="009A0EAF">
        <w:rPr>
          <w:rStyle w:val="None"/>
          <w:rFonts w:ascii="Times New Roman" w:hAnsi="Times New Roman" w:cs="Times New Roman"/>
          <w:color w:val="auto"/>
        </w:rPr>
        <w:t xml:space="preserve">, and </w:t>
      </w:r>
      <w:r w:rsidRPr="009A0EAF">
        <w:rPr>
          <w:rStyle w:val="None"/>
          <w:rFonts w:ascii="Times New Roman" w:hAnsi="Times New Roman" w:cs="Times New Roman"/>
          <w:i/>
          <w:iCs/>
          <w:color w:val="auto"/>
        </w:rPr>
        <w:t>Eiser</w:t>
      </w:r>
      <w:r w:rsidRPr="009A0EAF">
        <w:rPr>
          <w:rStyle w:val="None"/>
          <w:rFonts w:ascii="Times New Roman" w:hAnsi="Times New Roman" w:cs="Times New Roman"/>
          <w:color w:val="auto"/>
        </w:rPr>
        <w:t xml:space="preserve"> cases. The </w:t>
      </w:r>
      <w:r w:rsidRPr="009A0EAF">
        <w:rPr>
          <w:rStyle w:val="None"/>
          <w:rFonts w:ascii="Times New Roman" w:hAnsi="Times New Roman" w:cs="Times New Roman"/>
          <w:i/>
          <w:iCs/>
          <w:color w:val="auto"/>
        </w:rPr>
        <w:t xml:space="preserve">Antin </w:t>
      </w:r>
      <w:r w:rsidRPr="009A0EAF">
        <w:rPr>
          <w:rStyle w:val="None"/>
          <w:rFonts w:ascii="Times New Roman" w:hAnsi="Times New Roman" w:cs="Times New Roman"/>
          <w:color w:val="auto"/>
        </w:rPr>
        <w:t xml:space="preserve">dispute also revolved around the question whether Spanish legislation created legitimate expectations to the investor. Arguing that FET is an autonomous standard, independent from the minimum standard of treatment under customary international law, the Claimants contended that FET prescribed a stable legal framework in the host state. They also claimed that they had invested in Spain in reliance of the regulatory framework that was in place at the time of their entry into the Spanish market and that their expectations regarding the stability of that framework were legitimate as they were based on “an offer made by the Spanish government under a royal decree”, which aimed at </w:t>
      </w:r>
      <w:r w:rsidR="0063762F" w:rsidRPr="009A0EAF">
        <w:rPr>
          <w:rStyle w:val="None"/>
          <w:rFonts w:ascii="Times New Roman" w:hAnsi="Times New Roman" w:cs="Times New Roman"/>
          <w:color w:val="auto"/>
        </w:rPr>
        <w:t>incentivizing</w:t>
      </w:r>
      <w:r w:rsidRPr="009A0EAF">
        <w:rPr>
          <w:rStyle w:val="None"/>
          <w:rFonts w:ascii="Times New Roman" w:hAnsi="Times New Roman" w:cs="Times New Roman"/>
          <w:color w:val="auto"/>
        </w:rPr>
        <w:t xml:space="preserve"> investments in the renewable energy sector.</w:t>
      </w:r>
      <w:r w:rsidRPr="009A0EAF">
        <w:rPr>
          <w:rStyle w:val="None"/>
          <w:rFonts w:ascii="Times New Roman" w:eastAsia="Times New Roman" w:hAnsi="Times New Roman" w:cs="Times New Roman"/>
          <w:color w:val="auto"/>
          <w:vertAlign w:val="superscript"/>
        </w:rPr>
        <w:footnoteReference w:id="81"/>
      </w:r>
    </w:p>
    <w:p w14:paraId="777BE49D" w14:textId="2E92F3FA"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The Respondent retorted that the ECT sets no more limits to the states</w:t>
      </w:r>
      <w:r w:rsidRPr="009A0EAF">
        <w:rPr>
          <w:rStyle w:val="None"/>
          <w:rFonts w:ascii="Times New Roman" w:hAnsi="Times New Roman" w:cs="Times New Roman"/>
          <w:color w:val="auto"/>
        </w:rPr>
        <w:t xml:space="preserve">’ right to regulate other than those set by the minimum standard of treatment under customary international law, and that Spain has not breached that standard. In a similar vein, the state also argued that the Claimant could not have expected that the regulatory regime would remain unchanged and that there was no </w:t>
      </w:r>
      <w:r w:rsidR="0063762F" w:rsidRPr="009A0EAF">
        <w:rPr>
          <w:rStyle w:val="None"/>
          <w:rFonts w:ascii="Times New Roman" w:hAnsi="Times New Roman" w:cs="Times New Roman"/>
          <w:color w:val="auto"/>
        </w:rPr>
        <w:t>stabilization</w:t>
      </w:r>
      <w:r w:rsidRPr="009A0EAF">
        <w:rPr>
          <w:rStyle w:val="None"/>
          <w:rFonts w:ascii="Times New Roman" w:hAnsi="Times New Roman" w:cs="Times New Roman"/>
          <w:color w:val="auto"/>
        </w:rPr>
        <w:t xml:space="preserve"> clause in Spanish law. Besides, according to the Respondent, when the Claimants made their investments, they were </w:t>
      </w:r>
      <w:r w:rsidR="0063762F" w:rsidRPr="009A0EAF">
        <w:rPr>
          <w:rStyle w:val="None"/>
          <w:rFonts w:ascii="Times New Roman" w:hAnsi="Times New Roman" w:cs="Times New Roman"/>
          <w:color w:val="auto"/>
        </w:rPr>
        <w:t>fully</w:t>
      </w:r>
      <w:r w:rsidRPr="009A0EAF">
        <w:rPr>
          <w:rStyle w:val="None"/>
          <w:rFonts w:ascii="Times New Roman" w:hAnsi="Times New Roman" w:cs="Times New Roman"/>
          <w:color w:val="auto"/>
        </w:rPr>
        <w:t xml:space="preserve"> aware of the possibility of future regulatory changes affecting their investments.</w:t>
      </w:r>
      <w:r w:rsidRPr="009A0EAF">
        <w:rPr>
          <w:rStyle w:val="None"/>
          <w:rFonts w:ascii="Times New Roman" w:eastAsia="Times New Roman" w:hAnsi="Times New Roman" w:cs="Times New Roman"/>
          <w:color w:val="auto"/>
          <w:vertAlign w:val="superscript"/>
        </w:rPr>
        <w:footnoteReference w:id="82"/>
      </w:r>
      <w:r w:rsidRPr="009A0EAF">
        <w:rPr>
          <w:rStyle w:val="None"/>
          <w:rFonts w:ascii="Times New Roman" w:hAnsi="Times New Roman" w:cs="Times New Roman"/>
          <w:color w:val="auto"/>
        </w:rPr>
        <w:t xml:space="preserve"> Moreover, the investors only had a “right to a reasonable return”, which was maintained under the new legislative regime.</w:t>
      </w:r>
      <w:r w:rsidRPr="009A0EAF">
        <w:rPr>
          <w:rStyle w:val="None"/>
          <w:rFonts w:ascii="Times New Roman" w:eastAsia="Times New Roman" w:hAnsi="Times New Roman" w:cs="Times New Roman"/>
          <w:color w:val="auto"/>
          <w:vertAlign w:val="superscript"/>
        </w:rPr>
        <w:footnoteReference w:id="83"/>
      </w:r>
      <w:r w:rsidRPr="009A0EAF">
        <w:rPr>
          <w:rStyle w:val="None"/>
          <w:rFonts w:ascii="Times New Roman" w:hAnsi="Times New Roman" w:cs="Times New Roman"/>
          <w:color w:val="auto"/>
        </w:rPr>
        <w:t xml:space="preserve"> </w:t>
      </w:r>
    </w:p>
    <w:p w14:paraId="66FE4D00" w14:textId="56A69170"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tribunal reasoned - quoting the </w:t>
      </w:r>
      <w:r w:rsidRPr="009A0EAF">
        <w:rPr>
          <w:rStyle w:val="None"/>
          <w:rFonts w:ascii="Times New Roman" w:hAnsi="Times New Roman" w:cs="Times New Roman"/>
          <w:i/>
          <w:iCs/>
          <w:color w:val="auto"/>
        </w:rPr>
        <w:t>Eiser</w:t>
      </w:r>
      <w:r w:rsidRPr="009A0EAF">
        <w:rPr>
          <w:rStyle w:val="None"/>
          <w:rFonts w:ascii="Times New Roman" w:hAnsi="Times New Roman" w:cs="Times New Roman"/>
          <w:color w:val="auto"/>
        </w:rPr>
        <w:t xml:space="preserve"> award - that the ECT’s stated purpose, as reinforced by the European Energy Charter,</w:t>
      </w:r>
      <w:r w:rsidRPr="009A0EAF">
        <w:rPr>
          <w:rStyle w:val="None"/>
          <w:rFonts w:ascii="Times New Roman" w:eastAsia="Times New Roman" w:hAnsi="Times New Roman" w:cs="Times New Roman"/>
          <w:color w:val="auto"/>
          <w:vertAlign w:val="superscript"/>
        </w:rPr>
        <w:footnoteReference w:id="84"/>
      </w:r>
      <w:r w:rsidRPr="009A0EAF">
        <w:rPr>
          <w:rStyle w:val="None"/>
          <w:rFonts w:ascii="Times New Roman" w:hAnsi="Times New Roman" w:cs="Times New Roman"/>
          <w:color w:val="auto"/>
        </w:rPr>
        <w:t xml:space="preserve"> is to provide for a stable legal framework for foreign investments.</w:t>
      </w:r>
      <w:r w:rsidRPr="009A0EAF">
        <w:rPr>
          <w:rStyle w:val="None"/>
          <w:rFonts w:ascii="Times New Roman" w:eastAsia="Times New Roman" w:hAnsi="Times New Roman" w:cs="Times New Roman"/>
          <w:color w:val="auto"/>
          <w:vertAlign w:val="superscript"/>
        </w:rPr>
        <w:footnoteReference w:id="85"/>
      </w:r>
      <w:r w:rsidRPr="009A0EAF">
        <w:rPr>
          <w:rStyle w:val="None"/>
          <w:rFonts w:ascii="Times New Roman" w:hAnsi="Times New Roman" w:cs="Times New Roman"/>
          <w:color w:val="auto"/>
        </w:rPr>
        <w:t xml:space="preserve"> Invoking Article 31 of the VCLT and referring to the treaty’s context, the tribunal relied on previous awards, including in the </w:t>
      </w:r>
      <w:r w:rsidRPr="009A0EAF">
        <w:rPr>
          <w:rStyle w:val="None"/>
          <w:rFonts w:ascii="Times New Roman" w:hAnsi="Times New Roman" w:cs="Times New Roman"/>
          <w:i/>
          <w:iCs/>
          <w:color w:val="auto"/>
        </w:rPr>
        <w:t>Plama v. Bulgaria</w:t>
      </w:r>
      <w:r w:rsidRPr="009A0EAF">
        <w:rPr>
          <w:rStyle w:val="None"/>
          <w:rFonts w:ascii="Times New Roman" w:eastAsia="Times New Roman" w:hAnsi="Times New Roman" w:cs="Times New Roman"/>
          <w:i/>
          <w:iCs/>
          <w:color w:val="auto"/>
          <w:vertAlign w:val="superscript"/>
        </w:rPr>
        <w:footnoteReference w:id="86"/>
      </w:r>
      <w:r w:rsidRPr="009A0EAF">
        <w:rPr>
          <w:rStyle w:val="None"/>
          <w:rFonts w:ascii="Times New Roman" w:hAnsi="Times New Roman" w:cs="Times New Roman"/>
          <w:color w:val="auto"/>
        </w:rPr>
        <w:t xml:space="preserve"> and the </w:t>
      </w:r>
      <w:r w:rsidRPr="009A0EAF">
        <w:rPr>
          <w:rStyle w:val="None"/>
          <w:rFonts w:ascii="Times New Roman" w:hAnsi="Times New Roman" w:cs="Times New Roman"/>
          <w:i/>
          <w:iCs/>
          <w:color w:val="auto"/>
        </w:rPr>
        <w:t>Electrabel v. Hungary</w:t>
      </w:r>
      <w:r w:rsidRPr="009A0EAF">
        <w:rPr>
          <w:rStyle w:val="None"/>
          <w:rFonts w:ascii="Times New Roman" w:eastAsia="Times New Roman" w:hAnsi="Times New Roman" w:cs="Times New Roman"/>
          <w:i/>
          <w:iCs/>
          <w:color w:val="auto"/>
          <w:vertAlign w:val="superscript"/>
        </w:rPr>
        <w:footnoteReference w:id="87"/>
      </w:r>
      <w:r w:rsidRPr="009A0EAF">
        <w:rPr>
          <w:rStyle w:val="None"/>
          <w:rFonts w:ascii="Times New Roman" w:hAnsi="Times New Roman" w:cs="Times New Roman"/>
          <w:color w:val="auto"/>
        </w:rPr>
        <w:t xml:space="preserve"> cases, where the tribunals had considered “stable, equitable, favourable and transparent conditions for investors” to be part of the FET standard.</w:t>
      </w:r>
      <w:r w:rsidRPr="009A0EAF">
        <w:rPr>
          <w:rStyle w:val="None"/>
          <w:rFonts w:ascii="Times New Roman" w:eastAsia="Times New Roman" w:hAnsi="Times New Roman" w:cs="Times New Roman"/>
          <w:color w:val="auto"/>
          <w:vertAlign w:val="superscript"/>
        </w:rPr>
        <w:footnoteReference w:id="88"/>
      </w:r>
      <w:r w:rsidRPr="009A0EAF">
        <w:rPr>
          <w:rStyle w:val="None"/>
          <w:rFonts w:ascii="Times New Roman" w:hAnsi="Times New Roman" w:cs="Times New Roman"/>
          <w:color w:val="auto"/>
        </w:rPr>
        <w:t xml:space="preserve"> The tribunal concluded that, in considering the context, object and purpose </w:t>
      </w:r>
      <w:r w:rsidRPr="009A0EAF">
        <w:rPr>
          <w:rStyle w:val="None"/>
          <w:rFonts w:ascii="Times New Roman" w:hAnsi="Times New Roman" w:cs="Times New Roman"/>
          <w:color w:val="auto"/>
        </w:rPr>
        <w:lastRenderedPageBreak/>
        <w:t>of the ECT, the FET obligation under Article 10(1) comprises an obligation to “afford fundamental stability in the essential characteristics of the legal regime relied upon by the investors in making long-term investments.”</w:t>
      </w:r>
      <w:r w:rsidRPr="009A0EAF">
        <w:rPr>
          <w:rStyle w:val="None"/>
          <w:rFonts w:ascii="Times New Roman" w:eastAsia="Times New Roman" w:hAnsi="Times New Roman" w:cs="Times New Roman"/>
          <w:color w:val="auto"/>
          <w:vertAlign w:val="superscript"/>
        </w:rPr>
        <w:footnoteReference w:id="89"/>
      </w:r>
      <w:r w:rsidRPr="009A0EAF">
        <w:rPr>
          <w:rStyle w:val="None"/>
          <w:rFonts w:ascii="Times New Roman" w:hAnsi="Times New Roman" w:cs="Times New Roman"/>
          <w:color w:val="auto"/>
        </w:rPr>
        <w:t xml:space="preserve"> </w:t>
      </w:r>
    </w:p>
    <w:p w14:paraId="44DCDD7B" w14:textId="4F266ACD"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The exhaustive analysis of the case law on legitimate expectations in the context of arbitration disputes in the renewable-energy sector is beyond the scope of this paper.</w:t>
      </w:r>
      <w:r w:rsidR="007A06D8" w:rsidRPr="009A0EAF">
        <w:rPr>
          <w:rStyle w:val="FootnoteReference"/>
          <w:rFonts w:ascii="Times New Roman" w:eastAsia="Times New Roman" w:hAnsi="Times New Roman" w:cs="Times New Roman"/>
          <w:color w:val="auto"/>
        </w:rPr>
        <w:footnoteReference w:id="90"/>
      </w:r>
      <w:r w:rsidRPr="009A0EAF">
        <w:rPr>
          <w:rStyle w:val="None"/>
          <w:rFonts w:ascii="Times New Roman" w:eastAsia="Times New Roman" w:hAnsi="Times New Roman" w:cs="Times New Roman"/>
          <w:color w:val="auto"/>
        </w:rPr>
        <w:t xml:space="preserve"> What is clear, though, from the above analysis is that there is a line of cases that do consider the stability of the legal and regulatory framework as part of the investors</w:t>
      </w:r>
      <w:r w:rsidRPr="009A0EAF">
        <w:rPr>
          <w:rStyle w:val="None"/>
          <w:rFonts w:ascii="Times New Roman" w:hAnsi="Times New Roman" w:cs="Times New Roman"/>
          <w:color w:val="auto"/>
        </w:rPr>
        <w:t xml:space="preserve">’ legitimate expectations and, consequently, the FET standard. Against this background, the following section will examine the current status of the ECT, while the section preceding the conclusions will address the question whether the new EU Green Deal and the legislative framework implementing it can give rise to legitimate expectations of foreign investors relying on the new EU laws to invest in the renewable energy sector in various EU countries. </w:t>
      </w:r>
    </w:p>
    <w:p w14:paraId="1B568F29" w14:textId="04D76395" w:rsidR="006675B0" w:rsidRPr="009A0EAF" w:rsidRDefault="009A0EAF" w:rsidP="005D3741">
      <w:pPr>
        <w:pStyle w:val="Heading1"/>
        <w:rPr>
          <w:rStyle w:val="None"/>
          <w:rFonts w:eastAsia="Times New Roman" w:cs="Times New Roman"/>
        </w:rPr>
      </w:pPr>
      <w:r>
        <w:rPr>
          <w:rStyle w:val="None"/>
          <w:rFonts w:cs="Times New Roman"/>
        </w:rPr>
        <w:t xml:space="preserve">III. </w:t>
      </w:r>
      <w:r w:rsidR="006675B0" w:rsidRPr="009A0EAF">
        <w:rPr>
          <w:rStyle w:val="None"/>
          <w:rFonts w:cs="Times New Roman"/>
        </w:rPr>
        <w:t xml:space="preserve">The </w:t>
      </w:r>
      <w:r w:rsidR="00CE7D53" w:rsidRPr="009A0EAF">
        <w:rPr>
          <w:rStyle w:val="None"/>
          <w:rFonts w:cs="Times New Roman"/>
        </w:rPr>
        <w:t>Modernization</w:t>
      </w:r>
      <w:r w:rsidR="006675B0" w:rsidRPr="009A0EAF">
        <w:rPr>
          <w:rStyle w:val="None"/>
          <w:rFonts w:cs="Times New Roman"/>
        </w:rPr>
        <w:t xml:space="preserve"> of the ECT and the (Failed) Agreement in Principle </w:t>
      </w:r>
    </w:p>
    <w:p w14:paraId="4D08679F" w14:textId="6B1E44FC"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hAnsi="Times New Roman" w:cs="Times New Roman"/>
          <w:color w:val="auto"/>
        </w:rPr>
        <w:t xml:space="preserve">In November 2017, the Energy Charter Conference launched the discussions on the potential </w:t>
      </w:r>
      <w:r w:rsidR="000F21B7" w:rsidRPr="009A0EAF">
        <w:rPr>
          <w:rStyle w:val="None"/>
          <w:rFonts w:ascii="Times New Roman" w:hAnsi="Times New Roman" w:cs="Times New Roman"/>
          <w:color w:val="auto"/>
        </w:rPr>
        <w:t>modernization</w:t>
      </w:r>
      <w:r w:rsidRPr="009A0EAF">
        <w:rPr>
          <w:rStyle w:val="None"/>
          <w:rFonts w:ascii="Times New Roman" w:hAnsi="Times New Roman" w:cs="Times New Roman"/>
          <w:color w:val="auto"/>
        </w:rPr>
        <w:t xml:space="preserve"> of the ECT and decided the establishment of a subgroup in charge of steering the discussions for the </w:t>
      </w:r>
      <w:r w:rsidR="000F21B7" w:rsidRPr="009A0EAF">
        <w:rPr>
          <w:rStyle w:val="None"/>
          <w:rFonts w:ascii="Times New Roman" w:hAnsi="Times New Roman" w:cs="Times New Roman"/>
          <w:color w:val="auto"/>
        </w:rPr>
        <w:t>modernization</w:t>
      </w:r>
      <w:r w:rsidRPr="009A0EAF">
        <w:rPr>
          <w:rStyle w:val="None"/>
          <w:rFonts w:ascii="Times New Roman" w:hAnsi="Times New Roman" w:cs="Times New Roman"/>
          <w:color w:val="auto"/>
        </w:rPr>
        <w:t xml:space="preserve"> of the treaty. The negotiations focused</w:t>
      </w:r>
      <w:r w:rsidR="00CF5637" w:rsidRPr="009A0EAF">
        <w:rPr>
          <w:rStyle w:val="None"/>
          <w:rFonts w:ascii="Times New Roman" w:hAnsi="Times New Roman" w:cs="Times New Roman"/>
          <w:color w:val="auto"/>
        </w:rPr>
        <w:t>,</w:t>
      </w:r>
      <w:r w:rsidRPr="009A0EAF">
        <w:rPr>
          <w:rStyle w:val="None"/>
          <w:rFonts w:ascii="Times New Roman" w:hAnsi="Times New Roman" w:cs="Times New Roman"/>
          <w:color w:val="auto"/>
        </w:rPr>
        <w:t xml:space="preserve"> in particular</w:t>
      </w:r>
      <w:r w:rsidR="00CF5637" w:rsidRPr="009A0EAF">
        <w:rPr>
          <w:rStyle w:val="None"/>
          <w:rFonts w:ascii="Times New Roman" w:hAnsi="Times New Roman" w:cs="Times New Roman"/>
          <w:color w:val="auto"/>
        </w:rPr>
        <w:t>,</w:t>
      </w:r>
      <w:r w:rsidRPr="009A0EAF">
        <w:rPr>
          <w:rStyle w:val="None"/>
          <w:rFonts w:ascii="Times New Roman" w:hAnsi="Times New Roman" w:cs="Times New Roman"/>
          <w:color w:val="auto"/>
        </w:rPr>
        <w:t xml:space="preserve"> on the reform of the investment-protection standards of the ECT, such as the fair and equitable treatment standard and the states’ right to regulate, including to combat climate change.</w:t>
      </w:r>
      <w:r w:rsidRPr="009A0EAF">
        <w:rPr>
          <w:rStyle w:val="None"/>
          <w:rFonts w:ascii="Times New Roman" w:eastAsia="Times New Roman" w:hAnsi="Times New Roman" w:cs="Times New Roman"/>
          <w:color w:val="auto"/>
          <w:vertAlign w:val="superscript"/>
        </w:rPr>
        <w:footnoteReference w:id="91"/>
      </w:r>
      <w:r w:rsidRPr="009A0EAF">
        <w:rPr>
          <w:rStyle w:val="None"/>
          <w:rFonts w:ascii="Times New Roman" w:hAnsi="Times New Roman" w:cs="Times New Roman"/>
          <w:color w:val="auto"/>
        </w:rPr>
        <w:t xml:space="preserve"> After many rounds of negotiations spanning several years, in June 2022, the 53 ECT Contracting Parties reached an Agreement in Principle on the </w:t>
      </w:r>
      <w:r w:rsidR="003336BD" w:rsidRPr="009A0EAF">
        <w:rPr>
          <w:rStyle w:val="None"/>
          <w:rFonts w:ascii="Times New Roman" w:hAnsi="Times New Roman" w:cs="Times New Roman"/>
          <w:color w:val="auto"/>
        </w:rPr>
        <w:t>modernization</w:t>
      </w:r>
      <w:r w:rsidRPr="009A0EAF">
        <w:rPr>
          <w:rStyle w:val="None"/>
          <w:rFonts w:ascii="Times New Roman" w:hAnsi="Times New Roman" w:cs="Times New Roman"/>
          <w:color w:val="auto"/>
        </w:rPr>
        <w:t xml:space="preserve"> of the ECT.</w:t>
      </w:r>
      <w:r w:rsidRPr="009A0EAF">
        <w:rPr>
          <w:rStyle w:val="None"/>
          <w:rFonts w:ascii="Times New Roman" w:eastAsia="Times New Roman" w:hAnsi="Times New Roman" w:cs="Times New Roman"/>
          <w:color w:val="auto"/>
          <w:vertAlign w:val="superscript"/>
        </w:rPr>
        <w:footnoteReference w:id="92"/>
      </w:r>
      <w:r w:rsidRPr="009A0EAF">
        <w:rPr>
          <w:rStyle w:val="None"/>
          <w:rFonts w:ascii="Times New Roman" w:hAnsi="Times New Roman" w:cs="Times New Roman"/>
          <w:color w:val="auto"/>
        </w:rPr>
        <w:t xml:space="preserve"> </w:t>
      </w:r>
    </w:p>
    <w:p w14:paraId="567C26C3" w14:textId="0FDC10A5"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proposed reforms cover several areas of the treaty, including the definition of </w:t>
      </w:r>
      <w:r w:rsidRPr="009A0EAF">
        <w:rPr>
          <w:rStyle w:val="None"/>
          <w:rFonts w:ascii="Times New Roman" w:hAnsi="Times New Roman" w:cs="Times New Roman"/>
          <w:color w:val="auto"/>
        </w:rPr>
        <w:t>“economic activity in the energy sector”</w:t>
      </w:r>
      <w:r w:rsidRPr="009A0EAF">
        <w:rPr>
          <w:rStyle w:val="None"/>
          <w:rFonts w:ascii="Times New Roman" w:eastAsia="Times New Roman" w:hAnsi="Times New Roman" w:cs="Times New Roman"/>
          <w:color w:val="auto"/>
          <w:vertAlign w:val="superscript"/>
        </w:rPr>
        <w:footnoteReference w:id="93"/>
      </w:r>
      <w:r w:rsidRPr="009A0EAF">
        <w:rPr>
          <w:rStyle w:val="None"/>
          <w:rFonts w:ascii="Times New Roman" w:hAnsi="Times New Roman" w:cs="Times New Roman"/>
          <w:color w:val="auto"/>
        </w:rPr>
        <w:t>, with regard to which they provide for a “flexibility mechanism” allowing Contracting Parties, based on a Conference decision, to exclude investment protection for fossil fuels in their territories.</w:t>
      </w:r>
      <w:r w:rsidRPr="009A0EAF">
        <w:rPr>
          <w:rStyle w:val="None"/>
          <w:rFonts w:ascii="Times New Roman" w:eastAsia="Times New Roman" w:hAnsi="Times New Roman" w:cs="Times New Roman"/>
          <w:color w:val="auto"/>
          <w:vertAlign w:val="superscript"/>
        </w:rPr>
        <w:footnoteReference w:id="94"/>
      </w:r>
      <w:r w:rsidRPr="009A0EAF">
        <w:rPr>
          <w:rStyle w:val="None"/>
          <w:rFonts w:ascii="Times New Roman" w:hAnsi="Times New Roman" w:cs="Times New Roman"/>
          <w:color w:val="auto"/>
        </w:rPr>
        <w:t xml:space="preserve"> Another important revision, which reflects the wording in the new generation of EU investment treaties, refers to fair and equitable treatment. The proposed, </w:t>
      </w:r>
      <w:r w:rsidR="009235DC" w:rsidRPr="009A0EAF">
        <w:rPr>
          <w:rStyle w:val="None"/>
          <w:rFonts w:ascii="Times New Roman" w:hAnsi="Times New Roman" w:cs="Times New Roman"/>
          <w:color w:val="auto"/>
        </w:rPr>
        <w:t>modernized</w:t>
      </w:r>
      <w:r w:rsidRPr="009A0EAF">
        <w:rPr>
          <w:rStyle w:val="None"/>
          <w:rFonts w:ascii="Times New Roman" w:hAnsi="Times New Roman" w:cs="Times New Roman"/>
          <w:color w:val="auto"/>
        </w:rPr>
        <w:t xml:space="preserve"> Article 10 includes a closed list of measures constituting a breach of the FET standard. </w:t>
      </w:r>
    </w:p>
    <w:p w14:paraId="73E7E52C" w14:textId="08773913" w:rsidR="006675B0" w:rsidRPr="009A0EAF" w:rsidRDefault="00E65B23"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Recognizing</w:t>
      </w:r>
      <w:r w:rsidR="006675B0" w:rsidRPr="009A0EAF">
        <w:rPr>
          <w:rStyle w:val="None"/>
          <w:rFonts w:ascii="Times New Roman" w:eastAsia="Times New Roman" w:hAnsi="Times New Roman" w:cs="Times New Roman"/>
          <w:color w:val="auto"/>
        </w:rPr>
        <w:t xml:space="preserve"> the jurisprudence of arbitral tribunals, the article considers the frustration of legitimate expectations as one of the grounds constituting a violation of FET.</w:t>
      </w:r>
      <w:r w:rsidR="006675B0" w:rsidRPr="009A0EAF">
        <w:rPr>
          <w:rStyle w:val="None"/>
          <w:rFonts w:ascii="Times New Roman" w:eastAsia="Times New Roman" w:hAnsi="Times New Roman" w:cs="Times New Roman"/>
          <w:color w:val="auto"/>
          <w:vertAlign w:val="superscript"/>
        </w:rPr>
        <w:footnoteReference w:id="95"/>
      </w:r>
      <w:r w:rsidR="006675B0" w:rsidRPr="009A0EAF">
        <w:rPr>
          <w:rStyle w:val="None"/>
          <w:rFonts w:ascii="Times New Roman" w:hAnsi="Times New Roman" w:cs="Times New Roman"/>
          <w:color w:val="auto"/>
        </w:rPr>
        <w:t xml:space="preserve"> Interestingly, even though the revised article clarifies that general expectations, such as an expectation that a state’s laws will not change, are not protected under the FET standard, it also provides that “the determination of whether there is a clear and specific representation or commitment requires a case-by-case, fact-based inquiry that considers, among other factors, laws and regulations and the Contracting Party's relevant publicly known policies and their objectives.”</w:t>
      </w:r>
      <w:r w:rsidR="006675B0" w:rsidRPr="009A0EAF">
        <w:rPr>
          <w:rStyle w:val="None"/>
          <w:rFonts w:ascii="Times New Roman" w:eastAsia="Times New Roman" w:hAnsi="Times New Roman" w:cs="Times New Roman"/>
          <w:color w:val="auto"/>
          <w:vertAlign w:val="superscript"/>
        </w:rPr>
        <w:footnoteReference w:id="96"/>
      </w:r>
      <w:r w:rsidR="006675B0" w:rsidRPr="009A0EAF">
        <w:rPr>
          <w:rStyle w:val="None"/>
          <w:rFonts w:ascii="Times New Roman" w:hAnsi="Times New Roman" w:cs="Times New Roman"/>
          <w:color w:val="auto"/>
        </w:rPr>
        <w:t xml:space="preserve"> </w:t>
      </w:r>
    </w:p>
    <w:p w14:paraId="224FBD20" w14:textId="60D54B0B"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lastRenderedPageBreak/>
        <w:t>The reformed ECT has received a lot of criticism, in particular for its alleged failure to address climate change concerns and accommodate the energy transition. Critics have stressed that the revised treaty does nothing to contribute to greater or more effective international cooperation in the areas of the IEA</w:t>
      </w:r>
      <w:r w:rsidRPr="009A0EAF">
        <w:rPr>
          <w:rStyle w:val="None"/>
          <w:rFonts w:ascii="Times New Roman" w:hAnsi="Times New Roman" w:cs="Times New Roman"/>
          <w:color w:val="auto"/>
        </w:rPr>
        <w:t>’s aforementioned priority actions.</w:t>
      </w:r>
      <w:r w:rsidRPr="009A0EAF">
        <w:rPr>
          <w:rStyle w:val="None"/>
          <w:rFonts w:ascii="Times New Roman" w:eastAsia="Times New Roman" w:hAnsi="Times New Roman" w:cs="Times New Roman"/>
          <w:color w:val="auto"/>
          <w:vertAlign w:val="superscript"/>
        </w:rPr>
        <w:footnoteReference w:id="97"/>
      </w:r>
      <w:r w:rsidRPr="009A0EAF">
        <w:rPr>
          <w:rStyle w:val="None"/>
          <w:rFonts w:ascii="Times New Roman" w:hAnsi="Times New Roman" w:cs="Times New Roman"/>
          <w:color w:val="auto"/>
        </w:rPr>
        <w:t xml:space="preserve"> Among others they observe that the new text does not mention anything about measures, such as fossil fuel subsidy phase-outs and carbon pricing, which would help states meet the IEA’s pledge that “policies should be strengthened to speed the deployment of clean and efficient energy technologies.”</w:t>
      </w:r>
      <w:r w:rsidRPr="009A0EAF">
        <w:rPr>
          <w:rStyle w:val="None"/>
          <w:rFonts w:ascii="Times New Roman" w:eastAsia="Times New Roman" w:hAnsi="Times New Roman" w:cs="Times New Roman"/>
          <w:color w:val="auto"/>
          <w:vertAlign w:val="superscript"/>
        </w:rPr>
        <w:footnoteReference w:id="98"/>
      </w:r>
      <w:r w:rsidRPr="009A0EAF">
        <w:rPr>
          <w:rStyle w:val="None"/>
          <w:rFonts w:ascii="Times New Roman" w:hAnsi="Times New Roman" w:cs="Times New Roman"/>
          <w:color w:val="auto"/>
        </w:rPr>
        <w:t xml:space="preserve"> Similarly, they note that the revised ECT does not include any agreement of the parties to “limit or provide disincentives for the use of certain fuels and technologies, such as unabated coal-fired power stations.”</w:t>
      </w:r>
      <w:r w:rsidRPr="009A0EAF">
        <w:rPr>
          <w:rStyle w:val="None"/>
          <w:rFonts w:ascii="Times New Roman" w:eastAsia="Times New Roman" w:hAnsi="Times New Roman" w:cs="Times New Roman"/>
          <w:color w:val="auto"/>
          <w:vertAlign w:val="superscript"/>
        </w:rPr>
        <w:footnoteReference w:id="99"/>
      </w:r>
    </w:p>
    <w:p w14:paraId="68173D14" w14:textId="71ACC739"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Despite the leading role that the EU played in the negotiations for the reform of the ECT, several Member States have stated their intention to withdraw from the treaty, with the European Commission also advocating a collective exit from the ECT. The Commission</w:t>
      </w:r>
      <w:r w:rsidRPr="009A0EAF">
        <w:rPr>
          <w:rStyle w:val="None"/>
          <w:rFonts w:ascii="Times New Roman" w:hAnsi="Times New Roman" w:cs="Times New Roman"/>
          <w:color w:val="auto"/>
        </w:rPr>
        <w:t xml:space="preserve">’s proposal to abandon the treaty comes after the ambassadors from Germany, France, Spain and the Netherlands chose to abstain from a vote on the </w:t>
      </w:r>
      <w:r w:rsidR="009235DC" w:rsidRPr="009A0EAF">
        <w:rPr>
          <w:rStyle w:val="None"/>
          <w:rFonts w:ascii="Times New Roman" w:hAnsi="Times New Roman" w:cs="Times New Roman"/>
          <w:color w:val="auto"/>
        </w:rPr>
        <w:t>modernization</w:t>
      </w:r>
      <w:r w:rsidRPr="009A0EAF">
        <w:rPr>
          <w:rStyle w:val="None"/>
          <w:rFonts w:ascii="Times New Roman" w:hAnsi="Times New Roman" w:cs="Times New Roman"/>
          <w:color w:val="auto"/>
        </w:rPr>
        <w:t xml:space="preserve"> of the ECT.</w:t>
      </w:r>
      <w:r w:rsidRPr="009A0EAF">
        <w:rPr>
          <w:rStyle w:val="None"/>
          <w:rFonts w:ascii="Times New Roman" w:eastAsia="Times New Roman" w:hAnsi="Times New Roman" w:cs="Times New Roman"/>
          <w:color w:val="auto"/>
          <w:vertAlign w:val="superscript"/>
        </w:rPr>
        <w:footnoteReference w:id="100"/>
      </w:r>
      <w:r w:rsidRPr="009A0EAF">
        <w:rPr>
          <w:rStyle w:val="None"/>
          <w:rFonts w:ascii="Times New Roman" w:hAnsi="Times New Roman" w:cs="Times New Roman"/>
          <w:color w:val="auto"/>
        </w:rPr>
        <w:t xml:space="preserve"> The same countries, as well as Poland, Slovenia and Luxembourg, have all announced their plans to withdraw from the contentious treaty.</w:t>
      </w:r>
      <w:r w:rsidRPr="009A0EAF">
        <w:rPr>
          <w:rStyle w:val="None"/>
          <w:rFonts w:ascii="Times New Roman" w:eastAsia="Times New Roman" w:hAnsi="Times New Roman" w:cs="Times New Roman"/>
          <w:color w:val="auto"/>
          <w:vertAlign w:val="superscript"/>
        </w:rPr>
        <w:footnoteReference w:id="101"/>
      </w:r>
      <w:r w:rsidRPr="009A0EAF">
        <w:rPr>
          <w:rStyle w:val="None"/>
          <w:rFonts w:ascii="Times New Roman" w:hAnsi="Times New Roman" w:cs="Times New Roman"/>
          <w:color w:val="auto"/>
        </w:rPr>
        <w:t xml:space="preserve"> </w:t>
      </w:r>
    </w:p>
    <w:p w14:paraId="5E8F1AE8" w14:textId="0C63DAEF"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European Parliament has also rejected the Agreement in Principle. In its Resolution of 24 November 2022 on the outcome of the </w:t>
      </w:r>
      <w:r w:rsidR="009235DC" w:rsidRPr="009A0EAF">
        <w:rPr>
          <w:rStyle w:val="None"/>
          <w:rFonts w:ascii="Times New Roman" w:eastAsia="Times New Roman" w:hAnsi="Times New Roman" w:cs="Times New Roman"/>
          <w:color w:val="auto"/>
        </w:rPr>
        <w:t>modernization</w:t>
      </w:r>
      <w:r w:rsidRPr="009A0EAF">
        <w:rPr>
          <w:rStyle w:val="None"/>
          <w:rFonts w:ascii="Times New Roman" w:eastAsia="Times New Roman" w:hAnsi="Times New Roman" w:cs="Times New Roman"/>
          <w:color w:val="auto"/>
        </w:rPr>
        <w:t xml:space="preserve"> of the Energy Charter Treaty,</w:t>
      </w:r>
      <w:r w:rsidRPr="009A0EAF">
        <w:rPr>
          <w:rStyle w:val="None"/>
          <w:rFonts w:ascii="Times New Roman" w:eastAsia="Times New Roman" w:hAnsi="Times New Roman" w:cs="Times New Roman"/>
          <w:color w:val="auto"/>
          <w:vertAlign w:val="superscript"/>
        </w:rPr>
        <w:footnoteReference w:id="102"/>
      </w:r>
      <w:r w:rsidRPr="009A0EAF">
        <w:rPr>
          <w:rStyle w:val="None"/>
          <w:rFonts w:ascii="Times New Roman" w:hAnsi="Times New Roman" w:cs="Times New Roman"/>
          <w:color w:val="auto"/>
        </w:rPr>
        <w:t xml:space="preserve"> the Parliament noted that “the investment protection provisions have not been updated since the 1990s and are outdated in comparison to the new standards established by the EU’s reformed approach on investment policy”</w:t>
      </w:r>
      <w:r w:rsidRPr="009A0EAF">
        <w:rPr>
          <w:rStyle w:val="None"/>
          <w:rFonts w:ascii="Times New Roman" w:eastAsia="Times New Roman" w:hAnsi="Times New Roman" w:cs="Times New Roman"/>
          <w:color w:val="auto"/>
          <w:vertAlign w:val="superscript"/>
        </w:rPr>
        <w:footnoteReference w:id="103"/>
      </w:r>
      <w:r w:rsidRPr="009A0EAF">
        <w:rPr>
          <w:rStyle w:val="None"/>
          <w:rFonts w:ascii="Times New Roman" w:hAnsi="Times New Roman" w:cs="Times New Roman"/>
          <w:color w:val="auto"/>
        </w:rPr>
        <w:t xml:space="preserve"> and that “there was no attempt to integrate the urgency of mitigating climate change and phasing out fossil fuel investments until 2018.”</w:t>
      </w:r>
      <w:r w:rsidRPr="009A0EAF">
        <w:rPr>
          <w:rStyle w:val="None"/>
          <w:rFonts w:ascii="Times New Roman" w:eastAsia="Times New Roman" w:hAnsi="Times New Roman" w:cs="Times New Roman"/>
          <w:color w:val="auto"/>
          <w:vertAlign w:val="superscript"/>
        </w:rPr>
        <w:footnoteReference w:id="104"/>
      </w:r>
      <w:r w:rsidRPr="009A0EAF">
        <w:rPr>
          <w:rStyle w:val="None"/>
          <w:rFonts w:ascii="Times New Roman" w:hAnsi="Times New Roman" w:cs="Times New Roman"/>
          <w:color w:val="auto"/>
        </w:rPr>
        <w:t xml:space="preserve"> </w:t>
      </w:r>
    </w:p>
    <w:p w14:paraId="33080CAD" w14:textId="6DD2B4CD"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Parliament also stressed that </w:t>
      </w:r>
      <w:r w:rsidRPr="009A0EAF">
        <w:rPr>
          <w:rStyle w:val="None"/>
          <w:rFonts w:ascii="Times New Roman" w:hAnsi="Times New Roman" w:cs="Times New Roman"/>
          <w:color w:val="auto"/>
        </w:rPr>
        <w:t>“the European Green Deal aims to respond to the challenges of climate change and environmental degradation”,</w:t>
      </w:r>
      <w:r w:rsidRPr="009A0EAF">
        <w:rPr>
          <w:rStyle w:val="None"/>
          <w:rFonts w:ascii="Times New Roman" w:eastAsia="Times New Roman" w:hAnsi="Times New Roman" w:cs="Times New Roman"/>
          <w:color w:val="auto"/>
          <w:vertAlign w:val="superscript"/>
        </w:rPr>
        <w:footnoteReference w:id="105"/>
      </w:r>
      <w:r w:rsidRPr="009A0EAF">
        <w:rPr>
          <w:rStyle w:val="None"/>
          <w:rFonts w:ascii="Times New Roman" w:hAnsi="Times New Roman" w:cs="Times New Roman"/>
          <w:color w:val="auto"/>
        </w:rPr>
        <w:t xml:space="preserve"> whereas the Intergovernmental Panel on Climate Change described the ECT as “a serious obstacle to climate change mitigation” in its 2022 report on the mitigation of climate change, issued in April 2022.</w:t>
      </w:r>
      <w:r w:rsidRPr="009A0EAF">
        <w:rPr>
          <w:rStyle w:val="None"/>
          <w:rFonts w:ascii="Times New Roman" w:eastAsia="Times New Roman" w:hAnsi="Times New Roman" w:cs="Times New Roman"/>
          <w:color w:val="auto"/>
          <w:vertAlign w:val="superscript"/>
        </w:rPr>
        <w:footnoteReference w:id="106"/>
      </w:r>
      <w:r w:rsidRPr="009A0EAF">
        <w:rPr>
          <w:rStyle w:val="None"/>
          <w:rFonts w:ascii="Times New Roman" w:hAnsi="Times New Roman" w:cs="Times New Roman"/>
          <w:color w:val="auto"/>
        </w:rPr>
        <w:t xml:space="preserve"> At the same time, it was noted that “the </w:t>
      </w:r>
      <w:r w:rsidRPr="009A0EAF">
        <w:rPr>
          <w:rStyle w:val="None"/>
          <w:rFonts w:ascii="Times New Roman" w:hAnsi="Times New Roman" w:cs="Times New Roman"/>
          <w:color w:val="auto"/>
        </w:rPr>
        <w:lastRenderedPageBreak/>
        <w:t>energy transition requires an acceleration of global investment in clean energy and incentives for European energy companies to invest in renewable energy.”</w:t>
      </w:r>
      <w:r w:rsidRPr="009A0EAF">
        <w:rPr>
          <w:rStyle w:val="None"/>
          <w:rFonts w:ascii="Times New Roman" w:eastAsia="Times New Roman" w:hAnsi="Times New Roman" w:cs="Times New Roman"/>
          <w:color w:val="auto"/>
          <w:vertAlign w:val="superscript"/>
        </w:rPr>
        <w:footnoteReference w:id="107"/>
      </w:r>
      <w:r w:rsidRPr="009A0EAF">
        <w:rPr>
          <w:rStyle w:val="None"/>
          <w:rFonts w:ascii="Times New Roman" w:hAnsi="Times New Roman" w:cs="Times New Roman"/>
          <w:color w:val="auto"/>
        </w:rPr>
        <w:t xml:space="preserve"> </w:t>
      </w:r>
    </w:p>
    <w:p w14:paraId="56DB0CE2" w14:textId="476EFC3B"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Against this background, the Parliament invited the Commission and the Member States to launch a coordinated exit from the EC, as </w:t>
      </w:r>
      <w:r w:rsidRPr="009A0EAF">
        <w:rPr>
          <w:rStyle w:val="None"/>
          <w:rFonts w:ascii="Times New Roman" w:hAnsi="Times New Roman" w:cs="Times New Roman"/>
          <w:color w:val="auto"/>
        </w:rPr>
        <w:t xml:space="preserve">“the best option for the EU to achieve legal certainty and to prevent the ECT from </w:t>
      </w:r>
      <w:r w:rsidR="009235DC" w:rsidRPr="009A0EAF">
        <w:rPr>
          <w:rStyle w:val="None"/>
          <w:rFonts w:ascii="Times New Roman" w:hAnsi="Times New Roman" w:cs="Times New Roman"/>
          <w:color w:val="auto"/>
        </w:rPr>
        <w:t>jeopardizing</w:t>
      </w:r>
      <w:r w:rsidRPr="009A0EAF">
        <w:rPr>
          <w:rStyle w:val="None"/>
          <w:rFonts w:ascii="Times New Roman" w:hAnsi="Times New Roman" w:cs="Times New Roman"/>
          <w:color w:val="auto"/>
        </w:rPr>
        <w:t xml:space="preserve"> the EU’s climate ambitions.”</w:t>
      </w:r>
      <w:r w:rsidRPr="009A0EAF">
        <w:rPr>
          <w:rStyle w:val="None"/>
          <w:rFonts w:ascii="Times New Roman" w:eastAsia="Times New Roman" w:hAnsi="Times New Roman" w:cs="Times New Roman"/>
          <w:color w:val="auto"/>
          <w:vertAlign w:val="superscript"/>
        </w:rPr>
        <w:footnoteReference w:id="108"/>
      </w:r>
      <w:r w:rsidRPr="009A0EAF">
        <w:rPr>
          <w:rStyle w:val="None"/>
          <w:rFonts w:ascii="Times New Roman" w:hAnsi="Times New Roman" w:cs="Times New Roman"/>
          <w:color w:val="auto"/>
        </w:rPr>
        <w:t xml:space="preserve"> The Resolution also </w:t>
      </w:r>
      <w:r w:rsidR="009235DC" w:rsidRPr="009A0EAF">
        <w:rPr>
          <w:rStyle w:val="None"/>
          <w:rFonts w:ascii="Times New Roman" w:hAnsi="Times New Roman" w:cs="Times New Roman"/>
          <w:color w:val="auto"/>
        </w:rPr>
        <w:t>recognized</w:t>
      </w:r>
      <w:r w:rsidRPr="009A0EAF">
        <w:rPr>
          <w:rStyle w:val="None"/>
          <w:rFonts w:ascii="Times New Roman" w:hAnsi="Times New Roman" w:cs="Times New Roman"/>
          <w:color w:val="auto"/>
        </w:rPr>
        <w:t xml:space="preserve">, though, that in the current situation “withdrawing from the ECT would subject departing contracting parties to the ECT’s 20-year sunset clause, whereby all existing investments not covered by an </w:t>
      </w:r>
      <w:r w:rsidRPr="009A0EAF">
        <w:rPr>
          <w:rStyle w:val="None"/>
          <w:rFonts w:ascii="Times New Roman" w:hAnsi="Times New Roman" w:cs="Times New Roman"/>
          <w:i/>
          <w:iCs/>
          <w:color w:val="auto"/>
        </w:rPr>
        <w:t xml:space="preserve">inter se </w:t>
      </w:r>
      <w:r w:rsidRPr="009A0EAF">
        <w:rPr>
          <w:rStyle w:val="None"/>
          <w:rFonts w:ascii="Times New Roman" w:hAnsi="Times New Roman" w:cs="Times New Roman"/>
          <w:color w:val="auto"/>
        </w:rPr>
        <w:t xml:space="preserve">agreement would continue to be protected, under the rules contained in the </w:t>
      </w:r>
      <w:r w:rsidR="00E51859" w:rsidRPr="009A0EAF">
        <w:rPr>
          <w:rStyle w:val="None"/>
          <w:rFonts w:ascii="Times New Roman" w:hAnsi="Times New Roman" w:cs="Times New Roman"/>
          <w:color w:val="auto"/>
        </w:rPr>
        <w:t>non</w:t>
      </w:r>
      <w:r w:rsidR="00C72831" w:rsidRPr="009A0EAF">
        <w:rPr>
          <w:rStyle w:val="None"/>
          <w:rFonts w:ascii="Times New Roman" w:hAnsi="Times New Roman" w:cs="Times New Roman"/>
          <w:color w:val="auto"/>
        </w:rPr>
        <w:t>-</w:t>
      </w:r>
      <w:r w:rsidR="00E51859" w:rsidRPr="009A0EAF">
        <w:rPr>
          <w:rStyle w:val="None"/>
          <w:rFonts w:ascii="Times New Roman" w:hAnsi="Times New Roman" w:cs="Times New Roman"/>
          <w:color w:val="auto"/>
        </w:rPr>
        <w:t>modernized</w:t>
      </w:r>
      <w:r w:rsidRPr="009A0EAF">
        <w:rPr>
          <w:rStyle w:val="None"/>
          <w:rFonts w:ascii="Times New Roman" w:hAnsi="Times New Roman" w:cs="Times New Roman"/>
          <w:color w:val="auto"/>
        </w:rPr>
        <w:t xml:space="preserve"> ECT.”</w:t>
      </w:r>
      <w:r w:rsidRPr="009A0EAF">
        <w:rPr>
          <w:rStyle w:val="None"/>
          <w:rFonts w:ascii="Times New Roman" w:eastAsia="Times New Roman" w:hAnsi="Times New Roman" w:cs="Times New Roman"/>
          <w:color w:val="auto"/>
          <w:vertAlign w:val="superscript"/>
        </w:rPr>
        <w:footnoteReference w:id="109"/>
      </w:r>
    </w:p>
    <w:p w14:paraId="2C8A113F" w14:textId="07CF42AC"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Indeed, as things stand, should the EU and its Member States follow the example of Italy in withdrawing from the ECT, they will still be bound by its investment-protection and arbitration provisions for 20 more years, according to Article 47 of the ECT.</w:t>
      </w:r>
      <w:r w:rsidRPr="009A0EAF">
        <w:rPr>
          <w:rStyle w:val="None"/>
          <w:rFonts w:ascii="Times New Roman" w:eastAsia="Times New Roman" w:hAnsi="Times New Roman" w:cs="Times New Roman"/>
          <w:color w:val="auto"/>
          <w:vertAlign w:val="superscript"/>
        </w:rPr>
        <w:footnoteReference w:id="110"/>
      </w:r>
      <w:r w:rsidRPr="009A0EAF">
        <w:rPr>
          <w:rStyle w:val="None"/>
          <w:rFonts w:ascii="Times New Roman" w:hAnsi="Times New Roman" w:cs="Times New Roman"/>
          <w:color w:val="auto"/>
        </w:rPr>
        <w:t xml:space="preserve"> In this context, the question that arises is what the legal implications of the new EU Green Deal can be for investors that may wish to use the ECT to protect their renewable-energy investments in the EU.</w:t>
      </w:r>
    </w:p>
    <w:p w14:paraId="52DF3E08" w14:textId="0F5CEEAB" w:rsidR="006675B0" w:rsidRPr="009A0EAF" w:rsidRDefault="009A0EAF" w:rsidP="005D3741">
      <w:pPr>
        <w:pStyle w:val="Heading1"/>
        <w:rPr>
          <w:rStyle w:val="None"/>
          <w:rFonts w:eastAsia="Times New Roman" w:cs="Times New Roman"/>
        </w:rPr>
      </w:pPr>
      <w:r>
        <w:rPr>
          <w:rStyle w:val="None"/>
          <w:rFonts w:cs="Times New Roman"/>
        </w:rPr>
        <w:t>IV.</w:t>
      </w:r>
      <w:r w:rsidR="006675B0" w:rsidRPr="009A0EAF">
        <w:rPr>
          <w:rStyle w:val="None"/>
          <w:rFonts w:cs="Times New Roman"/>
        </w:rPr>
        <w:t xml:space="preserve"> Does the EU Green Deal Produce Legitimate Expectations to Investors?</w:t>
      </w:r>
    </w:p>
    <w:p w14:paraId="2B16442B" w14:textId="74C549B3" w:rsidR="006675B0" w:rsidRPr="009A0EAF" w:rsidRDefault="006675B0" w:rsidP="00B937CC">
      <w:pPr>
        <w:pStyle w:val="Heading2"/>
        <w:rPr>
          <w:rStyle w:val="None"/>
          <w:rFonts w:eastAsia="Times New Roman" w:cs="Times New Roman"/>
        </w:rPr>
      </w:pPr>
      <w:r w:rsidRPr="009A0EAF">
        <w:rPr>
          <w:rStyle w:val="None"/>
          <w:rFonts w:cs="Times New Roman"/>
        </w:rPr>
        <w:t xml:space="preserve">1. Introduction </w:t>
      </w:r>
    </w:p>
    <w:p w14:paraId="4ECCC538" w14:textId="77777777"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hAnsi="Times New Roman" w:cs="Times New Roman"/>
          <w:color w:val="auto"/>
        </w:rPr>
        <w:t>The European Commission has stated its goal to make Europe the first climate-neutral continent by 2050. This ambition requires a complete transformation of Europe’s economies across all sectors, including energy. To achieve this goal, all EU Member States have pledged to reduce greenhouse gas emissions by at least 55% by 2030, compared to 1990 levels, which will require higher shares of renewable energy. To make the plan even more ambitious, the European Commission has proposed to increase the binding target of renewable sources in the EU’s energy mix to 40%</w:t>
      </w:r>
      <w:r w:rsidRPr="009A0EAF">
        <w:rPr>
          <w:rStyle w:val="None"/>
          <w:rFonts w:ascii="Times New Roman" w:eastAsia="Times New Roman" w:hAnsi="Times New Roman" w:cs="Times New Roman"/>
          <w:color w:val="auto"/>
          <w:vertAlign w:val="superscript"/>
        </w:rPr>
        <w:footnoteReference w:id="111"/>
      </w:r>
      <w:r w:rsidRPr="009A0EAF">
        <w:rPr>
          <w:rStyle w:val="None"/>
          <w:rFonts w:ascii="Times New Roman" w:hAnsi="Times New Roman" w:cs="Times New Roman"/>
          <w:color w:val="auto"/>
        </w:rPr>
        <w:t> </w:t>
      </w:r>
    </w:p>
    <w:p w14:paraId="20B6DDF2" w14:textId="0F8BF091"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It is evident that finance and investments will play a central role in meeting these particularly ambitious climate and energy goals. To this end, the European Commission has launched the </w:t>
      </w:r>
      <w:r w:rsidRPr="009A0EAF">
        <w:rPr>
          <w:rStyle w:val="None"/>
          <w:rFonts w:ascii="Times New Roman" w:hAnsi="Times New Roman" w:cs="Times New Roman"/>
          <w:color w:val="auto"/>
        </w:rPr>
        <w:t xml:space="preserve">“InvestEU Programme” aiming at providing the EU with long-term funding by leveraging substantial private and public funds. The Regulation establishing the InvestEU Programme makes it clear that the energy transition and more specifically the implementation of the “Clean Energy for all Europeans” strategy will be at the </w:t>
      </w:r>
      <w:r w:rsidR="009709A4" w:rsidRPr="009A0EAF">
        <w:rPr>
          <w:rStyle w:val="None"/>
          <w:rFonts w:ascii="Times New Roman" w:hAnsi="Times New Roman" w:cs="Times New Roman"/>
          <w:color w:val="auto"/>
        </w:rPr>
        <w:t>center</w:t>
      </w:r>
      <w:r w:rsidRPr="009A0EAF">
        <w:rPr>
          <w:rStyle w:val="None"/>
          <w:rFonts w:ascii="Times New Roman" w:hAnsi="Times New Roman" w:cs="Times New Roman"/>
          <w:color w:val="auto"/>
        </w:rPr>
        <w:t xml:space="preserve"> of financing priorities for the EU.</w:t>
      </w:r>
      <w:r w:rsidRPr="009A0EAF">
        <w:rPr>
          <w:rStyle w:val="None"/>
          <w:rFonts w:ascii="Times New Roman" w:eastAsia="Times New Roman" w:hAnsi="Times New Roman" w:cs="Times New Roman"/>
          <w:color w:val="auto"/>
          <w:vertAlign w:val="superscript"/>
        </w:rPr>
        <w:footnoteReference w:id="112"/>
      </w:r>
      <w:r w:rsidRPr="009A0EAF">
        <w:rPr>
          <w:rStyle w:val="None"/>
          <w:rFonts w:ascii="Times New Roman" w:hAnsi="Times New Roman" w:cs="Times New Roman"/>
          <w:color w:val="auto"/>
        </w:rPr>
        <w:t xml:space="preserve"> The European Commission’s publication explaining the vision of the clean-energy strategy </w:t>
      </w:r>
      <w:r w:rsidR="009709A4" w:rsidRPr="009A0EAF">
        <w:rPr>
          <w:rStyle w:val="None"/>
          <w:rFonts w:ascii="Times New Roman" w:hAnsi="Times New Roman" w:cs="Times New Roman"/>
          <w:color w:val="auto"/>
        </w:rPr>
        <w:t>emphasizes</w:t>
      </w:r>
      <w:r w:rsidRPr="009A0EAF">
        <w:rPr>
          <w:rStyle w:val="None"/>
          <w:rFonts w:ascii="Times New Roman" w:hAnsi="Times New Roman" w:cs="Times New Roman"/>
          <w:color w:val="auto"/>
        </w:rPr>
        <w:t xml:space="preserve"> the role of private investments in achieving the energy transition and the importance of a stable legal framework to foster the necessary investment.</w:t>
      </w:r>
      <w:r w:rsidRPr="009A0EAF">
        <w:rPr>
          <w:rStyle w:val="None"/>
          <w:rFonts w:ascii="Times New Roman" w:eastAsia="Times New Roman" w:hAnsi="Times New Roman" w:cs="Times New Roman"/>
          <w:color w:val="auto"/>
          <w:vertAlign w:val="superscript"/>
        </w:rPr>
        <w:footnoteReference w:id="113"/>
      </w:r>
      <w:r w:rsidR="009A0EAF" w:rsidRPr="009A0EAF">
        <w:rPr>
          <w:rStyle w:val="None"/>
          <w:rFonts w:ascii="Times New Roman" w:hAnsi="Times New Roman" w:cs="Times New Roman"/>
          <w:color w:val="auto"/>
        </w:rPr>
        <w:t xml:space="preserve"> </w:t>
      </w:r>
    </w:p>
    <w:p w14:paraId="226D5645" w14:textId="1B40AC92"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Clean Energy for all Europeans legislative package is a set of eight laws aiming at implementing the EU Green Deal. The new legislation focuses in particular on renewable energy, energy efficiency, </w:t>
      </w:r>
      <w:r w:rsidRPr="009A0EAF">
        <w:rPr>
          <w:rStyle w:val="None"/>
          <w:rFonts w:ascii="Times New Roman" w:eastAsia="Times New Roman" w:hAnsi="Times New Roman" w:cs="Times New Roman"/>
          <w:color w:val="auto"/>
        </w:rPr>
        <w:lastRenderedPageBreak/>
        <w:t>a robust governance system for the Energy Union and the design of the electricity market.</w:t>
      </w:r>
      <w:r w:rsidRPr="009A0EAF">
        <w:rPr>
          <w:rStyle w:val="None"/>
          <w:rFonts w:ascii="Times New Roman" w:eastAsia="Times New Roman" w:hAnsi="Times New Roman" w:cs="Times New Roman"/>
          <w:color w:val="auto"/>
          <w:vertAlign w:val="superscript"/>
        </w:rPr>
        <w:footnoteReference w:id="114"/>
      </w:r>
      <w:r w:rsidRPr="009A0EAF">
        <w:rPr>
          <w:rStyle w:val="None"/>
          <w:rFonts w:ascii="Times New Roman" w:hAnsi="Times New Roman" w:cs="Times New Roman"/>
          <w:color w:val="auto"/>
        </w:rPr>
        <w:t xml:space="preserve"> Central in the legislative package is the recast Renewable Energy Directive, which for the first time sets a binding renewable-energy target at the EU level and not just for individual Member States, as was the case with the previous regime.</w:t>
      </w:r>
      <w:r w:rsidRPr="009A0EAF">
        <w:rPr>
          <w:rStyle w:val="None"/>
          <w:rFonts w:ascii="Times New Roman" w:eastAsia="Times New Roman" w:hAnsi="Times New Roman" w:cs="Times New Roman"/>
          <w:color w:val="auto"/>
          <w:vertAlign w:val="superscript"/>
        </w:rPr>
        <w:footnoteReference w:id="115"/>
      </w:r>
      <w:r w:rsidRPr="009A0EAF">
        <w:rPr>
          <w:rStyle w:val="None"/>
          <w:rFonts w:ascii="Times New Roman" w:hAnsi="Times New Roman" w:cs="Times New Roman"/>
          <w:color w:val="auto"/>
        </w:rPr>
        <w:t xml:space="preserve"> In addition to increased competences for the EU, the new Directive stipulates a variety of guarantees and incentives for investors in the renewable-energy sector. </w:t>
      </w:r>
    </w:p>
    <w:p w14:paraId="5793683C" w14:textId="1B29116B"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These guarantees and representations on the part of the EU are particularly important when seen in the context of the investor-state disputes that the previous regime engendered. Relying on the principles of </w:t>
      </w:r>
      <w:r w:rsidRPr="009A0EAF">
        <w:rPr>
          <w:rStyle w:val="None"/>
          <w:rFonts w:ascii="Times New Roman" w:hAnsi="Times New Roman" w:cs="Times New Roman"/>
          <w:i/>
          <w:iCs/>
          <w:color w:val="auto"/>
        </w:rPr>
        <w:t>estoppel</w:t>
      </w:r>
      <w:r w:rsidRPr="009A0EAF">
        <w:rPr>
          <w:rStyle w:val="None"/>
          <w:rFonts w:ascii="Times New Roman" w:hAnsi="Times New Roman" w:cs="Times New Roman"/>
          <w:color w:val="auto"/>
        </w:rPr>
        <w:t xml:space="preserve"> and the functional responsibility of the EU, as </w:t>
      </w:r>
      <w:r w:rsidR="001C366D" w:rsidRPr="009A0EAF">
        <w:rPr>
          <w:rStyle w:val="None"/>
          <w:rFonts w:ascii="Times New Roman" w:hAnsi="Times New Roman" w:cs="Times New Roman"/>
          <w:color w:val="auto"/>
        </w:rPr>
        <w:t>analyzed</w:t>
      </w:r>
      <w:r w:rsidRPr="009A0EAF">
        <w:rPr>
          <w:rStyle w:val="None"/>
          <w:rFonts w:ascii="Times New Roman" w:hAnsi="Times New Roman" w:cs="Times New Roman"/>
          <w:color w:val="auto"/>
        </w:rPr>
        <w:t xml:space="preserve"> below, could preclude the EU from “hiding” behind the regulatory flexibility of Member States to absolve itself of its international responsibility in case investors launch arbitral disputes against the EU under the ECT.</w:t>
      </w:r>
    </w:p>
    <w:p w14:paraId="4D12B776" w14:textId="118DE814"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This section examines whether the EU Green Deal and the implementing legislation produce legitimate expectations to investors on the part of the EU itself. The enquiry is two-fold: First, whether the representations, provisions and commitments included in the various instruments implementing the EU Green Deal can give rise to legitimate expectations, in the sense that arbitral tribunals have so far adopted. Second, an important question of systemic implications is the legal basis for the responsibility of the EU in international economic relations and more specifically vis-a-vis foreign investors in the field of energy.</w:t>
      </w:r>
    </w:p>
    <w:p w14:paraId="5E63C415" w14:textId="799DC319" w:rsidR="006675B0" w:rsidRPr="009A0EAF" w:rsidRDefault="006675B0" w:rsidP="00B937CC">
      <w:pPr>
        <w:pStyle w:val="Heading2"/>
        <w:rPr>
          <w:rStyle w:val="None"/>
          <w:rFonts w:eastAsia="Times New Roman" w:cs="Times New Roman"/>
        </w:rPr>
      </w:pPr>
      <w:r w:rsidRPr="009A0EAF">
        <w:rPr>
          <w:rStyle w:val="None"/>
          <w:rFonts w:cs="Times New Roman"/>
        </w:rPr>
        <w:t xml:space="preserve">2. Does the EU Green Deal Create Legitimate Expectations to Investors? </w:t>
      </w:r>
    </w:p>
    <w:p w14:paraId="546EBF1D" w14:textId="77777777"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hAnsi="Times New Roman" w:cs="Times New Roman"/>
          <w:color w:val="auto"/>
        </w:rPr>
        <w:t xml:space="preserve">Before exploring the legal bases for the international responsibility of the EU as a contracting party to the ECT in its own standing, it is important to take a closer look into the representations made to prospective investors in the Renewable Energy Directive and other instruments implementing the EU Green Deal. </w:t>
      </w:r>
    </w:p>
    <w:p w14:paraId="37A68F28" w14:textId="0C0CEF35"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The recast Renewable Energy Directive makes plenty of references to the importance of legal and regulatory certainty for investors. Starting with the Preamble, it acknowledges that the establishment of a binding Union renewable energy target would provide certainty for investors.</w:t>
      </w:r>
      <w:r w:rsidRPr="009A0EAF">
        <w:rPr>
          <w:rStyle w:val="None"/>
          <w:rFonts w:ascii="Times New Roman" w:eastAsia="Times New Roman" w:hAnsi="Times New Roman" w:cs="Times New Roman"/>
          <w:color w:val="auto"/>
          <w:vertAlign w:val="superscript"/>
        </w:rPr>
        <w:footnoteReference w:id="116"/>
      </w:r>
      <w:r w:rsidRPr="009A0EAF">
        <w:rPr>
          <w:rStyle w:val="None"/>
          <w:rFonts w:ascii="Times New Roman" w:hAnsi="Times New Roman" w:cs="Times New Roman"/>
          <w:color w:val="auto"/>
        </w:rPr>
        <w:t xml:space="preserve"> In this context, “policies supporting renewable energy should be predictable and stable and should avoid frequent or retroactive changes”, as “policy unpredictability and instability have a direct impact on capital financing costs, on the costs of project development and therefore on the overall cost of deploying renewable energy in the Union.”</w:t>
      </w:r>
      <w:r w:rsidRPr="009A0EAF">
        <w:rPr>
          <w:rStyle w:val="None"/>
          <w:rFonts w:ascii="Times New Roman" w:eastAsia="Times New Roman" w:hAnsi="Times New Roman" w:cs="Times New Roman"/>
          <w:color w:val="auto"/>
          <w:vertAlign w:val="superscript"/>
        </w:rPr>
        <w:footnoteReference w:id="117"/>
      </w:r>
      <w:r w:rsidRPr="009A0EAF">
        <w:rPr>
          <w:rStyle w:val="None"/>
          <w:rFonts w:ascii="Times New Roman" w:hAnsi="Times New Roman" w:cs="Times New Roman"/>
          <w:color w:val="auto"/>
        </w:rPr>
        <w:t xml:space="preserve"> </w:t>
      </w:r>
    </w:p>
    <w:p w14:paraId="0BCEC049" w14:textId="6741709C"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By the same token, Member States are instructed to </w:t>
      </w:r>
      <w:r w:rsidRPr="009A0EAF">
        <w:rPr>
          <w:rStyle w:val="None"/>
          <w:rFonts w:ascii="Times New Roman" w:hAnsi="Times New Roman" w:cs="Times New Roman"/>
          <w:color w:val="auto"/>
        </w:rPr>
        <w:t>“prevent the revision of any support granted to renewable energy projects from having a negative impact on their economic viability.”</w:t>
      </w:r>
      <w:r w:rsidRPr="009A0EAF">
        <w:rPr>
          <w:rStyle w:val="None"/>
          <w:rFonts w:ascii="Times New Roman" w:eastAsia="Times New Roman" w:hAnsi="Times New Roman" w:cs="Times New Roman"/>
          <w:color w:val="auto"/>
          <w:vertAlign w:val="superscript"/>
        </w:rPr>
        <w:footnoteReference w:id="118"/>
      </w:r>
      <w:r w:rsidRPr="009A0EAF">
        <w:rPr>
          <w:rStyle w:val="None"/>
          <w:rFonts w:ascii="Times New Roman" w:hAnsi="Times New Roman" w:cs="Times New Roman"/>
          <w:color w:val="auto"/>
        </w:rPr>
        <w:t xml:space="preserve"> Distinguishing itself from its predecessor, the new Directive contains an article on the stability of financial support to investors. Article 6 provides that “Member States shall ensure that the level of, and the conditions attached to, the support granted to renewable energy projects are not revised in a way that negatively affects the rights conferred thereunder and undermines the economic viability of projects that already benefit from support.”</w:t>
      </w:r>
      <w:r w:rsidRPr="009A0EAF">
        <w:rPr>
          <w:rStyle w:val="None"/>
          <w:rFonts w:ascii="Times New Roman" w:eastAsia="Times New Roman" w:hAnsi="Times New Roman" w:cs="Times New Roman"/>
          <w:color w:val="auto"/>
          <w:vertAlign w:val="superscript"/>
        </w:rPr>
        <w:footnoteReference w:id="119"/>
      </w:r>
      <w:r w:rsidRPr="009A0EAF">
        <w:rPr>
          <w:rStyle w:val="None"/>
          <w:rFonts w:ascii="Times New Roman" w:hAnsi="Times New Roman" w:cs="Times New Roman"/>
          <w:color w:val="auto"/>
        </w:rPr>
        <w:t xml:space="preserve"> </w:t>
      </w:r>
    </w:p>
    <w:p w14:paraId="15B36054" w14:textId="5489FEE4"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lastRenderedPageBreak/>
        <w:t>The same article incorporates a flexibility mechanism on financial support to investors, which aims to strike a balance between investors</w:t>
      </w:r>
      <w:r w:rsidRPr="009A0EAF">
        <w:rPr>
          <w:rStyle w:val="None"/>
          <w:rFonts w:ascii="Times New Roman" w:hAnsi="Times New Roman" w:cs="Times New Roman"/>
          <w:color w:val="auto"/>
        </w:rPr>
        <w:t>’ certainty and the state’s right to regulate. Paragraph 3 stipulates that “Member States shall publish a long-term schedule anticipating the expected allocation of support, covering, as a reference, at least the following five years” while also providing that the “schedule shall be updated on an annual basis or, where necessary, to reflect recent market developments or expected allocation of support.”</w:t>
      </w:r>
      <w:r w:rsidRPr="009A0EAF">
        <w:rPr>
          <w:rStyle w:val="None"/>
          <w:rFonts w:ascii="Times New Roman" w:eastAsia="Times New Roman" w:hAnsi="Times New Roman" w:cs="Times New Roman"/>
          <w:color w:val="auto"/>
          <w:vertAlign w:val="superscript"/>
        </w:rPr>
        <w:footnoteReference w:id="120"/>
      </w:r>
      <w:r w:rsidRPr="009A0EAF">
        <w:rPr>
          <w:rStyle w:val="None"/>
          <w:rFonts w:ascii="Times New Roman" w:hAnsi="Times New Roman" w:cs="Times New Roman"/>
          <w:color w:val="auto"/>
        </w:rPr>
        <w:t xml:space="preserve"> Notably, the introduction of an annual review under the previous regime was considered to cause financial uncertainty for prospective investors, who were faced with significant commitments of upfront capital and who were looking for long term stability and predictability.</w:t>
      </w:r>
      <w:r w:rsidRPr="009A0EAF">
        <w:rPr>
          <w:rStyle w:val="None"/>
          <w:rFonts w:ascii="Times New Roman" w:eastAsia="Times New Roman" w:hAnsi="Times New Roman" w:cs="Times New Roman"/>
          <w:color w:val="auto"/>
          <w:vertAlign w:val="superscript"/>
        </w:rPr>
        <w:footnoteReference w:id="121"/>
      </w:r>
      <w:r w:rsidRPr="009A0EAF">
        <w:rPr>
          <w:rStyle w:val="None"/>
          <w:rFonts w:ascii="Times New Roman" w:hAnsi="Times New Roman" w:cs="Times New Roman"/>
          <w:color w:val="auto"/>
        </w:rPr>
        <w:t xml:space="preserve"> </w:t>
      </w:r>
    </w:p>
    <w:p w14:paraId="1D8325A6" w14:textId="4D045216"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Can these representations on the stability and predictability of the regulatory regime give rise to legitimate expectations for investors relying on the new regime to invest in clean energy in the EU? One could argue that some of the representations for legal predictability and stability are made in a Directive, which is meant to be implemented by the Member States, which would thus bear the responsibility for any laws and measures that may hurt investors in their territories. However, the representations made to investors in the new EU legislation need to be understood in the wider context of the governance design prescribed in the EU Green Deal and the increasing competences of the EU both internally and externally.</w:t>
      </w:r>
    </w:p>
    <w:p w14:paraId="4B480E72" w14:textId="39CDE6FE"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Of particular relevance in this context is the Regulation on the Governance of the Energy Union and Climate Action.</w:t>
      </w:r>
      <w:r w:rsidRPr="009A0EAF">
        <w:rPr>
          <w:rStyle w:val="None"/>
          <w:rFonts w:ascii="Times New Roman" w:eastAsia="Times New Roman" w:hAnsi="Times New Roman" w:cs="Times New Roman"/>
          <w:color w:val="auto"/>
          <w:vertAlign w:val="superscript"/>
        </w:rPr>
        <w:footnoteReference w:id="122"/>
      </w:r>
      <w:r w:rsidRPr="009A0EAF">
        <w:rPr>
          <w:rStyle w:val="None"/>
          <w:rFonts w:ascii="Times New Roman" w:hAnsi="Times New Roman" w:cs="Times New Roman"/>
          <w:color w:val="auto"/>
        </w:rPr>
        <w:t xml:space="preserve"> This central legal piece of the Clean Energy package establishes a governance mechanism that </w:t>
      </w:r>
      <w:r w:rsidR="006E1AF4" w:rsidRPr="009A0EAF">
        <w:rPr>
          <w:rStyle w:val="None"/>
          <w:rFonts w:ascii="Times New Roman" w:hAnsi="Times New Roman" w:cs="Times New Roman"/>
          <w:color w:val="auto"/>
        </w:rPr>
        <w:t>centralizes</w:t>
      </w:r>
      <w:r w:rsidRPr="009A0EAF">
        <w:rPr>
          <w:rStyle w:val="None"/>
          <w:rFonts w:ascii="Times New Roman" w:hAnsi="Times New Roman" w:cs="Times New Roman"/>
          <w:color w:val="auto"/>
        </w:rPr>
        <w:t xml:space="preserve"> energy policy making and coordination at the EU level. Among its stated objectives are the governance of the Energy Union based on “long-term strategies, integrated national energy and climate plans covering ten-year periods, corresponding integrated national energy and climate progress reports by the Member States and integrated monitoring arrangements by the Commission.”</w:t>
      </w:r>
      <w:r w:rsidRPr="009A0EAF">
        <w:rPr>
          <w:rStyle w:val="None"/>
          <w:rFonts w:ascii="Times New Roman" w:eastAsia="Times New Roman" w:hAnsi="Times New Roman" w:cs="Times New Roman"/>
          <w:color w:val="auto"/>
          <w:vertAlign w:val="superscript"/>
        </w:rPr>
        <w:footnoteReference w:id="123"/>
      </w:r>
      <w:r w:rsidRPr="009A0EAF">
        <w:rPr>
          <w:rStyle w:val="None"/>
          <w:rFonts w:ascii="Times New Roman" w:hAnsi="Times New Roman" w:cs="Times New Roman"/>
          <w:color w:val="auto"/>
        </w:rPr>
        <w:t xml:space="preserve"> </w:t>
      </w:r>
    </w:p>
    <w:p w14:paraId="265F0DA6" w14:textId="2B235F50"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The Commission plays a key role in the implementation of the Member States</w:t>
      </w:r>
      <w:r w:rsidRPr="009A0EAF">
        <w:rPr>
          <w:rStyle w:val="None"/>
          <w:rFonts w:ascii="Times New Roman" w:hAnsi="Times New Roman" w:cs="Times New Roman"/>
          <w:color w:val="auto"/>
        </w:rPr>
        <w:t xml:space="preserve">’ energy policies and laws in the governance mechanism, which is “a structured, transparent, iterative process between the Commission and Member States for the purpose of the </w:t>
      </w:r>
      <w:r w:rsidR="006E1AF4" w:rsidRPr="009A0EAF">
        <w:rPr>
          <w:rStyle w:val="None"/>
          <w:rFonts w:ascii="Times New Roman" w:hAnsi="Times New Roman" w:cs="Times New Roman"/>
          <w:color w:val="auto"/>
        </w:rPr>
        <w:t>finalization</w:t>
      </w:r>
      <w:r w:rsidRPr="009A0EAF">
        <w:rPr>
          <w:rStyle w:val="None"/>
          <w:rFonts w:ascii="Times New Roman" w:hAnsi="Times New Roman" w:cs="Times New Roman"/>
          <w:color w:val="auto"/>
        </w:rPr>
        <w:t xml:space="preserve"> of the integrated national energy and climate plans and their subsequent implementation, including with regard to regional cooperation, and corresponding Commission action.”</w:t>
      </w:r>
      <w:r w:rsidRPr="009A0EAF">
        <w:rPr>
          <w:rStyle w:val="None"/>
          <w:rFonts w:ascii="Times New Roman" w:eastAsia="Times New Roman" w:hAnsi="Times New Roman" w:cs="Times New Roman"/>
          <w:color w:val="auto"/>
          <w:vertAlign w:val="superscript"/>
        </w:rPr>
        <w:footnoteReference w:id="124"/>
      </w:r>
      <w:r w:rsidRPr="009A0EAF">
        <w:rPr>
          <w:rStyle w:val="None"/>
          <w:rFonts w:ascii="Times New Roman" w:hAnsi="Times New Roman" w:cs="Times New Roman"/>
          <w:color w:val="auto"/>
        </w:rPr>
        <w:t xml:space="preserve"> The procedural guarantees of </w:t>
      </w:r>
      <w:r w:rsidR="006E1AF4" w:rsidRPr="009A0EAF">
        <w:rPr>
          <w:rStyle w:val="None"/>
          <w:rFonts w:ascii="Times New Roman" w:hAnsi="Times New Roman" w:cs="Times New Roman"/>
          <w:color w:val="auto"/>
        </w:rPr>
        <w:t>centralization</w:t>
      </w:r>
      <w:r w:rsidRPr="009A0EAF">
        <w:rPr>
          <w:rStyle w:val="None"/>
          <w:rFonts w:ascii="Times New Roman" w:hAnsi="Times New Roman" w:cs="Times New Roman"/>
          <w:color w:val="auto"/>
        </w:rPr>
        <w:t xml:space="preserve"> of energy planning and monitoring aim to “contribute to greater regulatory certainty as well as contribute to greater investor certainty.”</w:t>
      </w:r>
      <w:r w:rsidRPr="009A0EAF">
        <w:rPr>
          <w:rStyle w:val="None"/>
          <w:rFonts w:ascii="Times New Roman" w:eastAsia="Times New Roman" w:hAnsi="Times New Roman" w:cs="Times New Roman"/>
          <w:color w:val="auto"/>
          <w:vertAlign w:val="superscript"/>
        </w:rPr>
        <w:footnoteReference w:id="125"/>
      </w:r>
      <w:r w:rsidRPr="009A0EAF">
        <w:rPr>
          <w:rStyle w:val="None"/>
          <w:rFonts w:ascii="Times New Roman" w:hAnsi="Times New Roman" w:cs="Times New Roman"/>
          <w:color w:val="auto"/>
        </w:rPr>
        <w:t xml:space="preserve"> </w:t>
      </w:r>
    </w:p>
    <w:p w14:paraId="279B51CD" w14:textId="070C4D05"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There appears, then, to be an explicit link between the EU</w:t>
      </w:r>
      <w:r w:rsidRPr="009A0EAF">
        <w:rPr>
          <w:rStyle w:val="None"/>
          <w:rFonts w:ascii="Times New Roman" w:hAnsi="Times New Roman" w:cs="Times New Roman"/>
          <w:color w:val="auto"/>
        </w:rPr>
        <w:t xml:space="preserve">’s increased competences in the energy field and the objective to offer more regulatory and legal certainty to investors, compared to the previous, </w:t>
      </w:r>
      <w:r w:rsidR="00D10E01" w:rsidRPr="009A0EAF">
        <w:rPr>
          <w:rStyle w:val="None"/>
          <w:rFonts w:ascii="Times New Roman" w:hAnsi="Times New Roman" w:cs="Times New Roman"/>
          <w:color w:val="auto"/>
        </w:rPr>
        <w:t>decentralized</w:t>
      </w:r>
      <w:r w:rsidRPr="009A0EAF">
        <w:rPr>
          <w:rStyle w:val="None"/>
          <w:rFonts w:ascii="Times New Roman" w:hAnsi="Times New Roman" w:cs="Times New Roman"/>
          <w:color w:val="auto"/>
        </w:rPr>
        <w:t xml:space="preserve"> regime. The Preamble of the Regulation also </w:t>
      </w:r>
      <w:r w:rsidR="00D10E01" w:rsidRPr="009A0EAF">
        <w:rPr>
          <w:rStyle w:val="None"/>
          <w:rFonts w:ascii="Times New Roman" w:hAnsi="Times New Roman" w:cs="Times New Roman"/>
          <w:color w:val="auto"/>
        </w:rPr>
        <w:t>emphasizes</w:t>
      </w:r>
      <w:r w:rsidRPr="009A0EAF">
        <w:rPr>
          <w:rStyle w:val="None"/>
          <w:rFonts w:ascii="Times New Roman" w:hAnsi="Times New Roman" w:cs="Times New Roman"/>
          <w:color w:val="auto"/>
        </w:rPr>
        <w:t xml:space="preserve"> this connection by clarifying that the Regulation “sets out the necessary legislative foundation for reliable, inclusive, cost-efficient, transparent and </w:t>
      </w:r>
      <w:r w:rsidRPr="009A0EAF">
        <w:rPr>
          <w:rStyle w:val="None"/>
          <w:rFonts w:ascii="Times New Roman" w:hAnsi="Times New Roman" w:cs="Times New Roman"/>
          <w:i/>
          <w:iCs/>
          <w:color w:val="auto"/>
        </w:rPr>
        <w:t>predictable</w:t>
      </w:r>
      <w:r w:rsidRPr="009A0EAF">
        <w:rPr>
          <w:rStyle w:val="None"/>
          <w:rFonts w:ascii="Times New Roman" w:hAnsi="Times New Roman" w:cs="Times New Roman"/>
          <w:color w:val="auto"/>
        </w:rPr>
        <w:t xml:space="preserve"> governance of the Energy Union and Climate Action (governance mechanism)”</w:t>
      </w:r>
      <w:r w:rsidRPr="009A0EAF">
        <w:rPr>
          <w:rStyle w:val="None"/>
          <w:rFonts w:ascii="Times New Roman" w:eastAsia="Times New Roman" w:hAnsi="Times New Roman" w:cs="Times New Roman"/>
          <w:color w:val="auto"/>
          <w:vertAlign w:val="superscript"/>
        </w:rPr>
        <w:footnoteReference w:id="126"/>
      </w:r>
      <w:r w:rsidRPr="009A0EAF">
        <w:rPr>
          <w:rStyle w:val="None"/>
          <w:rFonts w:ascii="Times New Roman" w:hAnsi="Times New Roman" w:cs="Times New Roman"/>
          <w:color w:val="auto"/>
        </w:rPr>
        <w:t xml:space="preserve"> which will offer more “transparency and predictability for investors.”</w:t>
      </w:r>
      <w:r w:rsidRPr="009A0EAF">
        <w:rPr>
          <w:rStyle w:val="None"/>
          <w:rFonts w:ascii="Times New Roman" w:eastAsia="Times New Roman" w:hAnsi="Times New Roman" w:cs="Times New Roman"/>
          <w:color w:val="auto"/>
          <w:vertAlign w:val="superscript"/>
        </w:rPr>
        <w:footnoteReference w:id="127"/>
      </w:r>
      <w:r w:rsidRPr="009A0EAF">
        <w:rPr>
          <w:rStyle w:val="None"/>
          <w:rFonts w:ascii="Times New Roman" w:hAnsi="Times New Roman" w:cs="Times New Roman"/>
          <w:color w:val="auto"/>
        </w:rPr>
        <w:t xml:space="preserve"> </w:t>
      </w:r>
    </w:p>
    <w:p w14:paraId="0C9DFDAB" w14:textId="7DF35AD5"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lastRenderedPageBreak/>
        <w:t>Another important piece of EU legislation implementing the EU Green Deal is the European Climate Law.</w:t>
      </w:r>
      <w:r w:rsidRPr="009A0EAF">
        <w:rPr>
          <w:rStyle w:val="None"/>
          <w:rFonts w:ascii="Times New Roman" w:eastAsia="Times New Roman" w:hAnsi="Times New Roman" w:cs="Times New Roman"/>
          <w:color w:val="auto"/>
          <w:vertAlign w:val="superscript"/>
        </w:rPr>
        <w:footnoteReference w:id="128"/>
      </w:r>
      <w:r w:rsidRPr="009A0EAF">
        <w:rPr>
          <w:rStyle w:val="None"/>
          <w:rFonts w:ascii="Times New Roman" w:hAnsi="Times New Roman" w:cs="Times New Roman"/>
          <w:color w:val="auto"/>
        </w:rPr>
        <w:t xml:space="preserve"> Aiming at making Europe climate-neutral by 2050, this new law establishes the framework for achieving climate neutrality and sets a legally binding target of net zero greenhouse gas emissions by 2050.</w:t>
      </w:r>
      <w:r w:rsidRPr="009A0EAF">
        <w:rPr>
          <w:rStyle w:val="None"/>
          <w:rFonts w:ascii="Times New Roman" w:eastAsia="Times New Roman" w:hAnsi="Times New Roman" w:cs="Times New Roman"/>
          <w:color w:val="auto"/>
          <w:vertAlign w:val="superscript"/>
        </w:rPr>
        <w:footnoteReference w:id="129"/>
      </w:r>
      <w:r w:rsidRPr="009A0EAF">
        <w:rPr>
          <w:rStyle w:val="None"/>
          <w:rFonts w:ascii="Times New Roman" w:hAnsi="Times New Roman" w:cs="Times New Roman"/>
          <w:color w:val="auto"/>
        </w:rPr>
        <w:t xml:space="preserve"> Providing predictability for investors is one of the stated objectives of the European Climate Law. Among others, the Preamble states that “in order to provide predictability and confidence for all economic actors, including businesses, workers, investors and consumers […] the Commission should propose a Union intermediate climate target for 2040, as appropriate.”</w:t>
      </w:r>
      <w:r w:rsidRPr="009A0EAF">
        <w:rPr>
          <w:rStyle w:val="None"/>
          <w:rFonts w:ascii="Times New Roman" w:eastAsia="Times New Roman" w:hAnsi="Times New Roman" w:cs="Times New Roman"/>
          <w:color w:val="auto"/>
          <w:vertAlign w:val="superscript"/>
        </w:rPr>
        <w:footnoteReference w:id="130"/>
      </w:r>
    </w:p>
    <w:p w14:paraId="24193495" w14:textId="7BF0890C"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Laws are not the only instruments where the EU has made representations to investors about legal certainty and predictability. The Commission</w:t>
      </w:r>
      <w:r w:rsidRPr="009A0EAF">
        <w:rPr>
          <w:rStyle w:val="None"/>
          <w:rFonts w:ascii="Times New Roman" w:hAnsi="Times New Roman" w:cs="Times New Roman"/>
          <w:color w:val="auto"/>
        </w:rPr>
        <w:t xml:space="preserve">’s Communication on a Green Deal Industrial Plan for the Net-Zero Age includes as its first pillar a predictable and coherent regulatory environment as key to promoting investment, while also </w:t>
      </w:r>
      <w:r w:rsidR="00D10E01" w:rsidRPr="009A0EAF">
        <w:rPr>
          <w:rStyle w:val="None"/>
          <w:rFonts w:ascii="Times New Roman" w:hAnsi="Times New Roman" w:cs="Times New Roman"/>
          <w:color w:val="auto"/>
        </w:rPr>
        <w:t>emphasizing</w:t>
      </w:r>
      <w:r w:rsidRPr="009A0EAF">
        <w:rPr>
          <w:rStyle w:val="None"/>
          <w:rFonts w:ascii="Times New Roman" w:hAnsi="Times New Roman" w:cs="Times New Roman"/>
          <w:color w:val="auto"/>
        </w:rPr>
        <w:t xml:space="preserve"> the importance to </w:t>
      </w:r>
      <w:r w:rsidR="00D10E01" w:rsidRPr="009A0EAF">
        <w:rPr>
          <w:rStyle w:val="None"/>
          <w:rFonts w:ascii="Times New Roman" w:hAnsi="Times New Roman" w:cs="Times New Roman"/>
          <w:color w:val="auto"/>
        </w:rPr>
        <w:t>centralize</w:t>
      </w:r>
      <w:r w:rsidRPr="009A0EAF">
        <w:rPr>
          <w:rStyle w:val="None"/>
          <w:rFonts w:ascii="Times New Roman" w:hAnsi="Times New Roman" w:cs="Times New Roman"/>
          <w:color w:val="auto"/>
        </w:rPr>
        <w:t xml:space="preserve"> EU action in the energy field to prevent fragmentation between 27 regulatory approaches.</w:t>
      </w:r>
      <w:r w:rsidRPr="009A0EAF">
        <w:rPr>
          <w:rStyle w:val="None"/>
          <w:rFonts w:ascii="Times New Roman" w:eastAsia="Times New Roman" w:hAnsi="Times New Roman" w:cs="Times New Roman"/>
          <w:color w:val="auto"/>
          <w:vertAlign w:val="superscript"/>
        </w:rPr>
        <w:footnoteReference w:id="131"/>
      </w:r>
      <w:r w:rsidRPr="009A0EAF">
        <w:rPr>
          <w:rStyle w:val="None"/>
          <w:rFonts w:ascii="Times New Roman" w:hAnsi="Times New Roman" w:cs="Times New Roman"/>
          <w:color w:val="auto"/>
        </w:rPr>
        <w:t xml:space="preserve"> Among others, the Commission instructs Member States to “</w:t>
      </w:r>
      <w:r w:rsidRPr="009A0EAF">
        <w:rPr>
          <w:rStyle w:val="None"/>
          <w:rFonts w:ascii="Times New Roman" w:hAnsi="Times New Roman" w:cs="Times New Roman"/>
          <w:b/>
          <w:bCs/>
          <w:color w:val="auto"/>
        </w:rPr>
        <w:t xml:space="preserve">align their national fiscal incentives </w:t>
      </w:r>
      <w:r w:rsidRPr="009A0EAF">
        <w:rPr>
          <w:rStyle w:val="None"/>
          <w:rFonts w:ascii="Times New Roman" w:hAnsi="Times New Roman" w:cs="Times New Roman"/>
          <w:color w:val="auto"/>
        </w:rPr>
        <w:t xml:space="preserve">along a common scheme that the Commission stands ready to prepare, and thereby create </w:t>
      </w:r>
      <w:r w:rsidRPr="009A0EAF">
        <w:rPr>
          <w:rStyle w:val="None"/>
          <w:rFonts w:ascii="Times New Roman" w:hAnsi="Times New Roman" w:cs="Times New Roman"/>
          <w:b/>
          <w:bCs/>
          <w:color w:val="auto"/>
        </w:rPr>
        <w:t xml:space="preserve">a common scheme </w:t>
      </w:r>
      <w:r w:rsidRPr="009A0EAF">
        <w:rPr>
          <w:rStyle w:val="None"/>
          <w:rFonts w:ascii="Times New Roman" w:hAnsi="Times New Roman" w:cs="Times New Roman"/>
          <w:color w:val="auto"/>
        </w:rPr>
        <w:t>offering greater transparency and predictability to businesses across the EU.”</w:t>
      </w:r>
      <w:r w:rsidRPr="009A0EAF">
        <w:rPr>
          <w:rStyle w:val="None"/>
          <w:rFonts w:ascii="Times New Roman" w:eastAsia="Times New Roman" w:hAnsi="Times New Roman" w:cs="Times New Roman"/>
          <w:color w:val="auto"/>
          <w:vertAlign w:val="superscript"/>
        </w:rPr>
        <w:footnoteReference w:id="132"/>
      </w:r>
      <w:r w:rsidRPr="009A0EAF">
        <w:rPr>
          <w:rStyle w:val="None"/>
          <w:rFonts w:ascii="Times New Roman" w:hAnsi="Times New Roman" w:cs="Times New Roman"/>
          <w:color w:val="auto"/>
        </w:rPr>
        <w:t xml:space="preserve"> </w:t>
      </w:r>
    </w:p>
    <w:p w14:paraId="7602F917" w14:textId="55C6924F"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It is clear from the above that the EU Green Deal explicitly links the energy transition with investments in clean energy and makes representations to investors about the importance of legal and regulatory stability and predictability to achieve the EU</w:t>
      </w:r>
      <w:r w:rsidRPr="009A0EAF">
        <w:rPr>
          <w:rStyle w:val="None"/>
          <w:rFonts w:ascii="Times New Roman" w:hAnsi="Times New Roman" w:cs="Times New Roman"/>
          <w:color w:val="auto"/>
        </w:rPr>
        <w:t xml:space="preserve">’s investment needs in the energy field. The increasing </w:t>
      </w:r>
      <w:r w:rsidR="009A508A" w:rsidRPr="009A0EAF">
        <w:rPr>
          <w:rStyle w:val="None"/>
          <w:rFonts w:ascii="Times New Roman" w:hAnsi="Times New Roman" w:cs="Times New Roman"/>
          <w:color w:val="auto"/>
        </w:rPr>
        <w:t>centralization</w:t>
      </w:r>
      <w:r w:rsidRPr="009A0EAF">
        <w:rPr>
          <w:rStyle w:val="None"/>
          <w:rFonts w:ascii="Times New Roman" w:hAnsi="Times New Roman" w:cs="Times New Roman"/>
          <w:color w:val="auto"/>
        </w:rPr>
        <w:t xml:space="preserve"> of energy policy and law making, which the EU Green Deal represents, needs to be seen in the wider context of the increasing competences of the EU in the field of energy investments. </w:t>
      </w:r>
    </w:p>
    <w:p w14:paraId="6B1AD3B3" w14:textId="3DE7D1C4"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In addition to the exclusive EU competence in trade policy,</w:t>
      </w:r>
      <w:r w:rsidRPr="009A0EAF">
        <w:rPr>
          <w:rStyle w:val="None"/>
          <w:rFonts w:ascii="Times New Roman" w:eastAsia="Times New Roman" w:hAnsi="Times New Roman" w:cs="Times New Roman"/>
          <w:color w:val="auto"/>
          <w:vertAlign w:val="superscript"/>
        </w:rPr>
        <w:footnoteReference w:id="133"/>
      </w:r>
      <w:r w:rsidRPr="009A0EAF">
        <w:rPr>
          <w:rStyle w:val="None"/>
          <w:rFonts w:ascii="Times New Roman" w:hAnsi="Times New Roman" w:cs="Times New Roman"/>
          <w:color w:val="auto"/>
        </w:rPr>
        <w:t xml:space="preserve"> the EU has insisted on speaking with one voice also in the context of the ECT, which covers fields of shared competence, namely energy and investor-state dispute settlement. This is evident, among others, in the subsequent agreement of the European Union and its Member States on the interpretation of the Energy Charter Treaty.</w:t>
      </w:r>
      <w:r w:rsidRPr="009A0EAF">
        <w:rPr>
          <w:rStyle w:val="None"/>
          <w:rFonts w:ascii="Times New Roman" w:eastAsia="Times New Roman" w:hAnsi="Times New Roman" w:cs="Times New Roman"/>
          <w:color w:val="auto"/>
          <w:vertAlign w:val="superscript"/>
        </w:rPr>
        <w:footnoteReference w:id="134"/>
      </w:r>
      <w:r w:rsidRPr="009A0EAF">
        <w:rPr>
          <w:rStyle w:val="None"/>
          <w:rFonts w:ascii="Times New Roman" w:hAnsi="Times New Roman" w:cs="Times New Roman"/>
          <w:color w:val="auto"/>
        </w:rPr>
        <w:t xml:space="preserve"> The Preamble of the agreement recalls “the position of the European Union […] and the Member States during the negotiation of the ECT, during which the European Union […] and the Member States </w:t>
      </w:r>
      <w:r w:rsidRPr="009A0EAF">
        <w:rPr>
          <w:rStyle w:val="None"/>
          <w:rFonts w:ascii="Times New Roman" w:hAnsi="Times New Roman" w:cs="Times New Roman"/>
          <w:i/>
          <w:iCs/>
          <w:color w:val="auto"/>
        </w:rPr>
        <w:t>acted as one single entity of public international law</w:t>
      </w:r>
      <w:r w:rsidRPr="009A0EAF">
        <w:rPr>
          <w:rStyle w:val="None"/>
          <w:rFonts w:ascii="Times New Roman" w:hAnsi="Times New Roman" w:cs="Times New Roman"/>
          <w:color w:val="auto"/>
        </w:rPr>
        <w:t>, that the ECT is inapplicable in its entirety in intra-EU relations.”</w:t>
      </w:r>
      <w:r w:rsidRPr="009A0EAF">
        <w:rPr>
          <w:rStyle w:val="None"/>
          <w:rFonts w:ascii="Times New Roman" w:eastAsia="Times New Roman" w:hAnsi="Times New Roman" w:cs="Times New Roman"/>
          <w:color w:val="auto"/>
          <w:vertAlign w:val="superscript"/>
        </w:rPr>
        <w:footnoteReference w:id="135"/>
      </w:r>
    </w:p>
    <w:p w14:paraId="7F386D0A" w14:textId="016729B8"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same conduct of the EU as </w:t>
      </w:r>
      <w:r w:rsidRPr="009A0EAF">
        <w:rPr>
          <w:rStyle w:val="None"/>
          <w:rFonts w:ascii="Times New Roman" w:hAnsi="Times New Roman" w:cs="Times New Roman"/>
          <w:color w:val="auto"/>
        </w:rPr>
        <w:t>“one single entity of public international law” in the ECT context manifests itself in the “Non-paper from the European Commission on next steps as regards the EU, Euratom and Member States’ membership in the Energy Charter Treaty”.</w:t>
      </w:r>
      <w:r w:rsidRPr="009A0EAF">
        <w:rPr>
          <w:rStyle w:val="None"/>
          <w:rFonts w:ascii="Times New Roman" w:eastAsia="Times New Roman" w:hAnsi="Times New Roman" w:cs="Times New Roman"/>
          <w:color w:val="auto"/>
          <w:vertAlign w:val="superscript"/>
        </w:rPr>
        <w:footnoteReference w:id="136"/>
      </w:r>
      <w:r w:rsidRPr="009A0EAF">
        <w:rPr>
          <w:rStyle w:val="None"/>
          <w:rFonts w:ascii="Times New Roman" w:hAnsi="Times New Roman" w:cs="Times New Roman"/>
          <w:color w:val="auto"/>
        </w:rPr>
        <w:t xml:space="preserve"> Noting the EU’s rejection of the </w:t>
      </w:r>
      <w:r w:rsidR="009A508A" w:rsidRPr="009A0EAF">
        <w:rPr>
          <w:rStyle w:val="None"/>
          <w:rFonts w:ascii="Times New Roman" w:hAnsi="Times New Roman" w:cs="Times New Roman"/>
          <w:color w:val="auto"/>
        </w:rPr>
        <w:t>modernized</w:t>
      </w:r>
      <w:r w:rsidRPr="009A0EAF">
        <w:rPr>
          <w:rStyle w:val="None"/>
          <w:rFonts w:ascii="Times New Roman" w:hAnsi="Times New Roman" w:cs="Times New Roman"/>
          <w:color w:val="auto"/>
        </w:rPr>
        <w:t xml:space="preserve"> ECT and the fact that the </w:t>
      </w:r>
      <w:r w:rsidR="009A508A" w:rsidRPr="009A0EAF">
        <w:rPr>
          <w:rStyle w:val="None"/>
          <w:rFonts w:ascii="Times New Roman" w:hAnsi="Times New Roman" w:cs="Times New Roman"/>
          <w:color w:val="auto"/>
        </w:rPr>
        <w:t>unmodernized</w:t>
      </w:r>
      <w:r w:rsidRPr="009A0EAF">
        <w:rPr>
          <w:rStyle w:val="None"/>
          <w:rFonts w:ascii="Times New Roman" w:hAnsi="Times New Roman" w:cs="Times New Roman"/>
          <w:color w:val="auto"/>
        </w:rPr>
        <w:t xml:space="preserve"> ECT is not in line with the EU’s policy </w:t>
      </w:r>
      <w:r w:rsidRPr="009A0EAF">
        <w:rPr>
          <w:rStyle w:val="None"/>
          <w:rFonts w:ascii="Times New Roman" w:hAnsi="Times New Roman" w:cs="Times New Roman"/>
          <w:color w:val="auto"/>
        </w:rPr>
        <w:lastRenderedPageBreak/>
        <w:t xml:space="preserve">on investment protection or the Green Deal, the Commission has </w:t>
      </w:r>
      <w:r w:rsidR="009A508A" w:rsidRPr="009A0EAF">
        <w:rPr>
          <w:rStyle w:val="None"/>
          <w:rFonts w:ascii="Times New Roman" w:hAnsi="Times New Roman" w:cs="Times New Roman"/>
          <w:color w:val="auto"/>
        </w:rPr>
        <w:t>prioritized</w:t>
      </w:r>
      <w:r w:rsidRPr="009A0EAF">
        <w:rPr>
          <w:rStyle w:val="None"/>
          <w:rFonts w:ascii="Times New Roman" w:hAnsi="Times New Roman" w:cs="Times New Roman"/>
          <w:color w:val="auto"/>
        </w:rPr>
        <w:t xml:space="preserve"> coordinated EU action, proposing a coordinated withdrawal of both the EU and its Member States from the ECT. </w:t>
      </w:r>
    </w:p>
    <w:p w14:paraId="32BC11F1" w14:textId="6DB81F54"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To this end, the Commission stressed that </w:t>
      </w:r>
      <w:r w:rsidRPr="009A0EAF">
        <w:rPr>
          <w:rStyle w:val="None"/>
          <w:rFonts w:ascii="Times New Roman" w:hAnsi="Times New Roman" w:cs="Times New Roman"/>
          <w:color w:val="auto"/>
        </w:rPr>
        <w:t>“the provisions of the ECT (other than on ISDS) largely fall within the areas of EU exclusive competence.”</w:t>
      </w:r>
      <w:r w:rsidRPr="009A0EAF">
        <w:rPr>
          <w:rStyle w:val="None"/>
          <w:rFonts w:ascii="Times New Roman" w:eastAsia="Times New Roman" w:hAnsi="Times New Roman" w:cs="Times New Roman"/>
          <w:color w:val="auto"/>
          <w:vertAlign w:val="superscript"/>
        </w:rPr>
        <w:footnoteReference w:id="137"/>
      </w:r>
      <w:r w:rsidRPr="009A0EAF">
        <w:rPr>
          <w:rStyle w:val="None"/>
          <w:rFonts w:ascii="Times New Roman" w:hAnsi="Times New Roman" w:cs="Times New Roman"/>
          <w:color w:val="auto"/>
        </w:rPr>
        <w:t xml:space="preserve"> It also </w:t>
      </w:r>
      <w:r w:rsidR="009A508A" w:rsidRPr="009A0EAF">
        <w:rPr>
          <w:rStyle w:val="None"/>
          <w:rFonts w:ascii="Times New Roman" w:hAnsi="Times New Roman" w:cs="Times New Roman"/>
          <w:color w:val="auto"/>
        </w:rPr>
        <w:t>emphasized</w:t>
      </w:r>
      <w:r w:rsidRPr="009A0EAF">
        <w:rPr>
          <w:rStyle w:val="None"/>
          <w:rFonts w:ascii="Times New Roman" w:hAnsi="Times New Roman" w:cs="Times New Roman"/>
          <w:color w:val="auto"/>
        </w:rPr>
        <w:t xml:space="preserve"> that, “pursuant to Article 2(1) TFEU, only the Union may act in the areas falling within EU exclusive competence” and that “Member States could only remain in the ECT and act in these areas of exclusive competence if empowered by the Union to do so.”</w:t>
      </w:r>
      <w:r w:rsidRPr="009A0EAF">
        <w:rPr>
          <w:rStyle w:val="None"/>
          <w:rFonts w:ascii="Times New Roman" w:eastAsia="Times New Roman" w:hAnsi="Times New Roman" w:cs="Times New Roman"/>
          <w:color w:val="auto"/>
          <w:vertAlign w:val="superscript"/>
        </w:rPr>
        <w:footnoteReference w:id="138"/>
      </w:r>
      <w:r w:rsidRPr="009A0EAF">
        <w:rPr>
          <w:rStyle w:val="None"/>
          <w:rFonts w:ascii="Times New Roman" w:hAnsi="Times New Roman" w:cs="Times New Roman"/>
          <w:color w:val="auto"/>
        </w:rPr>
        <w:t xml:space="preserve"> The Commission also warned that “by remaining Contracting Parties to the ECT, Member States may impinge on the obligations arising from the acts of EU institutions of the Union that decided an EU withdrawal from the ECT and risk </w:t>
      </w:r>
      <w:r w:rsidR="000300F7" w:rsidRPr="009A0EAF">
        <w:rPr>
          <w:rStyle w:val="None"/>
          <w:rFonts w:ascii="Times New Roman" w:hAnsi="Times New Roman" w:cs="Times New Roman"/>
          <w:color w:val="auto"/>
        </w:rPr>
        <w:t>jeopardizing</w:t>
      </w:r>
      <w:r w:rsidRPr="009A0EAF">
        <w:rPr>
          <w:rStyle w:val="None"/>
          <w:rFonts w:ascii="Times New Roman" w:hAnsi="Times New Roman" w:cs="Times New Roman"/>
          <w:color w:val="auto"/>
        </w:rPr>
        <w:t xml:space="preserve"> the attainment of the Union’s objective in the fields of energy and trade policy.”</w:t>
      </w:r>
      <w:r w:rsidRPr="009A0EAF">
        <w:rPr>
          <w:rStyle w:val="None"/>
          <w:rFonts w:ascii="Times New Roman" w:eastAsia="Times New Roman" w:hAnsi="Times New Roman" w:cs="Times New Roman"/>
          <w:color w:val="auto"/>
          <w:vertAlign w:val="superscript"/>
        </w:rPr>
        <w:footnoteReference w:id="139"/>
      </w:r>
      <w:r w:rsidRPr="009A0EAF">
        <w:rPr>
          <w:rStyle w:val="None"/>
          <w:rFonts w:ascii="Times New Roman" w:hAnsi="Times New Roman" w:cs="Times New Roman"/>
          <w:color w:val="auto"/>
        </w:rPr>
        <w:t xml:space="preserve"> </w:t>
      </w:r>
    </w:p>
    <w:p w14:paraId="74092762" w14:textId="4B96CF27"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Even if Member States seek to remain parties to the ECT, they shall do so only upon the condition that they will vote in </w:t>
      </w:r>
      <w:r w:rsidR="000300F7" w:rsidRPr="009A0EAF">
        <w:rPr>
          <w:rStyle w:val="None"/>
          <w:rFonts w:ascii="Times New Roman" w:eastAsia="Times New Roman" w:hAnsi="Times New Roman" w:cs="Times New Roman"/>
          <w:color w:val="auto"/>
        </w:rPr>
        <w:t>favor</w:t>
      </w:r>
      <w:r w:rsidRPr="009A0EAF">
        <w:rPr>
          <w:rStyle w:val="None"/>
          <w:rFonts w:ascii="Times New Roman" w:eastAsia="Times New Roman" w:hAnsi="Times New Roman" w:cs="Times New Roman"/>
          <w:color w:val="auto"/>
        </w:rPr>
        <w:t xml:space="preserve"> of the </w:t>
      </w:r>
      <w:r w:rsidR="000300F7" w:rsidRPr="009A0EAF">
        <w:rPr>
          <w:rStyle w:val="None"/>
          <w:rFonts w:ascii="Times New Roman" w:eastAsia="Times New Roman" w:hAnsi="Times New Roman" w:cs="Times New Roman"/>
          <w:color w:val="auto"/>
        </w:rPr>
        <w:t>modernization</w:t>
      </w:r>
      <w:r w:rsidRPr="009A0EAF">
        <w:rPr>
          <w:rStyle w:val="None"/>
          <w:rFonts w:ascii="Times New Roman" w:eastAsia="Times New Roman" w:hAnsi="Times New Roman" w:cs="Times New Roman"/>
          <w:color w:val="auto"/>
        </w:rPr>
        <w:t xml:space="preserve"> of the treaty and only upon prior </w:t>
      </w:r>
      <w:r w:rsidR="000300F7" w:rsidRPr="009A0EAF">
        <w:rPr>
          <w:rStyle w:val="None"/>
          <w:rFonts w:ascii="Times New Roman" w:eastAsia="Times New Roman" w:hAnsi="Times New Roman" w:cs="Times New Roman"/>
          <w:color w:val="auto"/>
        </w:rPr>
        <w:t>authorization</w:t>
      </w:r>
      <w:r w:rsidRPr="009A0EAF">
        <w:rPr>
          <w:rStyle w:val="None"/>
          <w:rFonts w:ascii="Times New Roman" w:eastAsia="Times New Roman" w:hAnsi="Times New Roman" w:cs="Times New Roman"/>
          <w:color w:val="auto"/>
        </w:rPr>
        <w:t xml:space="preserve"> from the Union. Such </w:t>
      </w:r>
      <w:r w:rsidR="000300F7" w:rsidRPr="009A0EAF">
        <w:rPr>
          <w:rStyle w:val="None"/>
          <w:rFonts w:ascii="Times New Roman" w:eastAsia="Times New Roman" w:hAnsi="Times New Roman" w:cs="Times New Roman"/>
          <w:color w:val="auto"/>
        </w:rPr>
        <w:t>authorization</w:t>
      </w:r>
      <w:r w:rsidRPr="009A0EAF">
        <w:rPr>
          <w:rStyle w:val="None"/>
          <w:rFonts w:ascii="Times New Roman" w:eastAsia="Times New Roman" w:hAnsi="Times New Roman" w:cs="Times New Roman"/>
          <w:color w:val="auto"/>
        </w:rPr>
        <w:t xml:space="preserve"> would not be a mere empowerment of Member States to remain Contracting Parties to the ECT after the EU has withdrawn but would also lay down the conditions for their ECT membership and establish mechanisms for coordination at the EU level. The </w:t>
      </w:r>
      <w:r w:rsidR="003A2A34" w:rsidRPr="009A0EAF">
        <w:rPr>
          <w:rStyle w:val="None"/>
          <w:rFonts w:ascii="Times New Roman" w:eastAsia="Times New Roman" w:hAnsi="Times New Roman" w:cs="Times New Roman"/>
          <w:color w:val="auto"/>
        </w:rPr>
        <w:t>Non-paper</w:t>
      </w:r>
      <w:r w:rsidRPr="009A0EAF">
        <w:rPr>
          <w:rStyle w:val="None"/>
          <w:rFonts w:ascii="Times New Roman" w:eastAsia="Times New Roman" w:hAnsi="Times New Roman" w:cs="Times New Roman"/>
          <w:color w:val="auto"/>
        </w:rPr>
        <w:t xml:space="preserve"> stresses that this would be essential to </w:t>
      </w:r>
      <w:r w:rsidRPr="009A0EAF">
        <w:rPr>
          <w:rStyle w:val="None"/>
          <w:rFonts w:ascii="Times New Roman" w:hAnsi="Times New Roman" w:cs="Times New Roman"/>
          <w:color w:val="auto"/>
        </w:rPr>
        <w:t>“ensure compliance with the EU’s policy on trade and investment” and the coordination mechanisms would be akin to “the mechanisms established under the Grandfathering Regulation for BITs.”</w:t>
      </w:r>
      <w:r w:rsidRPr="009A0EAF">
        <w:rPr>
          <w:rStyle w:val="None"/>
          <w:rFonts w:ascii="Times New Roman" w:eastAsia="Times New Roman" w:hAnsi="Times New Roman" w:cs="Times New Roman"/>
          <w:color w:val="auto"/>
          <w:vertAlign w:val="superscript"/>
        </w:rPr>
        <w:footnoteReference w:id="140"/>
      </w:r>
    </w:p>
    <w:p w14:paraId="1E38DCD4" w14:textId="7395F749"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Notably, the Non-paper identifies as the legal bases for the required Union </w:t>
      </w:r>
      <w:r w:rsidR="000300F7" w:rsidRPr="009A0EAF">
        <w:rPr>
          <w:rStyle w:val="None"/>
          <w:rFonts w:ascii="Times New Roman" w:eastAsia="Times New Roman" w:hAnsi="Times New Roman" w:cs="Times New Roman"/>
          <w:color w:val="auto"/>
        </w:rPr>
        <w:t>authorization</w:t>
      </w:r>
      <w:r w:rsidRPr="009A0EAF">
        <w:rPr>
          <w:rStyle w:val="None"/>
          <w:rFonts w:ascii="Times New Roman" w:eastAsia="Times New Roman" w:hAnsi="Times New Roman" w:cs="Times New Roman"/>
          <w:color w:val="auto"/>
        </w:rPr>
        <w:t xml:space="preserve"> Articles 2(1) and 194 and 207 of the TFEU.</w:t>
      </w:r>
      <w:r w:rsidRPr="009A0EAF">
        <w:rPr>
          <w:rStyle w:val="None"/>
          <w:rFonts w:ascii="Times New Roman" w:eastAsia="Times New Roman" w:hAnsi="Times New Roman" w:cs="Times New Roman"/>
          <w:color w:val="auto"/>
          <w:vertAlign w:val="superscript"/>
        </w:rPr>
        <w:footnoteReference w:id="141"/>
      </w:r>
      <w:r w:rsidRPr="009A0EAF">
        <w:rPr>
          <w:rStyle w:val="None"/>
          <w:rFonts w:ascii="Times New Roman" w:hAnsi="Times New Roman" w:cs="Times New Roman"/>
          <w:color w:val="auto"/>
        </w:rPr>
        <w:t xml:space="preserve"> Article 2(1) provides that “When the Treaties confer on the Union exclusive competence in a specific area, only the Union may legislate and adopt legally binding acts, the Member States being able to do so themselves only if so empowered by the Union or for the implementation of Union acts.” It is, thus, clear that the Commission is treating energy investments as an increasingly exclusive competence of the EU, which should, consequently, bear also increasing responsibilities for the implementation of EU laws and policies in the field.</w:t>
      </w:r>
    </w:p>
    <w:p w14:paraId="067C7F2B" w14:textId="5B3CAFD7"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Can this </w:t>
      </w:r>
      <w:r w:rsidR="000300F7" w:rsidRPr="009A0EAF">
        <w:rPr>
          <w:rStyle w:val="None"/>
          <w:rFonts w:ascii="Times New Roman" w:eastAsia="Times New Roman" w:hAnsi="Times New Roman" w:cs="Times New Roman"/>
          <w:color w:val="auto"/>
        </w:rPr>
        <w:t>centralization</w:t>
      </w:r>
      <w:r w:rsidRPr="009A0EAF">
        <w:rPr>
          <w:rStyle w:val="None"/>
          <w:rFonts w:ascii="Times New Roman" w:eastAsia="Times New Roman" w:hAnsi="Times New Roman" w:cs="Times New Roman"/>
          <w:color w:val="auto"/>
        </w:rPr>
        <w:t xml:space="preserve"> of EU legal and policy making in the field of international energy investments, as manifested in the case of the ECT, together with the increased commitments for investment stability and predictability, which the EU Green Deal includes, create legitimate expectations to investors that the EU will be responsible for any failure to uphold </w:t>
      </w:r>
      <w:r w:rsidRPr="009A0EAF">
        <w:rPr>
          <w:rStyle w:val="None"/>
          <w:rFonts w:ascii="Times New Roman" w:hAnsi="Times New Roman" w:cs="Times New Roman"/>
          <w:color w:val="auto"/>
        </w:rPr>
        <w:t>those commitments? Can the retraction of financial incentives and support offered to investors relying on the EU Green Deal to invest in the EU be attributed to the EU with an ensuing ECT claim against the EU itself as a Contracting Party to the ECT in its own standing?</w:t>
      </w:r>
    </w:p>
    <w:p w14:paraId="0D9DBAE2" w14:textId="4232C2EA"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First, it ensues from the above analysis of the renewable-energy arbitration disputes against Member States that arbitral tribunals have often considered stability commitments and incentives included in general legislation to give rise to legitimate expectations of investors. </w:t>
      </w:r>
      <w:r w:rsidRPr="009A0EAF">
        <w:rPr>
          <w:rStyle w:val="None"/>
          <w:rFonts w:ascii="Times New Roman" w:hAnsi="Times New Roman" w:cs="Times New Roman"/>
          <w:color w:val="auto"/>
        </w:rPr>
        <w:t xml:space="preserve">Awards treating general legal and regulatory commitments as the basis of investors’ legitimate expectations for stability and predictability are not limited to the intra-EU context. In </w:t>
      </w:r>
      <w:r w:rsidRPr="009A0EAF">
        <w:rPr>
          <w:rStyle w:val="None"/>
          <w:rFonts w:ascii="Times New Roman" w:hAnsi="Times New Roman" w:cs="Times New Roman"/>
          <w:i/>
          <w:iCs/>
          <w:color w:val="auto"/>
        </w:rPr>
        <w:t>Suez and InterAgua v. Argentina</w:t>
      </w:r>
      <w:r w:rsidRPr="009A0EAF">
        <w:rPr>
          <w:rStyle w:val="None"/>
          <w:rFonts w:ascii="Times New Roman" w:hAnsi="Times New Roman" w:cs="Times New Roman"/>
          <w:color w:val="auto"/>
        </w:rPr>
        <w:t>,</w:t>
      </w:r>
      <w:r w:rsidRPr="009A0EAF">
        <w:rPr>
          <w:rStyle w:val="None"/>
          <w:rFonts w:ascii="Times New Roman" w:eastAsia="Times New Roman" w:hAnsi="Times New Roman" w:cs="Times New Roman"/>
          <w:color w:val="auto"/>
          <w:vertAlign w:val="superscript"/>
        </w:rPr>
        <w:footnoteReference w:id="142"/>
      </w:r>
      <w:r w:rsidRPr="009A0EAF">
        <w:rPr>
          <w:rStyle w:val="None"/>
          <w:rFonts w:ascii="Times New Roman" w:hAnsi="Times New Roman" w:cs="Times New Roman"/>
          <w:color w:val="auto"/>
        </w:rPr>
        <w:t xml:space="preserve"> the Claimants argued that the standard of fair and equitable treatment “protects foreign investors from </w:t>
      </w:r>
      <w:r w:rsidRPr="009A0EAF">
        <w:rPr>
          <w:rStyle w:val="None"/>
          <w:rFonts w:ascii="Times New Roman" w:hAnsi="Times New Roman" w:cs="Times New Roman"/>
          <w:color w:val="auto"/>
        </w:rPr>
        <w:lastRenderedPageBreak/>
        <w:t>the fundamental alteration of the investment framework which defeats the investor’s legitimate expectations.”</w:t>
      </w:r>
      <w:r w:rsidRPr="009A0EAF">
        <w:rPr>
          <w:rStyle w:val="None"/>
          <w:rFonts w:ascii="Times New Roman" w:eastAsia="Times New Roman" w:hAnsi="Times New Roman" w:cs="Times New Roman"/>
          <w:color w:val="auto"/>
          <w:vertAlign w:val="superscript"/>
        </w:rPr>
        <w:footnoteReference w:id="143"/>
      </w:r>
      <w:r w:rsidRPr="009A0EAF">
        <w:rPr>
          <w:rStyle w:val="None"/>
          <w:rFonts w:ascii="Times New Roman" w:hAnsi="Times New Roman" w:cs="Times New Roman"/>
          <w:color w:val="auto"/>
        </w:rPr>
        <w:t xml:space="preserve"> The core of the Claimant’s position was that Argentina: “(1) made fundamental alterations of the investment framework; and (2) defeated the legitimate expectations of the Claimants as investors.”</w:t>
      </w:r>
      <w:r w:rsidRPr="009A0EAF">
        <w:rPr>
          <w:rStyle w:val="None"/>
          <w:rFonts w:ascii="Times New Roman" w:eastAsia="Times New Roman" w:hAnsi="Times New Roman" w:cs="Times New Roman"/>
          <w:color w:val="auto"/>
          <w:vertAlign w:val="superscript"/>
        </w:rPr>
        <w:footnoteReference w:id="144"/>
      </w:r>
      <w:r w:rsidRPr="009A0EAF">
        <w:rPr>
          <w:rStyle w:val="None"/>
          <w:rFonts w:ascii="Times New Roman" w:hAnsi="Times New Roman" w:cs="Times New Roman"/>
          <w:color w:val="auto"/>
        </w:rPr>
        <w:t xml:space="preserve"> They also stressed that Argentina had “actively encouraged the Claimants to invest” and that “important elements of that inducement were the various commitments […] made to them in the legal framework governing the investment.”</w:t>
      </w:r>
      <w:r w:rsidRPr="009A0EAF">
        <w:rPr>
          <w:rStyle w:val="None"/>
          <w:rFonts w:ascii="Times New Roman" w:eastAsia="Times New Roman" w:hAnsi="Times New Roman" w:cs="Times New Roman"/>
          <w:color w:val="auto"/>
          <w:vertAlign w:val="superscript"/>
        </w:rPr>
        <w:footnoteReference w:id="145"/>
      </w:r>
      <w:r w:rsidRPr="009A0EAF">
        <w:rPr>
          <w:rStyle w:val="None"/>
          <w:rFonts w:ascii="Times New Roman" w:hAnsi="Times New Roman" w:cs="Times New Roman"/>
          <w:color w:val="auto"/>
        </w:rPr>
        <w:t xml:space="preserve"> </w:t>
      </w:r>
    </w:p>
    <w:p w14:paraId="77172A51" w14:textId="306C75DB"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Notably, even non-legal instruments, such as the EC Communications on the EU Green Deal, could give rise to investors</w:t>
      </w:r>
      <w:r w:rsidRPr="009A0EAF">
        <w:rPr>
          <w:rStyle w:val="None"/>
          <w:rFonts w:ascii="Times New Roman" w:hAnsi="Times New Roman" w:cs="Times New Roman"/>
          <w:color w:val="auto"/>
        </w:rPr>
        <w:t>’ legitimate expectations.</w:t>
      </w:r>
      <w:r w:rsidR="00623EE0" w:rsidRPr="009A0EAF">
        <w:rPr>
          <w:rStyle w:val="FootnoteReference"/>
          <w:rFonts w:ascii="Times New Roman" w:hAnsi="Times New Roman" w:cs="Times New Roman"/>
          <w:color w:val="auto"/>
        </w:rPr>
        <w:footnoteReference w:id="146"/>
      </w:r>
      <w:r w:rsidRPr="009A0EAF">
        <w:rPr>
          <w:rStyle w:val="None"/>
          <w:rFonts w:ascii="Times New Roman" w:hAnsi="Times New Roman" w:cs="Times New Roman"/>
          <w:color w:val="auto"/>
        </w:rPr>
        <w:t xml:space="preserve"> In </w:t>
      </w:r>
      <w:r w:rsidRPr="009A0EAF">
        <w:rPr>
          <w:rStyle w:val="None"/>
          <w:rFonts w:ascii="Times New Roman" w:hAnsi="Times New Roman" w:cs="Times New Roman"/>
          <w:i/>
          <w:iCs/>
          <w:color w:val="auto"/>
        </w:rPr>
        <w:t>Crystallex v. Venezuela</w:t>
      </w:r>
      <w:r w:rsidRPr="009A0EAF">
        <w:rPr>
          <w:rStyle w:val="None"/>
          <w:rFonts w:ascii="Times New Roman" w:hAnsi="Times New Roman" w:cs="Times New Roman"/>
          <w:color w:val="auto"/>
        </w:rPr>
        <w:t>,</w:t>
      </w:r>
      <w:r w:rsidRPr="009A0EAF">
        <w:rPr>
          <w:rStyle w:val="None"/>
          <w:rFonts w:ascii="Times New Roman" w:eastAsia="Times New Roman" w:hAnsi="Times New Roman" w:cs="Times New Roman"/>
          <w:color w:val="auto"/>
          <w:vertAlign w:val="superscript"/>
        </w:rPr>
        <w:footnoteReference w:id="147"/>
      </w:r>
      <w:r w:rsidRPr="009A0EAF">
        <w:rPr>
          <w:rStyle w:val="None"/>
          <w:rFonts w:ascii="Times New Roman" w:hAnsi="Times New Roman" w:cs="Times New Roman"/>
          <w:color w:val="auto"/>
        </w:rPr>
        <w:t xml:space="preserve"> the Claimant contended that it had legitimate expectations that it would operate the disputed project and that its expectations were backed by a clear domestic legal framework and were reinforced by “</w:t>
      </w:r>
      <w:r w:rsidRPr="009A0EAF">
        <w:rPr>
          <w:rStyle w:val="None"/>
          <w:rFonts w:ascii="Times New Roman" w:hAnsi="Times New Roman" w:cs="Times New Roman"/>
          <w:i/>
          <w:iCs/>
          <w:color w:val="auto"/>
        </w:rPr>
        <w:t>multiple approvals from Government agencies</w:t>
      </w:r>
      <w:r w:rsidRPr="009A0EAF">
        <w:rPr>
          <w:rStyle w:val="None"/>
          <w:rFonts w:ascii="Times New Roman" w:hAnsi="Times New Roman" w:cs="Times New Roman"/>
          <w:color w:val="auto"/>
        </w:rPr>
        <w:t xml:space="preserve">, as well as </w:t>
      </w:r>
      <w:r w:rsidRPr="009A0EAF">
        <w:rPr>
          <w:rStyle w:val="None"/>
          <w:rFonts w:ascii="Times New Roman" w:hAnsi="Times New Roman" w:cs="Times New Roman"/>
          <w:i/>
          <w:iCs/>
          <w:color w:val="auto"/>
        </w:rPr>
        <w:t>assurances by Government officials</w:t>
      </w:r>
      <w:r w:rsidRPr="009A0EAF">
        <w:rPr>
          <w:rStyle w:val="None"/>
          <w:rFonts w:ascii="Times New Roman" w:hAnsi="Times New Roman" w:cs="Times New Roman"/>
          <w:color w:val="auto"/>
        </w:rPr>
        <w:t xml:space="preserve"> that all the pre-conditions for the Permit had been met and the Permit was to be handed over.”</w:t>
      </w:r>
      <w:r w:rsidRPr="009A0EAF">
        <w:rPr>
          <w:rStyle w:val="None"/>
          <w:rFonts w:ascii="Times New Roman" w:eastAsia="Times New Roman" w:hAnsi="Times New Roman" w:cs="Times New Roman"/>
          <w:color w:val="auto"/>
          <w:vertAlign w:val="superscript"/>
        </w:rPr>
        <w:footnoteReference w:id="148"/>
      </w:r>
      <w:r w:rsidRPr="009A0EAF">
        <w:rPr>
          <w:rStyle w:val="None"/>
          <w:rFonts w:ascii="Times New Roman" w:hAnsi="Times New Roman" w:cs="Times New Roman"/>
          <w:color w:val="auto"/>
        </w:rPr>
        <w:t xml:space="preserve"> The tribunal did not ultimately accept the Claimant’s argument that the “assurances provided by high-level Venezuelan Government officials” gave rise to its expectations.</w:t>
      </w:r>
      <w:r w:rsidRPr="009A0EAF">
        <w:rPr>
          <w:rStyle w:val="None"/>
          <w:rFonts w:ascii="Times New Roman" w:eastAsia="Times New Roman" w:hAnsi="Times New Roman" w:cs="Times New Roman"/>
          <w:color w:val="auto"/>
          <w:vertAlign w:val="superscript"/>
        </w:rPr>
        <w:footnoteReference w:id="149"/>
      </w:r>
      <w:r w:rsidRPr="009A0EAF">
        <w:rPr>
          <w:rStyle w:val="None"/>
          <w:rFonts w:ascii="Times New Roman" w:hAnsi="Times New Roman" w:cs="Times New Roman"/>
          <w:color w:val="auto"/>
        </w:rPr>
        <w:t xml:space="preserve"> It did find, though, that a letter from the Ministry of Environment addressed to Crystallex and making reference to an evaluation process conducted by the Ministry, created legitimate expectations to the investor that the project would move forward.</w:t>
      </w:r>
      <w:r w:rsidRPr="009A0EAF">
        <w:rPr>
          <w:rStyle w:val="None"/>
          <w:rFonts w:ascii="Times New Roman" w:eastAsia="Times New Roman" w:hAnsi="Times New Roman" w:cs="Times New Roman"/>
          <w:color w:val="auto"/>
          <w:vertAlign w:val="superscript"/>
        </w:rPr>
        <w:footnoteReference w:id="150"/>
      </w:r>
      <w:r w:rsidRPr="009A0EAF">
        <w:rPr>
          <w:rStyle w:val="None"/>
          <w:rFonts w:ascii="Times New Roman" w:hAnsi="Times New Roman" w:cs="Times New Roman"/>
          <w:color w:val="auto"/>
        </w:rPr>
        <w:t xml:space="preserve"> </w:t>
      </w:r>
    </w:p>
    <w:p w14:paraId="4EBF6ACC" w14:textId="4BF22D26"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It is thus evident that arbitral tribunals have often considered representations of investment stability and predictability made in general laws and even non-legal instruments to constitute the source of investors</w:t>
      </w:r>
      <w:r w:rsidRPr="009A0EAF">
        <w:rPr>
          <w:rStyle w:val="None"/>
          <w:rFonts w:ascii="Times New Roman" w:hAnsi="Times New Roman" w:cs="Times New Roman"/>
          <w:color w:val="auto"/>
        </w:rPr>
        <w:t xml:space="preserve">’ legitimate expectations. As the new EU Green Deal and the legislation implementing it make consistent representations about legal certainty and the predictability of the investment framework, they could be considered a source of legitimate expectations for investors relying on those representations to invest in the EU energy sector. </w:t>
      </w:r>
    </w:p>
    <w:p w14:paraId="2070FA3D" w14:textId="24BAD56F"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An important question thus arising in this context is whether a failure to uphold those commitments could lead to the direct responsibility of the EU itself towards investors claiming damages against the EU as a Contracting Party to the ECT, or the EU could </w:t>
      </w:r>
      <w:r w:rsidRPr="009A0EAF">
        <w:rPr>
          <w:rStyle w:val="None"/>
          <w:rFonts w:ascii="Times New Roman" w:hAnsi="Times New Roman" w:cs="Times New Roman"/>
          <w:color w:val="auto"/>
        </w:rPr>
        <w:t xml:space="preserve">“hide” behind the implementation of the EU legislation by individual Member States as the only ones potentially responsible for any failures in the implementation of the EU Green Deal. The increasing </w:t>
      </w:r>
      <w:r w:rsidR="00AF4853" w:rsidRPr="009A0EAF">
        <w:rPr>
          <w:rStyle w:val="None"/>
          <w:rFonts w:ascii="Times New Roman" w:hAnsi="Times New Roman" w:cs="Times New Roman"/>
          <w:color w:val="auto"/>
        </w:rPr>
        <w:t>centralization</w:t>
      </w:r>
      <w:r w:rsidRPr="009A0EAF">
        <w:rPr>
          <w:rStyle w:val="None"/>
          <w:rFonts w:ascii="Times New Roman" w:hAnsi="Times New Roman" w:cs="Times New Roman"/>
          <w:color w:val="auto"/>
        </w:rPr>
        <w:t xml:space="preserve"> of competences in the field of energy investments in the hands of the EU, as </w:t>
      </w:r>
      <w:r w:rsidR="00AF4853" w:rsidRPr="009A0EAF">
        <w:rPr>
          <w:rStyle w:val="None"/>
          <w:rFonts w:ascii="Times New Roman" w:hAnsi="Times New Roman" w:cs="Times New Roman"/>
          <w:color w:val="auto"/>
        </w:rPr>
        <w:t>analyzed</w:t>
      </w:r>
      <w:r w:rsidRPr="009A0EAF">
        <w:rPr>
          <w:rStyle w:val="None"/>
          <w:rFonts w:ascii="Times New Roman" w:hAnsi="Times New Roman" w:cs="Times New Roman"/>
          <w:color w:val="auto"/>
        </w:rPr>
        <w:t xml:space="preserve"> above, should entail an increasing responsibility of the EU in the field. Two legal bases could prove useful in establishing the international responsibility of the EU towards investors relying on the EU’s commitments in the EU Green Deal: the emerging concept of the functional responsibility of the EU and the doctrine of estoppel. </w:t>
      </w:r>
    </w:p>
    <w:p w14:paraId="1A949DBD" w14:textId="7ABD7809" w:rsidR="006675B0" w:rsidRPr="009A0EAF" w:rsidRDefault="006675B0" w:rsidP="00B937CC">
      <w:pPr>
        <w:pStyle w:val="Heading2"/>
        <w:rPr>
          <w:rStyle w:val="None"/>
          <w:rFonts w:eastAsia="Times New Roman" w:cs="Times New Roman"/>
        </w:rPr>
      </w:pPr>
      <w:r w:rsidRPr="009A0EAF">
        <w:rPr>
          <w:rStyle w:val="None"/>
          <w:rFonts w:cs="Times New Roman"/>
        </w:rPr>
        <w:t>3</w:t>
      </w:r>
      <w:r w:rsidR="009A0EAF">
        <w:rPr>
          <w:rStyle w:val="None"/>
          <w:rFonts w:cs="Times New Roman"/>
        </w:rPr>
        <w:t>.</w:t>
      </w:r>
      <w:r w:rsidRPr="009A0EAF">
        <w:rPr>
          <w:rStyle w:val="None"/>
          <w:rFonts w:cs="Times New Roman"/>
        </w:rPr>
        <w:t xml:space="preserve"> The International Responsibility of the EU as a Contracting Party to the ECT</w:t>
      </w:r>
    </w:p>
    <w:p w14:paraId="52741A99" w14:textId="0B683135"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hAnsi="Times New Roman" w:cs="Times New Roman"/>
          <w:color w:val="auto"/>
        </w:rPr>
        <w:t>The expansion of the EU’s external action in international economic law, including in the field of energy investments, demands accountability.</w:t>
      </w:r>
      <w:r w:rsidRPr="009A0EAF">
        <w:rPr>
          <w:rStyle w:val="None"/>
          <w:rFonts w:ascii="Times New Roman" w:eastAsia="Times New Roman" w:hAnsi="Times New Roman" w:cs="Times New Roman"/>
          <w:color w:val="auto"/>
          <w:vertAlign w:val="superscript"/>
        </w:rPr>
        <w:footnoteReference w:id="151"/>
      </w:r>
      <w:r w:rsidRPr="009A0EAF">
        <w:rPr>
          <w:rStyle w:val="None"/>
          <w:rFonts w:ascii="Times New Roman" w:hAnsi="Times New Roman" w:cs="Times New Roman"/>
          <w:color w:val="auto"/>
        </w:rPr>
        <w:t xml:space="preserve"> As </w:t>
      </w:r>
      <w:r w:rsidRPr="009A0EAF">
        <w:rPr>
          <w:rStyle w:val="None"/>
          <w:rFonts w:ascii="Times New Roman" w:hAnsi="Times New Roman" w:cs="Times New Roman"/>
          <w:i/>
          <w:iCs/>
          <w:color w:val="auto"/>
        </w:rPr>
        <w:t>Leinarte</w:t>
      </w:r>
      <w:r w:rsidRPr="009A0EAF">
        <w:rPr>
          <w:rStyle w:val="None"/>
          <w:rFonts w:ascii="Times New Roman" w:hAnsi="Times New Roman" w:cs="Times New Roman"/>
          <w:color w:val="auto"/>
        </w:rPr>
        <w:t xml:space="preserve"> notes, “while determining international responsibility on the basis of internal rules conveniently accommodates the special nature of the </w:t>
      </w:r>
      <w:r w:rsidRPr="009A0EAF">
        <w:rPr>
          <w:rStyle w:val="None"/>
          <w:rFonts w:ascii="Times New Roman" w:hAnsi="Times New Roman" w:cs="Times New Roman"/>
          <w:color w:val="auto"/>
        </w:rPr>
        <w:lastRenderedPageBreak/>
        <w:t xml:space="preserve">Union, there is nothing in international dispute-settlement practice which would indicate that courts and tribunals support or apply the </w:t>
      </w:r>
      <w:r w:rsidRPr="009A0EAF">
        <w:rPr>
          <w:rStyle w:val="None"/>
          <w:rFonts w:ascii="Times New Roman" w:hAnsi="Times New Roman" w:cs="Times New Roman"/>
          <w:i/>
          <w:iCs/>
          <w:color w:val="auto"/>
        </w:rPr>
        <w:t>competence-based responsibility</w:t>
      </w:r>
      <w:r w:rsidRPr="009A0EAF">
        <w:rPr>
          <w:rStyle w:val="None"/>
          <w:rFonts w:ascii="Times New Roman" w:hAnsi="Times New Roman" w:cs="Times New Roman"/>
          <w:color w:val="auto"/>
        </w:rPr>
        <w:t xml:space="preserve"> of the EU.”</w:t>
      </w:r>
      <w:r w:rsidRPr="009A0EAF">
        <w:rPr>
          <w:rStyle w:val="None"/>
          <w:rFonts w:ascii="Times New Roman" w:eastAsia="Times New Roman" w:hAnsi="Times New Roman" w:cs="Times New Roman"/>
          <w:color w:val="auto"/>
          <w:vertAlign w:val="superscript"/>
        </w:rPr>
        <w:footnoteReference w:id="152"/>
      </w:r>
      <w:r w:rsidRPr="009A0EAF">
        <w:rPr>
          <w:rStyle w:val="None"/>
          <w:rFonts w:ascii="Times New Roman" w:hAnsi="Times New Roman" w:cs="Times New Roman"/>
          <w:color w:val="auto"/>
        </w:rPr>
        <w:t xml:space="preserve"> Instead, the author argues that “responsibility in a multilayered structure like the EU, where sovereignty is shared among the EU and its Member States, is distributed based on the adjudicative function which is defined by the treaty regime in question.”</w:t>
      </w:r>
      <w:r w:rsidRPr="009A0EAF">
        <w:rPr>
          <w:rStyle w:val="None"/>
          <w:rFonts w:ascii="Times New Roman" w:eastAsia="Times New Roman" w:hAnsi="Times New Roman" w:cs="Times New Roman"/>
          <w:color w:val="auto"/>
          <w:vertAlign w:val="superscript"/>
        </w:rPr>
        <w:footnoteReference w:id="153"/>
      </w:r>
    </w:p>
    <w:p w14:paraId="4B2D4F99" w14:textId="2E9AD9DE"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There seems, thus, to be no obstacle to having the EU as a Respondent not only in fields that are of exclusive EU competence, but also in fields of shared competence, such as the field of energy investments protected by the ECT. As </w:t>
      </w:r>
      <w:r w:rsidRPr="009A0EAF">
        <w:rPr>
          <w:rStyle w:val="None"/>
          <w:rFonts w:ascii="Times New Roman" w:hAnsi="Times New Roman" w:cs="Times New Roman"/>
          <w:i/>
          <w:iCs/>
          <w:color w:val="auto"/>
        </w:rPr>
        <w:t>Delgado</w:t>
      </w:r>
      <w:r w:rsidRPr="009A0EAF">
        <w:rPr>
          <w:rStyle w:val="None"/>
          <w:rFonts w:ascii="Times New Roman" w:hAnsi="Times New Roman" w:cs="Times New Roman"/>
          <w:color w:val="auto"/>
        </w:rPr>
        <w:t xml:space="preserve"> </w:t>
      </w:r>
      <w:r w:rsidRPr="009A0EAF">
        <w:rPr>
          <w:rStyle w:val="None"/>
          <w:rFonts w:ascii="Times New Roman" w:hAnsi="Times New Roman" w:cs="Times New Roman"/>
          <w:i/>
          <w:iCs/>
          <w:color w:val="auto"/>
        </w:rPr>
        <w:t>Casteleiro</w:t>
      </w:r>
      <w:r w:rsidRPr="009A0EAF">
        <w:rPr>
          <w:rStyle w:val="None"/>
          <w:rFonts w:ascii="Times New Roman" w:hAnsi="Times New Roman" w:cs="Times New Roman"/>
          <w:color w:val="auto"/>
        </w:rPr>
        <w:t xml:space="preserve"> notes, “a clear rule of attribution based on the EU’s normative control would help in easing most of the concerns raised by the investors regarding legal certainty while safeguarding the division of competences between the EU and its Member States.”</w:t>
      </w:r>
      <w:r w:rsidRPr="009A0EAF">
        <w:rPr>
          <w:rStyle w:val="None"/>
          <w:rFonts w:ascii="Times New Roman" w:eastAsia="Times New Roman" w:hAnsi="Times New Roman" w:cs="Times New Roman"/>
          <w:color w:val="auto"/>
          <w:vertAlign w:val="superscript"/>
        </w:rPr>
        <w:footnoteReference w:id="154"/>
      </w:r>
      <w:r w:rsidRPr="009A0EAF">
        <w:rPr>
          <w:rStyle w:val="None"/>
          <w:rFonts w:ascii="Times New Roman" w:hAnsi="Times New Roman" w:cs="Times New Roman"/>
          <w:color w:val="auto"/>
        </w:rPr>
        <w:t xml:space="preserve"> </w:t>
      </w:r>
    </w:p>
    <w:p w14:paraId="24538FA1" w14:textId="05A4EBA0"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normative control of the EU over its Member States appears, indeed, to be an appropriate legal basis for the responsibility of the EU in areas of shared competence in which the Union is asserting more and more powers. As demonstrated above, this is the case with both the EU Green Deal and the increasing </w:t>
      </w:r>
      <w:r w:rsidR="00AF4853" w:rsidRPr="009A0EAF">
        <w:rPr>
          <w:rStyle w:val="None"/>
          <w:rFonts w:ascii="Times New Roman" w:eastAsia="Times New Roman" w:hAnsi="Times New Roman" w:cs="Times New Roman"/>
          <w:color w:val="auto"/>
        </w:rPr>
        <w:t>centralization</w:t>
      </w:r>
      <w:r w:rsidRPr="009A0EAF">
        <w:rPr>
          <w:rStyle w:val="None"/>
          <w:rFonts w:ascii="Times New Roman" w:eastAsia="Times New Roman" w:hAnsi="Times New Roman" w:cs="Times New Roman"/>
          <w:color w:val="auto"/>
        </w:rPr>
        <w:t xml:space="preserve"> of EU policy making in the context of energy investments and the ECT. A salient example of the EU</w:t>
      </w:r>
      <w:r w:rsidRPr="009A0EAF">
        <w:rPr>
          <w:rStyle w:val="None"/>
          <w:rFonts w:ascii="Times New Roman" w:hAnsi="Times New Roman" w:cs="Times New Roman"/>
          <w:color w:val="auto"/>
        </w:rPr>
        <w:t xml:space="preserve">’s normative control are the numerous ECT disputes involving EU state aid decisions and the recovery from investors of subsidies that were deemed illegal under EU law. </w:t>
      </w:r>
    </w:p>
    <w:p w14:paraId="34B9CE4F" w14:textId="22F001AA"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The relationship between EU state aid law and the ECT has been uneasy at best.</w:t>
      </w:r>
      <w:r w:rsidR="00416E9F" w:rsidRPr="009A0EAF">
        <w:rPr>
          <w:rStyle w:val="FootnoteReference"/>
          <w:rFonts w:ascii="Times New Roman" w:eastAsia="Times New Roman" w:hAnsi="Times New Roman" w:cs="Times New Roman"/>
          <w:color w:val="auto"/>
        </w:rPr>
        <w:footnoteReference w:id="155"/>
      </w:r>
      <w:r w:rsidRPr="009A0EAF">
        <w:rPr>
          <w:rStyle w:val="None"/>
          <w:rFonts w:ascii="Times New Roman" w:eastAsia="Times New Roman" w:hAnsi="Times New Roman" w:cs="Times New Roman"/>
          <w:color w:val="auto"/>
        </w:rPr>
        <w:t xml:space="preserve"> For example, the tribunal in </w:t>
      </w:r>
      <w:r w:rsidRPr="009A0EAF">
        <w:rPr>
          <w:rStyle w:val="None"/>
          <w:rFonts w:ascii="Times New Roman" w:hAnsi="Times New Roman" w:cs="Times New Roman"/>
          <w:i/>
          <w:iCs/>
          <w:color w:val="auto"/>
        </w:rPr>
        <w:t>Novenergia v. Spain</w:t>
      </w:r>
      <w:r w:rsidRPr="009A0EAF">
        <w:rPr>
          <w:rStyle w:val="None"/>
          <w:rFonts w:ascii="Times New Roman" w:hAnsi="Times New Roman" w:cs="Times New Roman"/>
          <w:color w:val="auto"/>
        </w:rPr>
        <w:t xml:space="preserve"> treated the EC Decision on State Aid as irrelevant for determining questions of liability under the ECT, in particular the breach of the FET standard. It reached this conclusion by arguing that the tribunal was not tasked with applying Union law, whereas the EC Decision was “part of the Union law, and as such also binding on Arbitration Tribunals, </w:t>
      </w:r>
      <w:r w:rsidRPr="009A0EAF">
        <w:rPr>
          <w:rStyle w:val="None"/>
          <w:rFonts w:ascii="Times New Roman" w:hAnsi="Times New Roman" w:cs="Times New Roman"/>
          <w:i/>
          <w:iCs/>
          <w:color w:val="auto"/>
        </w:rPr>
        <w:t>where they apply Union law</w:t>
      </w:r>
      <w:r w:rsidRPr="009A0EAF">
        <w:rPr>
          <w:rStyle w:val="None"/>
          <w:rFonts w:ascii="Times New Roman" w:hAnsi="Times New Roman" w:cs="Times New Roman"/>
          <w:color w:val="auto"/>
        </w:rPr>
        <w:t>.”</w:t>
      </w:r>
      <w:r w:rsidRPr="009A0EAF">
        <w:rPr>
          <w:rStyle w:val="None"/>
          <w:rFonts w:ascii="Times New Roman" w:eastAsia="Times New Roman" w:hAnsi="Times New Roman" w:cs="Times New Roman"/>
          <w:color w:val="auto"/>
          <w:vertAlign w:val="superscript"/>
        </w:rPr>
        <w:footnoteReference w:id="156"/>
      </w:r>
      <w:r w:rsidRPr="009A0EAF">
        <w:rPr>
          <w:rStyle w:val="None"/>
          <w:rFonts w:ascii="Times New Roman" w:hAnsi="Times New Roman" w:cs="Times New Roman"/>
          <w:color w:val="auto"/>
        </w:rPr>
        <w:t xml:space="preserve"> The </w:t>
      </w:r>
      <w:r w:rsidRPr="009A0EAF">
        <w:rPr>
          <w:rStyle w:val="None"/>
          <w:rFonts w:ascii="Times New Roman" w:hAnsi="Times New Roman" w:cs="Times New Roman"/>
          <w:i/>
          <w:iCs/>
          <w:color w:val="auto"/>
        </w:rPr>
        <w:t>Charanne</w:t>
      </w:r>
      <w:r w:rsidRPr="009A0EAF">
        <w:rPr>
          <w:rStyle w:val="None"/>
          <w:rFonts w:ascii="Times New Roman" w:hAnsi="Times New Roman" w:cs="Times New Roman"/>
          <w:color w:val="auto"/>
        </w:rPr>
        <w:t xml:space="preserve"> and </w:t>
      </w:r>
      <w:r w:rsidRPr="009A0EAF">
        <w:rPr>
          <w:rStyle w:val="None"/>
          <w:rFonts w:ascii="Times New Roman" w:hAnsi="Times New Roman" w:cs="Times New Roman"/>
          <w:i/>
          <w:iCs/>
          <w:color w:val="auto"/>
        </w:rPr>
        <w:t>Isolux</w:t>
      </w:r>
      <w:r w:rsidRPr="009A0EAF">
        <w:rPr>
          <w:rStyle w:val="None"/>
          <w:rFonts w:ascii="Times New Roman" w:hAnsi="Times New Roman" w:cs="Times New Roman"/>
          <w:color w:val="auto"/>
        </w:rPr>
        <w:t xml:space="preserve"> tribunals did not even consider the issue of the relevance of the EC State Aid Decisions in the context of the ECT.</w:t>
      </w:r>
      <w:r w:rsidRPr="009A0EAF">
        <w:rPr>
          <w:rStyle w:val="None"/>
          <w:rFonts w:ascii="Times New Roman" w:eastAsia="Times New Roman" w:hAnsi="Times New Roman" w:cs="Times New Roman"/>
          <w:color w:val="auto"/>
          <w:vertAlign w:val="superscript"/>
        </w:rPr>
        <w:footnoteReference w:id="157"/>
      </w:r>
    </w:p>
    <w:p w14:paraId="572C76BA" w14:textId="6C7C947F"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If the attribution of responsibility has been ambiguous in EU state aid and other areas of exclusive EU competence when they cross paths with arbitration proceedings, one can expect such ambiguity to be even more rampant in areas of shared competence, such as the energy field. An attribution of responsibilities based on the normative control of the EU over </w:t>
      </w:r>
      <w:r w:rsidRPr="009A0EAF">
        <w:rPr>
          <w:rStyle w:val="None"/>
          <w:rFonts w:ascii="Times New Roman" w:hAnsi="Times New Roman" w:cs="Times New Roman"/>
          <w:color w:val="auto"/>
        </w:rPr>
        <w:t xml:space="preserve">its Member States could increase legal certainty for investors and facilitate the accomplishment of the EU goals. </w:t>
      </w:r>
    </w:p>
    <w:p w14:paraId="5FD3A917" w14:textId="0259BFC1"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As </w:t>
      </w:r>
      <w:r w:rsidRPr="009A0EAF">
        <w:rPr>
          <w:rStyle w:val="None"/>
          <w:rFonts w:ascii="Times New Roman" w:hAnsi="Times New Roman" w:cs="Times New Roman"/>
          <w:i/>
          <w:iCs/>
          <w:color w:val="auto"/>
        </w:rPr>
        <w:t xml:space="preserve">Delgado Casteleiro </w:t>
      </w:r>
      <w:r w:rsidRPr="009A0EAF">
        <w:rPr>
          <w:rStyle w:val="None"/>
          <w:rFonts w:ascii="Times New Roman" w:hAnsi="Times New Roman" w:cs="Times New Roman"/>
          <w:color w:val="auto"/>
        </w:rPr>
        <w:t>has observed, “obviously, there will be cases in which the scope of those obligations and the extent to which they impinge on foreign investors’ rights will eventually be brought against the EU in international arbitration courts. So far, those cases have only been brought against EU Member States complying with EU State aid norms.”</w:t>
      </w:r>
      <w:r w:rsidRPr="009A0EAF">
        <w:rPr>
          <w:rStyle w:val="None"/>
          <w:rFonts w:ascii="Times New Roman" w:eastAsia="Times New Roman" w:hAnsi="Times New Roman" w:cs="Times New Roman"/>
          <w:color w:val="auto"/>
          <w:vertAlign w:val="superscript"/>
        </w:rPr>
        <w:footnoteReference w:id="158"/>
      </w:r>
      <w:r w:rsidRPr="009A0EAF">
        <w:rPr>
          <w:rStyle w:val="None"/>
          <w:rFonts w:ascii="Times New Roman" w:hAnsi="Times New Roman" w:cs="Times New Roman"/>
          <w:color w:val="auto"/>
        </w:rPr>
        <w:t xml:space="preserve"> Perhaps the implementation of the EU Green Deal and its effects upon investors in the clean energy sector will be the new battlefield of the international responsibility of the EU for its normative control over Member States. </w:t>
      </w:r>
    </w:p>
    <w:p w14:paraId="560ACA4B" w14:textId="481E0D14"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Suing the EU under the ECT over its normative control in the energy field is not an unprecedented phenomenon. This is exactly what happened with the Nord Stream 2 case, which the Swiss-</w:t>
      </w:r>
      <w:r w:rsidRPr="009A0EAF">
        <w:rPr>
          <w:rStyle w:val="None"/>
          <w:rFonts w:ascii="Times New Roman" w:eastAsia="Times New Roman" w:hAnsi="Times New Roman" w:cs="Times New Roman"/>
          <w:color w:val="auto"/>
        </w:rPr>
        <w:lastRenderedPageBreak/>
        <w:t>registered</w:t>
      </w:r>
      <w:r w:rsidRPr="009A0EAF">
        <w:rPr>
          <w:rStyle w:val="None"/>
          <w:rFonts w:ascii="Times New Roman" w:eastAsia="Times New Roman" w:hAnsi="Times New Roman" w:cs="Times New Roman"/>
          <w:color w:val="auto"/>
          <w:vertAlign w:val="superscript"/>
        </w:rPr>
        <w:footnoteReference w:id="159"/>
      </w:r>
      <w:r w:rsidRPr="009A0EAF">
        <w:rPr>
          <w:rStyle w:val="None"/>
          <w:rFonts w:ascii="Times New Roman" w:hAnsi="Times New Roman" w:cs="Times New Roman"/>
          <w:color w:val="auto"/>
        </w:rPr>
        <w:t xml:space="preserve"> company brought against the EU itself for the EU’s actions related to the EU Gas Directive amendment of 2019, which affected new gas transmission lines to and from third countries.</w:t>
      </w:r>
      <w:r w:rsidRPr="009A0EAF">
        <w:rPr>
          <w:rStyle w:val="None"/>
          <w:rFonts w:ascii="Times New Roman" w:eastAsia="Times New Roman" w:hAnsi="Times New Roman" w:cs="Times New Roman"/>
          <w:color w:val="auto"/>
          <w:vertAlign w:val="superscript"/>
        </w:rPr>
        <w:footnoteReference w:id="160"/>
      </w:r>
      <w:r w:rsidRPr="009A0EAF">
        <w:rPr>
          <w:rStyle w:val="None"/>
          <w:rFonts w:ascii="Times New Roman" w:hAnsi="Times New Roman" w:cs="Times New Roman"/>
          <w:color w:val="auto"/>
        </w:rPr>
        <w:t xml:space="preserve"> In its Notice of Arbitration, the Claimant contested the application of the Amending Directive,</w:t>
      </w:r>
      <w:r w:rsidRPr="009A0EAF">
        <w:rPr>
          <w:rStyle w:val="None"/>
          <w:rFonts w:ascii="Times New Roman" w:eastAsia="Times New Roman" w:hAnsi="Times New Roman" w:cs="Times New Roman"/>
          <w:color w:val="auto"/>
          <w:vertAlign w:val="superscript"/>
        </w:rPr>
        <w:footnoteReference w:id="161"/>
      </w:r>
      <w:r w:rsidRPr="009A0EAF">
        <w:rPr>
          <w:rStyle w:val="None"/>
          <w:rFonts w:ascii="Times New Roman" w:hAnsi="Times New Roman" w:cs="Times New Roman"/>
          <w:color w:val="auto"/>
        </w:rPr>
        <w:t xml:space="preserve"> which expanded the application of the Union rules concerning the internal energy market (in particular, unbundling, third party access and tariff regulation) to third country offshore import pipelines, such as Nord Stream 2.</w:t>
      </w:r>
      <w:r w:rsidRPr="009A0EAF">
        <w:rPr>
          <w:rStyle w:val="None"/>
          <w:rFonts w:ascii="Times New Roman" w:eastAsia="Times New Roman" w:hAnsi="Times New Roman" w:cs="Times New Roman"/>
          <w:color w:val="auto"/>
          <w:vertAlign w:val="superscript"/>
        </w:rPr>
        <w:footnoteReference w:id="162"/>
      </w:r>
    </w:p>
    <w:p w14:paraId="76FF9182" w14:textId="4D791021"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It is not necessary to delve into the specifics of the application of the disputed Articles of the Directive, in particular those articles providing for exemption from the Directive of new major gas infrastructure and for derogation for existing projects.</w:t>
      </w:r>
      <w:r w:rsidRPr="009A0EAF">
        <w:rPr>
          <w:rStyle w:val="None"/>
          <w:rFonts w:ascii="Times New Roman" w:eastAsia="Times New Roman" w:hAnsi="Times New Roman" w:cs="Times New Roman"/>
          <w:color w:val="auto"/>
          <w:vertAlign w:val="superscript"/>
        </w:rPr>
        <w:footnoteReference w:id="163"/>
      </w:r>
      <w:r w:rsidRPr="009A0EAF">
        <w:rPr>
          <w:rStyle w:val="None"/>
          <w:rFonts w:ascii="Times New Roman" w:hAnsi="Times New Roman" w:cs="Times New Roman"/>
          <w:color w:val="auto"/>
        </w:rPr>
        <w:t xml:space="preserve"> What is important to note for the purposes of the present analysis, is the Claimant’s argument regarding the responsibility of the EU for this new Directive (despite its implementation by individual Member States). To quote Nord Stream 2’s arguments, “the EU has regrettably refused to provide NSP2AG with any clarification that Nord Stream 2 will be eligible for a derogation under Article 49a. </w:t>
      </w:r>
      <w:r w:rsidRPr="009A0EAF">
        <w:rPr>
          <w:rStyle w:val="None"/>
          <w:rFonts w:ascii="Times New Roman" w:hAnsi="Times New Roman" w:cs="Times New Roman"/>
          <w:i/>
          <w:iCs/>
          <w:color w:val="auto"/>
        </w:rPr>
        <w:t>While the EU has claimed that Member States are responsible for implementing the Amending Directive and determining any derogation applications, this should not have prevented the EU from clarifying how its own legislation should be interpreted in this regard.”</w:t>
      </w:r>
      <w:r w:rsidRPr="009A0EAF">
        <w:rPr>
          <w:rStyle w:val="None"/>
          <w:rFonts w:ascii="Times New Roman" w:eastAsia="Times New Roman" w:hAnsi="Times New Roman" w:cs="Times New Roman"/>
          <w:i/>
          <w:iCs/>
          <w:color w:val="auto"/>
          <w:vertAlign w:val="superscript"/>
        </w:rPr>
        <w:footnoteReference w:id="164"/>
      </w:r>
      <w:r w:rsidRPr="009A0EAF">
        <w:rPr>
          <w:rStyle w:val="None"/>
          <w:rFonts w:ascii="Times New Roman" w:hAnsi="Times New Roman" w:cs="Times New Roman"/>
          <w:color w:val="auto"/>
        </w:rPr>
        <w:t xml:space="preserve"> </w:t>
      </w:r>
      <w:r w:rsidRPr="009A0EAF">
        <w:rPr>
          <w:rStyle w:val="None"/>
          <w:rFonts w:ascii="Times New Roman" w:hAnsi="Times New Roman" w:cs="Times New Roman"/>
          <w:color w:val="auto"/>
        </w:rPr>
        <w:br/>
        <w:t>Indeed, the Claimant has repeated this line of argument in its letters to the European Commission, where the company expressed “its disappointment that the EU continues to refuse to explain its own understanding of how the legislation it recently drafted and passed into law is intended and expected to operate.”</w:t>
      </w:r>
      <w:r w:rsidRPr="009A0EAF">
        <w:rPr>
          <w:rStyle w:val="None"/>
          <w:rFonts w:ascii="Times New Roman" w:eastAsia="Times New Roman" w:hAnsi="Times New Roman" w:cs="Times New Roman"/>
          <w:color w:val="auto"/>
          <w:vertAlign w:val="superscript"/>
        </w:rPr>
        <w:footnoteReference w:id="165"/>
      </w:r>
      <w:r w:rsidRPr="009A0EAF">
        <w:rPr>
          <w:rStyle w:val="None"/>
          <w:rFonts w:ascii="Times New Roman" w:hAnsi="Times New Roman" w:cs="Times New Roman"/>
          <w:color w:val="auto"/>
        </w:rPr>
        <w:t xml:space="preserve"> Among the violations of the ECT, which Nord Stream 2 claimed that the EU committed by enacting the Amending Directive, was the breach of fair and equitable treatment and in particular the company’s legitimate expectations.</w:t>
      </w:r>
      <w:r w:rsidRPr="009A0EAF">
        <w:rPr>
          <w:rStyle w:val="None"/>
          <w:rFonts w:ascii="Times New Roman" w:eastAsia="Times New Roman" w:hAnsi="Times New Roman" w:cs="Times New Roman"/>
          <w:color w:val="auto"/>
          <w:vertAlign w:val="superscript"/>
        </w:rPr>
        <w:footnoteReference w:id="166"/>
      </w:r>
    </w:p>
    <w:p w14:paraId="457E2881" w14:textId="386C953C"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Without going in depth into the specifics of this particular case, the aspect worth retaining from the Claimant</w:t>
      </w:r>
      <w:r w:rsidRPr="009A0EAF">
        <w:rPr>
          <w:rStyle w:val="None"/>
          <w:rFonts w:ascii="Times New Roman" w:hAnsi="Times New Roman" w:cs="Times New Roman"/>
          <w:color w:val="auto"/>
        </w:rPr>
        <w:t xml:space="preserve">’s argumentation against the EU is the responsibility of the EU for any harm that the implementation of its new Directive by Member States could cause to the investor. This functional approach to the responsibility of the EU for its overarching normative control over its Member States can place the EU in the spotlight also for ECT disputes that may arise from the implementation of the EU Green Deal in light of the commitments that the EU has made in various instruments regarding the stability and predictability of the investment framework and the potential frustration of the investors’ legitimate expectations, should such commitments not </w:t>
      </w:r>
      <w:r w:rsidR="00467C97" w:rsidRPr="009A0EAF">
        <w:rPr>
          <w:rStyle w:val="None"/>
          <w:rFonts w:ascii="Times New Roman" w:hAnsi="Times New Roman" w:cs="Times New Roman"/>
          <w:color w:val="auto"/>
        </w:rPr>
        <w:t>materialize</w:t>
      </w:r>
      <w:r w:rsidRPr="009A0EAF">
        <w:rPr>
          <w:rStyle w:val="None"/>
          <w:rFonts w:ascii="Times New Roman" w:hAnsi="Times New Roman" w:cs="Times New Roman"/>
          <w:color w:val="auto"/>
        </w:rPr>
        <w:t>.</w:t>
      </w:r>
    </w:p>
    <w:p w14:paraId="13E4B582" w14:textId="38A5F112"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 xml:space="preserve">The functional responsibility of the EU is enhanced by considerations of </w:t>
      </w:r>
      <w:r w:rsidRPr="009A0EAF">
        <w:rPr>
          <w:rStyle w:val="None"/>
          <w:rFonts w:ascii="Times New Roman" w:hAnsi="Times New Roman" w:cs="Times New Roman"/>
          <w:i/>
          <w:iCs/>
          <w:color w:val="auto"/>
        </w:rPr>
        <w:t>estoppel</w:t>
      </w:r>
      <w:r w:rsidRPr="009A0EAF">
        <w:rPr>
          <w:rStyle w:val="None"/>
          <w:rFonts w:ascii="Times New Roman" w:hAnsi="Times New Roman" w:cs="Times New Roman"/>
          <w:color w:val="auto"/>
        </w:rPr>
        <w:t xml:space="preserve">. The EU is well aware of the wave of renewable-energy disputes that hit various Member States due to the legal uncertainty that their legal and regulatory frameworks caused to investors. In this environment of ongoing arbitration disputes that disgruntled investors have launched against Member States under the ECT, the EU has enacted the EU Green Deal, which makes clear and specific representations to </w:t>
      </w:r>
      <w:r w:rsidRPr="009A0EAF">
        <w:rPr>
          <w:rStyle w:val="None"/>
          <w:rFonts w:ascii="Times New Roman" w:hAnsi="Times New Roman" w:cs="Times New Roman"/>
          <w:color w:val="auto"/>
        </w:rPr>
        <w:lastRenderedPageBreak/>
        <w:t xml:space="preserve">investors that their investments in clean energy projects will benefit from legal stability and predictability. </w:t>
      </w:r>
    </w:p>
    <w:p w14:paraId="4813EB22" w14:textId="511E03F3"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eastAsia="Times New Roman" w:hAnsi="Times New Roman" w:cs="Times New Roman"/>
          <w:color w:val="auto"/>
        </w:rPr>
        <w:t>In other words, the EU</w:t>
      </w:r>
      <w:r w:rsidRPr="009A0EAF">
        <w:rPr>
          <w:rStyle w:val="None"/>
          <w:rFonts w:ascii="Times New Roman" w:hAnsi="Times New Roman" w:cs="Times New Roman"/>
          <w:color w:val="auto"/>
        </w:rPr>
        <w:t xml:space="preserve">’s conduct has shown that this time will be </w:t>
      </w:r>
      <w:r w:rsidR="009A421B" w:rsidRPr="009A0EAF">
        <w:rPr>
          <w:rStyle w:val="None"/>
          <w:rFonts w:ascii="Times New Roman" w:hAnsi="Times New Roman" w:cs="Times New Roman"/>
          <w:color w:val="auto"/>
        </w:rPr>
        <w:t>different,</w:t>
      </w:r>
      <w:r w:rsidRPr="009A0EAF">
        <w:rPr>
          <w:rStyle w:val="None"/>
          <w:rFonts w:ascii="Times New Roman" w:hAnsi="Times New Roman" w:cs="Times New Roman"/>
          <w:color w:val="auto"/>
        </w:rPr>
        <w:t xml:space="preserve"> and investors can rely on the new legal and governance framework of the EU Green Deal to take an active part in the energy transition and enjoy protection of their renewable-energy investments in the EU. In these circumstances, in case the investors’ expectations are frustrated, the EU should be </w:t>
      </w:r>
      <w:r w:rsidRPr="009A0EAF">
        <w:rPr>
          <w:rStyle w:val="None"/>
          <w:rFonts w:ascii="Times New Roman" w:hAnsi="Times New Roman" w:cs="Times New Roman"/>
          <w:i/>
          <w:iCs/>
          <w:color w:val="auto"/>
        </w:rPr>
        <w:t>estopped</w:t>
      </w:r>
      <w:r w:rsidRPr="009A0EAF">
        <w:rPr>
          <w:rStyle w:val="None"/>
          <w:rFonts w:ascii="Times New Roman" w:hAnsi="Times New Roman" w:cs="Times New Roman"/>
          <w:color w:val="auto"/>
        </w:rPr>
        <w:t xml:space="preserve"> from arguing that the Member States are the only ones responsible for implementing the EU legislation in the energy field.</w:t>
      </w:r>
    </w:p>
    <w:p w14:paraId="39F869DF" w14:textId="768CC510" w:rsidR="006675B0" w:rsidRPr="009A0EAF" w:rsidRDefault="009A0EAF" w:rsidP="005D3741">
      <w:pPr>
        <w:pStyle w:val="Heading1"/>
        <w:rPr>
          <w:rStyle w:val="None"/>
          <w:rFonts w:eastAsia="Times New Roman" w:cs="Times New Roman"/>
        </w:rPr>
      </w:pPr>
      <w:r>
        <w:rPr>
          <w:rStyle w:val="None"/>
          <w:rFonts w:cs="Times New Roman"/>
        </w:rPr>
        <w:t>V</w:t>
      </w:r>
      <w:r w:rsidR="006675B0" w:rsidRPr="009A0EAF">
        <w:rPr>
          <w:rStyle w:val="None"/>
          <w:rFonts w:cs="Times New Roman"/>
        </w:rPr>
        <w:t>. Conclusions</w:t>
      </w:r>
    </w:p>
    <w:p w14:paraId="1A391B25" w14:textId="6475CFB2" w:rsidR="006675B0" w:rsidRPr="009A0EAF" w:rsidRDefault="006675B0" w:rsidP="009A0EAF">
      <w:pPr>
        <w:pStyle w:val="Default"/>
        <w:spacing w:before="100" w:beforeAutospacing="1" w:after="100" w:afterAutospacing="1" w:line="240" w:lineRule="auto"/>
        <w:jc w:val="both"/>
        <w:rPr>
          <w:rStyle w:val="None"/>
          <w:rFonts w:ascii="Times New Roman" w:eastAsia="Times New Roman" w:hAnsi="Times New Roman" w:cs="Times New Roman"/>
          <w:color w:val="auto"/>
        </w:rPr>
      </w:pPr>
      <w:r w:rsidRPr="009A0EAF">
        <w:rPr>
          <w:rStyle w:val="None"/>
          <w:rFonts w:ascii="Times New Roman" w:hAnsi="Times New Roman" w:cs="Times New Roman"/>
          <w:color w:val="auto"/>
        </w:rPr>
        <w:t xml:space="preserve">This article examined the emerging interaction between the EU Green Deal and the Energy Charter Treaty, in light of the wave of ECT disputes that have hit Member States for those policies and measures that have adversely affected investments in the renewable-energy sector. Aiming at addressing climate change and implementing the EU’s ambition to achieve net zero emissions by 2050, the EU Green Deal places renewable-energy investments at the </w:t>
      </w:r>
      <w:r w:rsidR="006F3707" w:rsidRPr="009A0EAF">
        <w:rPr>
          <w:rStyle w:val="None"/>
          <w:rFonts w:ascii="Times New Roman" w:hAnsi="Times New Roman" w:cs="Times New Roman"/>
          <w:color w:val="auto"/>
        </w:rPr>
        <w:t>center</w:t>
      </w:r>
      <w:r w:rsidRPr="009A0EAF">
        <w:rPr>
          <w:rStyle w:val="None"/>
          <w:rFonts w:ascii="Times New Roman" w:hAnsi="Times New Roman" w:cs="Times New Roman"/>
          <w:color w:val="auto"/>
        </w:rPr>
        <w:t xml:space="preserve"> of the energy transition and makes representations to investors about the importance of the legal and regulatory stability and predictability of their investments.</w:t>
      </w:r>
    </w:p>
    <w:p w14:paraId="1ABF931F" w14:textId="4D83081C" w:rsidR="006675B0" w:rsidRPr="009A0EAF" w:rsidRDefault="006675B0" w:rsidP="009A0EAF">
      <w:pPr>
        <w:pStyle w:val="Default"/>
        <w:spacing w:before="100" w:beforeAutospacing="1" w:after="100" w:afterAutospacing="1" w:line="240" w:lineRule="auto"/>
        <w:jc w:val="both"/>
        <w:rPr>
          <w:color w:val="auto"/>
        </w:rPr>
      </w:pPr>
      <w:r w:rsidRPr="009A0EAF">
        <w:rPr>
          <w:rStyle w:val="None"/>
          <w:rFonts w:ascii="Times New Roman" w:eastAsia="Times New Roman" w:hAnsi="Times New Roman" w:cs="Times New Roman"/>
          <w:color w:val="auto"/>
        </w:rPr>
        <w:t>Drawing from previous ECT arbitration awards in the EU renewable</w:t>
      </w:r>
      <w:r w:rsidRPr="009A0EAF">
        <w:rPr>
          <w:rStyle w:val="None"/>
          <w:rFonts w:ascii="Times New Roman" w:hAnsi="Times New Roman" w:cs="Times New Roman"/>
          <w:color w:val="auto"/>
        </w:rPr>
        <w:t xml:space="preserve">-energy sector, this article argued that the commitments made </w:t>
      </w:r>
      <w:r w:rsidR="003D3E8A" w:rsidRPr="009A0EAF">
        <w:rPr>
          <w:rStyle w:val="None"/>
          <w:rFonts w:ascii="Times New Roman" w:hAnsi="Times New Roman" w:cs="Times New Roman"/>
          <w:color w:val="auto"/>
        </w:rPr>
        <w:t>toward</w:t>
      </w:r>
      <w:r w:rsidRPr="009A0EAF">
        <w:rPr>
          <w:rStyle w:val="None"/>
          <w:rFonts w:ascii="Times New Roman" w:hAnsi="Times New Roman" w:cs="Times New Roman"/>
          <w:color w:val="auto"/>
        </w:rPr>
        <w:t xml:space="preserve"> investors in the EU Green Deal can give rise to investors’ legitimate expectations and form the basis of their</w:t>
      </w:r>
      <w:r w:rsidR="00184EE2" w:rsidRPr="009A0EAF">
        <w:rPr>
          <w:rStyle w:val="None"/>
          <w:rFonts w:ascii="Times New Roman" w:hAnsi="Times New Roman" w:cs="Times New Roman"/>
          <w:color w:val="auto"/>
        </w:rPr>
        <w:t xml:space="preserve"> </w:t>
      </w:r>
      <w:r w:rsidRPr="009A0EAF">
        <w:rPr>
          <w:rStyle w:val="None"/>
          <w:rFonts w:ascii="Times New Roman" w:hAnsi="Times New Roman" w:cs="Times New Roman"/>
          <w:color w:val="auto"/>
        </w:rPr>
        <w:t xml:space="preserve">ECT claims against the EU, in case their expectations are frustrated. The responsibility of the EU as a separate Contracting Party to the ECT can be based on the emerging doctrine of the functional responsibility of the EU in international economic relations. The EU Green Deal and the representations about legal and regulatory certainty and predictability made to investors at the EU level should </w:t>
      </w:r>
      <w:r w:rsidRPr="009A0EAF">
        <w:rPr>
          <w:rStyle w:val="None"/>
          <w:rFonts w:ascii="Times New Roman" w:hAnsi="Times New Roman" w:cs="Times New Roman"/>
          <w:i/>
          <w:iCs/>
          <w:color w:val="auto"/>
        </w:rPr>
        <w:t>estop</w:t>
      </w:r>
      <w:r w:rsidRPr="009A0EAF">
        <w:rPr>
          <w:rStyle w:val="None"/>
          <w:rFonts w:ascii="Times New Roman" w:hAnsi="Times New Roman" w:cs="Times New Roman"/>
          <w:color w:val="auto"/>
        </w:rPr>
        <w:t xml:space="preserve"> the EU from arguing that the Member States are the only ones responsible for implementing the EU legislation in the energy field.</w:t>
      </w:r>
    </w:p>
    <w:sectPr w:rsidR="006675B0" w:rsidRPr="009A0EAF" w:rsidSect="00AD3E50">
      <w:footerReference w:type="even"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C6FE" w14:textId="77777777" w:rsidR="00924AF5" w:rsidRDefault="00924AF5" w:rsidP="006675B0">
      <w:r>
        <w:separator/>
      </w:r>
    </w:p>
  </w:endnote>
  <w:endnote w:type="continuationSeparator" w:id="0">
    <w:p w14:paraId="1C608724" w14:textId="77777777" w:rsidR="00924AF5" w:rsidRDefault="00924AF5" w:rsidP="00667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1285335"/>
      <w:docPartObj>
        <w:docPartGallery w:val="Page Numbers (Bottom of Page)"/>
        <w:docPartUnique/>
      </w:docPartObj>
    </w:sdtPr>
    <w:sdtContent>
      <w:p w14:paraId="4997043D" w14:textId="7A6ED733" w:rsidR="00FD7CA6" w:rsidRDefault="00FD7CA6" w:rsidP="00FC3E0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899E9E" w14:textId="77777777" w:rsidR="00FD7CA6" w:rsidRDefault="00FD7CA6" w:rsidP="00FD7C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903738217"/>
      <w:docPartObj>
        <w:docPartGallery w:val="Page Numbers (Bottom of Page)"/>
        <w:docPartUnique/>
      </w:docPartObj>
    </w:sdtPr>
    <w:sdtContent>
      <w:p w14:paraId="3B5609FE" w14:textId="77968971" w:rsidR="00FD7CA6" w:rsidRPr="009A0EAF" w:rsidRDefault="00FD7CA6" w:rsidP="00FC3E0D">
        <w:pPr>
          <w:pStyle w:val="Footer"/>
          <w:framePr w:wrap="none" w:vAnchor="text" w:hAnchor="margin" w:xAlign="right" w:y="1"/>
          <w:rPr>
            <w:rStyle w:val="PageNumber"/>
            <w:sz w:val="22"/>
            <w:szCs w:val="22"/>
          </w:rPr>
        </w:pPr>
        <w:r w:rsidRPr="009A0EAF">
          <w:rPr>
            <w:rStyle w:val="PageNumber"/>
            <w:sz w:val="22"/>
            <w:szCs w:val="22"/>
          </w:rPr>
          <w:fldChar w:fldCharType="begin"/>
        </w:r>
        <w:r w:rsidRPr="009A0EAF">
          <w:rPr>
            <w:rStyle w:val="PageNumber"/>
            <w:sz w:val="22"/>
            <w:szCs w:val="22"/>
          </w:rPr>
          <w:instrText xml:space="preserve"> PAGE </w:instrText>
        </w:r>
        <w:r w:rsidRPr="009A0EAF">
          <w:rPr>
            <w:rStyle w:val="PageNumber"/>
            <w:sz w:val="22"/>
            <w:szCs w:val="22"/>
          </w:rPr>
          <w:fldChar w:fldCharType="separate"/>
        </w:r>
        <w:r w:rsidRPr="009A0EAF">
          <w:rPr>
            <w:rStyle w:val="PageNumber"/>
            <w:noProof/>
            <w:sz w:val="22"/>
            <w:szCs w:val="22"/>
          </w:rPr>
          <w:t>1</w:t>
        </w:r>
        <w:r w:rsidRPr="009A0EAF">
          <w:rPr>
            <w:rStyle w:val="PageNumber"/>
            <w:sz w:val="22"/>
            <w:szCs w:val="22"/>
          </w:rPr>
          <w:fldChar w:fldCharType="end"/>
        </w:r>
      </w:p>
    </w:sdtContent>
  </w:sdt>
  <w:p w14:paraId="2ACDFC55" w14:textId="77777777" w:rsidR="00FD7CA6" w:rsidRPr="009A0EAF" w:rsidRDefault="00FD7CA6" w:rsidP="00FD7CA6">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802B" w14:textId="77777777" w:rsidR="00924AF5" w:rsidRDefault="00924AF5" w:rsidP="006675B0">
      <w:r>
        <w:separator/>
      </w:r>
    </w:p>
  </w:footnote>
  <w:footnote w:type="continuationSeparator" w:id="0">
    <w:p w14:paraId="191F3F99" w14:textId="77777777" w:rsidR="00924AF5" w:rsidRDefault="00924AF5" w:rsidP="006675B0">
      <w:r>
        <w:continuationSeparator/>
      </w:r>
    </w:p>
  </w:footnote>
  <w:footnote w:id="1">
    <w:p w14:paraId="26EC9B09" w14:textId="55739FBC" w:rsidR="009A0EAF" w:rsidRPr="009A0EAF" w:rsidRDefault="009A0EAF">
      <w:pPr>
        <w:pStyle w:val="FootnoteText"/>
        <w:rPr>
          <w:i/>
          <w:iCs/>
        </w:rPr>
      </w:pPr>
      <w:r w:rsidRPr="009A0EAF">
        <w:rPr>
          <w:rStyle w:val="FootnoteReference"/>
          <w:i/>
          <w:iCs/>
        </w:rPr>
        <w:t>*</w:t>
      </w:r>
      <w:r w:rsidRPr="009A0EAF">
        <w:rPr>
          <w:i/>
          <w:iCs/>
        </w:rPr>
        <w:t xml:space="preserve"> Dr. Aikaterini Florou is a Lecturer in International Economic Law at the University of Liverpool, the School of Law and Social Justice.</w:t>
      </w:r>
    </w:p>
  </w:footnote>
  <w:footnote w:id="2">
    <w:p w14:paraId="7A19F97A"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Fonts w:ascii="Times New Roman" w:eastAsia="Times New Roman" w:hAnsi="Times New Roman" w:cs="Times New Roman"/>
          <w:color w:val="auto"/>
          <w:sz w:val="20"/>
          <w:szCs w:val="20"/>
          <w:vertAlign w:val="superscript"/>
        </w:rPr>
        <w:footnoteRef/>
      </w:r>
      <w:r w:rsidRPr="009A0EAF">
        <w:rPr>
          <w:rFonts w:ascii="Times New Roman" w:hAnsi="Times New Roman" w:cs="Times New Roman"/>
          <w:color w:val="auto"/>
          <w:sz w:val="20"/>
          <w:szCs w:val="20"/>
        </w:rPr>
        <w:t xml:space="preserve"> IPCC Sixth Assessment Report, Mitigation of Climate Change, IPCC AR6 WG III, available at: </w:t>
      </w:r>
      <w:hyperlink r:id="rId1" w:history="1">
        <w:r w:rsidRPr="009A0EAF">
          <w:rPr>
            <w:rStyle w:val="Hyperlink0"/>
            <w:rFonts w:eastAsia="Helvetica Neue"/>
            <w:color w:val="auto"/>
            <w:u w:val="none"/>
          </w:rPr>
          <w:t>https://www.ipcc.ch/report/ar6/wg3/</w:t>
        </w:r>
      </w:hyperlink>
      <w:r w:rsidRPr="009A0EAF">
        <w:rPr>
          <w:rStyle w:val="None"/>
          <w:rFonts w:ascii="Times New Roman" w:hAnsi="Times New Roman" w:cs="Times New Roman"/>
          <w:color w:val="auto"/>
          <w:sz w:val="20"/>
          <w:szCs w:val="20"/>
        </w:rPr>
        <w:t xml:space="preserve"> </w:t>
      </w:r>
    </w:p>
  </w:footnote>
  <w:footnote w:id="3">
    <w:p w14:paraId="5184C8B0" w14:textId="77777777" w:rsidR="006675B0" w:rsidRPr="009A0EAF" w:rsidRDefault="006675B0" w:rsidP="00F85D6C">
      <w:pPr>
        <w:pStyle w:val="Footnote"/>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w:t>
      </w:r>
      <w:hyperlink r:id="rId2" w:history="1">
        <w:r w:rsidRPr="009A0EAF">
          <w:rPr>
            <w:rStyle w:val="Hyperlink0"/>
            <w:rFonts w:eastAsia="Helvetica Neue"/>
            <w:color w:val="auto"/>
            <w:u w:val="none"/>
          </w:rPr>
          <w:t>https://news.un.org/en/story/2022/04/1115452</w:t>
        </w:r>
      </w:hyperlink>
      <w:r w:rsidRPr="009A0EAF">
        <w:rPr>
          <w:rStyle w:val="None"/>
          <w:rFonts w:ascii="Times New Roman" w:hAnsi="Times New Roman" w:cs="Times New Roman"/>
          <w:color w:val="auto"/>
          <w:sz w:val="20"/>
          <w:szCs w:val="20"/>
        </w:rPr>
        <w:t xml:space="preserve">; </w:t>
      </w:r>
      <w:hyperlink r:id="rId3" w:history="1">
        <w:r w:rsidRPr="009A0EAF">
          <w:rPr>
            <w:rStyle w:val="Hyperlink0"/>
            <w:rFonts w:eastAsia="Helvetica Neue"/>
            <w:color w:val="auto"/>
            <w:u w:val="none"/>
          </w:rPr>
          <w:t>https://www.ipcc.ch/2022/04/04/ipcc-ar6-wgiii-pressrelease/</w:t>
        </w:r>
      </w:hyperlink>
      <w:r w:rsidRPr="009A0EAF">
        <w:rPr>
          <w:rStyle w:val="None"/>
          <w:rFonts w:ascii="Times New Roman" w:hAnsi="Times New Roman" w:cs="Times New Roman"/>
          <w:color w:val="auto"/>
          <w:sz w:val="20"/>
          <w:szCs w:val="20"/>
        </w:rPr>
        <w:t xml:space="preserve"> </w:t>
      </w:r>
    </w:p>
  </w:footnote>
  <w:footnote w:id="4">
    <w:p w14:paraId="6E13DC14"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Council of Europe Parliamentary Assembly, Climate crisis and the rule of law, available at: </w:t>
      </w:r>
      <w:hyperlink r:id="rId4" w:history="1">
        <w:r w:rsidRPr="009A0EAF">
          <w:rPr>
            <w:rStyle w:val="Hyperlink1"/>
            <w:rFonts w:eastAsia="Helvetica Neue"/>
            <w:color w:val="auto"/>
            <w:u w:val="none"/>
          </w:rPr>
          <w:t>https://assembly.coe.int/LifeRay/SOC/Pdf/Press/2021/20210316-ClimateCrisisProv-EN.pdf</w:t>
        </w:r>
      </w:hyperlink>
      <w:r w:rsidRPr="009A0EAF">
        <w:rPr>
          <w:rStyle w:val="None"/>
          <w:rFonts w:ascii="Times New Roman" w:hAnsi="Times New Roman" w:cs="Times New Roman"/>
          <w:color w:val="auto"/>
          <w:sz w:val="20"/>
          <w:szCs w:val="20"/>
        </w:rPr>
        <w:t xml:space="preserve"> </w:t>
      </w:r>
    </w:p>
  </w:footnote>
  <w:footnote w:id="5">
    <w:p w14:paraId="0AEEEACC"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International Energy Agency, Net Zero by 2050, A Roadmap for the Global Energy Sector, available at: </w:t>
      </w:r>
      <w:hyperlink r:id="rId5" w:history="1">
        <w:r w:rsidRPr="009A0EAF">
          <w:rPr>
            <w:rStyle w:val="Hyperlink0"/>
            <w:rFonts w:eastAsia="Helvetica Neue"/>
            <w:color w:val="auto"/>
            <w:u w:val="none"/>
          </w:rPr>
          <w:t>https://iea.blob.core.windows.net/assets/7ebafc81-74ed-412b-9c60-5cc32c8396e4/NetZeroby2050-ARoadmapfortheGlobalEnergySector-SummaryforPolicyMakers_CORR.pdf</w:t>
        </w:r>
      </w:hyperlink>
      <w:r w:rsidRPr="009A0EAF">
        <w:rPr>
          <w:rStyle w:val="None"/>
          <w:rFonts w:ascii="Times New Roman" w:hAnsi="Times New Roman" w:cs="Times New Roman"/>
          <w:color w:val="auto"/>
          <w:sz w:val="20"/>
          <w:szCs w:val="20"/>
        </w:rPr>
        <w:t xml:space="preserve"> </w:t>
      </w:r>
    </w:p>
  </w:footnote>
  <w:footnote w:id="6">
    <w:p w14:paraId="0AB24D95" w14:textId="77777777" w:rsidR="006675B0" w:rsidRPr="009A0EAF" w:rsidRDefault="006675B0" w:rsidP="00F85D6C">
      <w:pPr>
        <w:pStyle w:val="Footnote"/>
        <w:jc w:val="both"/>
        <w:rPr>
          <w:rFonts w:ascii="Times New Roman" w:hAnsi="Times New Roman" w:cs="Times New Roman"/>
          <w:color w:val="auto"/>
          <w:sz w:val="20"/>
          <w:szCs w:val="20"/>
          <w:lang w:val="da-DK"/>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da-DK"/>
        </w:rPr>
        <w:t xml:space="preserve"> Ibid, at 14.</w:t>
      </w:r>
    </w:p>
  </w:footnote>
  <w:footnote w:id="7">
    <w:p w14:paraId="75570CD1" w14:textId="77777777" w:rsidR="006675B0" w:rsidRPr="009A0EAF" w:rsidRDefault="006675B0" w:rsidP="00F85D6C">
      <w:pPr>
        <w:pStyle w:val="Footnote"/>
        <w:jc w:val="both"/>
        <w:rPr>
          <w:rFonts w:ascii="Times New Roman" w:hAnsi="Times New Roman" w:cs="Times New Roman"/>
          <w:color w:val="auto"/>
          <w:sz w:val="20"/>
          <w:szCs w:val="20"/>
          <w:lang w:val="da-DK"/>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da-DK"/>
        </w:rPr>
        <w:t xml:space="preserve"> Ibid, at 21.</w:t>
      </w:r>
    </w:p>
  </w:footnote>
  <w:footnote w:id="8">
    <w:p w14:paraId="279396E7" w14:textId="77777777" w:rsidR="006675B0" w:rsidRPr="009A0EAF" w:rsidRDefault="006675B0" w:rsidP="00F85D6C">
      <w:pPr>
        <w:pStyle w:val="Footnote"/>
        <w:jc w:val="both"/>
        <w:rPr>
          <w:rFonts w:ascii="Times New Roman" w:hAnsi="Times New Roman" w:cs="Times New Roman"/>
          <w:color w:val="auto"/>
          <w:sz w:val="20"/>
          <w:szCs w:val="20"/>
          <w:lang w:val="da-DK"/>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da-DK"/>
        </w:rPr>
        <w:t xml:space="preserve"> Ibid, at 24-25.</w:t>
      </w:r>
    </w:p>
  </w:footnote>
  <w:footnote w:id="9">
    <w:p w14:paraId="6410E1D3"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Naeeda Crishna Morgado and Bérénice Lasfargues (2017), Engaging the Private Sector for Green Growth and Climate Action: An Overview of Development Co-Operation Efforts, available at: </w:t>
      </w:r>
      <w:hyperlink r:id="rId6" w:history="1">
        <w:r w:rsidRPr="009A0EAF">
          <w:rPr>
            <w:rStyle w:val="Hyperlink0"/>
            <w:rFonts w:eastAsia="Helvetica Neue"/>
            <w:color w:val="auto"/>
            <w:u w:val="none"/>
          </w:rPr>
          <w:t>https://www.oecd-ilibrary.org/docserver/85b52daf-en.pdf?expires=1651668688&amp;id=id&amp;accname=guest&amp;checksum=37E726329D06BE4C706F138B68ECAE4C</w:t>
        </w:r>
      </w:hyperlink>
      <w:r w:rsidRPr="009A0EAF">
        <w:rPr>
          <w:rStyle w:val="None"/>
          <w:rFonts w:ascii="Times New Roman" w:hAnsi="Times New Roman" w:cs="Times New Roman"/>
          <w:color w:val="auto"/>
          <w:sz w:val="20"/>
          <w:szCs w:val="20"/>
          <w:shd w:val="clear" w:color="auto" w:fill="FFFFFF"/>
        </w:rPr>
        <w:t>.</w:t>
      </w:r>
    </w:p>
  </w:footnote>
  <w:footnote w:id="10">
    <w:p w14:paraId="76B4478C" w14:textId="6427E182" w:rsidR="006675B0" w:rsidRPr="009A0EAF" w:rsidRDefault="006675B0" w:rsidP="00576A84">
      <w:pPr>
        <w:pStyle w:val="Footnote"/>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00576A84">
        <w:rPr>
          <w:rStyle w:val="None"/>
          <w:rFonts w:ascii="Times New Roman" w:hAnsi="Times New Roman" w:cs="Times New Roman"/>
          <w:color w:val="auto"/>
          <w:sz w:val="20"/>
          <w:szCs w:val="20"/>
        </w:rPr>
        <w:t xml:space="preserve"> </w:t>
      </w:r>
      <w:hyperlink r:id="rId7" w:history="1">
        <w:r w:rsidRPr="009A0EAF">
          <w:rPr>
            <w:rStyle w:val="Hyperlink2"/>
            <w:rFonts w:eastAsia="Helvetica Neue"/>
            <w:color w:val="auto"/>
            <w:u w:val="none"/>
          </w:rPr>
          <w:t>https://iea.blob.core.windows.net/assets/db74ebb7-272f-4613-bdbd-a2e0922449e7/WorldEnergyInvestment2022.pdf</w:t>
        </w:r>
      </w:hyperlink>
      <w:r w:rsidRPr="009A0EAF">
        <w:rPr>
          <w:rStyle w:val="None"/>
          <w:rFonts w:ascii="Times New Roman" w:hAnsi="Times New Roman" w:cs="Times New Roman"/>
          <w:color w:val="auto"/>
          <w:sz w:val="20"/>
          <w:szCs w:val="20"/>
          <w:shd w:val="clear" w:color="auto" w:fill="FEFFFE"/>
        </w:rPr>
        <w:t xml:space="preserve"> </w:t>
      </w:r>
    </w:p>
  </w:footnote>
  <w:footnote w:id="11">
    <w:p w14:paraId="7D29B546"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 203.</w:t>
      </w:r>
    </w:p>
  </w:footnote>
  <w:footnote w:id="12">
    <w:p w14:paraId="441C4287" w14:textId="5D486EBA"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0078079C">
        <w:rPr>
          <w:rStyle w:val="None"/>
          <w:rFonts w:ascii="Times New Roman" w:hAnsi="Times New Roman" w:cs="Times New Roman"/>
          <w:color w:val="auto"/>
          <w:sz w:val="20"/>
          <w:szCs w:val="20"/>
        </w:rPr>
        <w:t xml:space="preserve"> </w:t>
      </w:r>
      <w:r w:rsidRPr="009A0EAF">
        <w:rPr>
          <w:rStyle w:val="None"/>
          <w:rFonts w:ascii="Times New Roman" w:hAnsi="Times New Roman" w:cs="Times New Roman"/>
          <w:color w:val="auto"/>
          <w:sz w:val="20"/>
          <w:szCs w:val="20"/>
        </w:rPr>
        <w:t xml:space="preserve">Energy Charter Treaty, Dec. 17, 1994. 2080 UNTS, Retrieved from </w:t>
      </w:r>
      <w:hyperlink r:id="rId8" w:history="1">
        <w:r w:rsidRPr="009A0EAF">
          <w:rPr>
            <w:rStyle w:val="Hyperlink3"/>
            <w:rFonts w:eastAsia="Helvetica Neue"/>
            <w:color w:val="auto"/>
            <w:u w:val="none"/>
          </w:rPr>
          <w:t>https://www.energycharter.org/process/energy-charter-treaty-1994/energy-charter-treaty/#:~:text=It%20is%20designed%20to%20promote,legal%20force%20in%20April%201998</w:t>
        </w:r>
      </w:hyperlink>
      <w:r w:rsidRPr="009A0EAF">
        <w:rPr>
          <w:rStyle w:val="None"/>
          <w:rFonts w:ascii="Times New Roman" w:hAnsi="Times New Roman" w:cs="Times New Roman"/>
          <w:color w:val="auto"/>
          <w:sz w:val="20"/>
          <w:szCs w:val="20"/>
        </w:rPr>
        <w:t xml:space="preserve"> </w:t>
      </w:r>
    </w:p>
  </w:footnote>
  <w:footnote w:id="13">
    <w:p w14:paraId="0B3117E0" w14:textId="29D61AD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0078079C">
        <w:rPr>
          <w:rStyle w:val="None"/>
          <w:rFonts w:ascii="Times New Roman" w:hAnsi="Times New Roman" w:cs="Times New Roman"/>
          <w:color w:val="auto"/>
          <w:sz w:val="20"/>
          <w:szCs w:val="20"/>
        </w:rPr>
        <w:t xml:space="preserve"> </w:t>
      </w:r>
      <w:r w:rsidRPr="009A0EAF">
        <w:rPr>
          <w:rStyle w:val="None"/>
          <w:rFonts w:ascii="Times New Roman" w:hAnsi="Times New Roman" w:cs="Times New Roman"/>
          <w:color w:val="auto"/>
          <w:sz w:val="20"/>
          <w:szCs w:val="20"/>
        </w:rPr>
        <w:t xml:space="preserve">See Statistics of ECT Cases, Retrieved from: </w:t>
      </w:r>
      <w:hyperlink r:id="rId9" w:history="1">
        <w:r w:rsidRPr="009A0EAF">
          <w:rPr>
            <w:rStyle w:val="Hyperlink3"/>
            <w:rFonts w:eastAsia="Helvetica Neue"/>
            <w:color w:val="auto"/>
            <w:u w:val="none"/>
          </w:rPr>
          <w:t>https://www.energycharter.org/fileadmin/DocumentsMedia/Disputes/20230501_-_Statistics_-_Cases_under_the_Energy_Charter_Treaty.pdf</w:t>
        </w:r>
      </w:hyperlink>
      <w:r w:rsidRPr="009A0EAF">
        <w:rPr>
          <w:rStyle w:val="None"/>
          <w:rFonts w:ascii="Times New Roman" w:hAnsi="Times New Roman" w:cs="Times New Roman"/>
          <w:color w:val="auto"/>
          <w:sz w:val="20"/>
          <w:szCs w:val="20"/>
        </w:rPr>
        <w:t xml:space="preserve"> </w:t>
      </w:r>
    </w:p>
  </w:footnote>
  <w:footnote w:id="14">
    <w:p w14:paraId="756DB640"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w:t>
      </w:r>
      <w:hyperlink r:id="rId10" w:history="1">
        <w:r w:rsidRPr="009A0EAF">
          <w:rPr>
            <w:rStyle w:val="Hyperlink4"/>
            <w:rFonts w:eastAsia="Helvetica Neue"/>
            <w:color w:val="auto"/>
            <w:u w:val="none"/>
          </w:rPr>
          <w:t>https://globalarbitrationreview.com/guide/the-guide-energy-arbitrations/4th-edition/article/investment-disputes-involving-the-renewable-energy-industry-under-the-energy-charter-treaty#footnote-122</w:t>
        </w:r>
      </w:hyperlink>
      <w:r w:rsidRPr="009A0EAF">
        <w:rPr>
          <w:rStyle w:val="None"/>
          <w:rFonts w:ascii="Times New Roman" w:hAnsi="Times New Roman" w:cs="Times New Roman"/>
          <w:color w:val="auto"/>
          <w:sz w:val="20"/>
          <w:szCs w:val="20"/>
        </w:rPr>
        <w:t xml:space="preserve"> </w:t>
      </w:r>
    </w:p>
  </w:footnote>
  <w:footnote w:id="15">
    <w:p w14:paraId="0CF5B934"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State aid SA.54155 (2021/NN) — Arbitration award to Antin — Spain, Retrieved from: https://eur-lex.europa.eu/legal-content/EN/TXT/PDF/?uri=CELEX:52021AS54155#:~:text=The%20award%2C%20as%20amended%20on,or%20%27the%20measure%27). </w:t>
      </w:r>
    </w:p>
  </w:footnote>
  <w:footnote w:id="16">
    <w:p w14:paraId="49CEAE6C"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Article 4 of the consolidated version of the Treaty on the Functioning of the European Union provides that the Union and the Member States share competences in the field of energy. See Article 4(2)(i), Consolidated versions of the Treaty on European Union and the Treaty on the Functioning of the European Union [2016] OJ C202/1 (TFEU). Article 194 of the TFEU also states that energy is a shared responsibility between EU Member States and the EU. </w:t>
      </w:r>
    </w:p>
  </w:footnote>
  <w:footnote w:id="17">
    <w:p w14:paraId="1906375C"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Opinion 2/15 of the Court of 16 May 2017, C 239/3, where the Court found that the Free Trade Agreement between the European Union and the Republic of Singapore falls within the exclusive competence of the European Union, with the exception, among others, of the provisions on investor-state dispute settlement, which fall within a competence shared between the European Union and the Member States.</w:t>
      </w:r>
    </w:p>
  </w:footnote>
  <w:footnote w:id="18">
    <w:p w14:paraId="1E867AE6" w14:textId="77777777" w:rsidR="006675B0" w:rsidRPr="009A0EAF" w:rsidRDefault="006675B0" w:rsidP="00F85D6C">
      <w:pPr>
        <w:pStyle w:val="NormalWeb"/>
        <w:spacing w:before="0" w:beforeAutospacing="0" w:after="0" w:afterAutospacing="0"/>
        <w:jc w:val="both"/>
        <w:rPr>
          <w:sz w:val="20"/>
          <w:szCs w:val="20"/>
        </w:rPr>
      </w:pPr>
      <w:r w:rsidRPr="009A0EAF">
        <w:rPr>
          <w:rStyle w:val="FootnoteReference"/>
          <w:sz w:val="20"/>
          <w:szCs w:val="20"/>
        </w:rPr>
        <w:footnoteRef/>
      </w:r>
      <w:r w:rsidRPr="009A0EAF">
        <w:rPr>
          <w:sz w:val="20"/>
          <w:szCs w:val="20"/>
        </w:rPr>
        <w:t xml:space="preserve"> Koen Lenaerts (2014), The Kadi Saga and the Rule of Law within the EU, 67 SMU L. REV. 707. </w:t>
      </w:r>
    </w:p>
  </w:footnote>
  <w:footnote w:id="19">
    <w:p w14:paraId="28257F0E" w14:textId="77777777" w:rsidR="006675B0" w:rsidRPr="009A0EAF" w:rsidRDefault="006675B0" w:rsidP="00F85D6C">
      <w:pPr>
        <w:pStyle w:val="NormalWeb"/>
        <w:spacing w:before="0" w:beforeAutospacing="0" w:after="0" w:afterAutospacing="0"/>
        <w:jc w:val="both"/>
        <w:rPr>
          <w:sz w:val="20"/>
          <w:szCs w:val="20"/>
        </w:rPr>
      </w:pPr>
      <w:r w:rsidRPr="009A0EAF">
        <w:rPr>
          <w:rStyle w:val="FootnoteReference"/>
          <w:sz w:val="20"/>
          <w:szCs w:val="20"/>
        </w:rPr>
        <w:footnoteRef/>
      </w:r>
      <w:r w:rsidRPr="009A0EAF">
        <w:rPr>
          <w:sz w:val="20"/>
          <w:szCs w:val="20"/>
        </w:rPr>
        <w:t xml:space="preserve">Joined Cases C-402/05 P and C-415/05 P </w:t>
      </w:r>
      <w:r w:rsidRPr="009A0EAF">
        <w:rPr>
          <w:i/>
          <w:iCs/>
          <w:sz w:val="20"/>
          <w:szCs w:val="20"/>
        </w:rPr>
        <w:t>Kadi and Al Barakaat International Foundation v Council of the European Union and Commission of the European Communities</w:t>
      </w:r>
      <w:r w:rsidRPr="009A0EAF">
        <w:rPr>
          <w:sz w:val="20"/>
          <w:szCs w:val="20"/>
        </w:rPr>
        <w:t xml:space="preserve"> [2008] ECR I-6351. </w:t>
      </w:r>
    </w:p>
  </w:footnote>
  <w:footnote w:id="20">
    <w:p w14:paraId="1AF7CB35" w14:textId="486505B5" w:rsidR="006675B0" w:rsidRPr="009A0EAF" w:rsidRDefault="006675B0" w:rsidP="00F85D6C">
      <w:pPr>
        <w:pStyle w:val="title-bold"/>
        <w:spacing w:before="0" w:beforeAutospacing="0" w:after="0" w:afterAutospacing="0"/>
        <w:jc w:val="both"/>
        <w:rPr>
          <w:b/>
          <w:bCs/>
          <w:sz w:val="20"/>
          <w:szCs w:val="20"/>
        </w:rPr>
      </w:pPr>
      <w:r w:rsidRPr="009A0EAF">
        <w:rPr>
          <w:rStyle w:val="FootnoteReference"/>
          <w:sz w:val="20"/>
          <w:szCs w:val="20"/>
        </w:rPr>
        <w:footnoteRef/>
      </w:r>
      <w:r w:rsidRPr="009A0EAF">
        <w:rPr>
          <w:sz w:val="20"/>
          <w:szCs w:val="20"/>
        </w:rPr>
        <w:t xml:space="preserve"> Council Regulation (EC) No 467/2001 of 6 March 2001 prohibiting the export of certain goods and services to Afghanistan, strengthening the flight ban and extending the freeze of funds and other financial resources in respect of the Taliban of Afghanistan, and repealing Regulation (EC) No 337/2000, </w:t>
      </w:r>
      <w:r w:rsidRPr="009A0EAF">
        <w:rPr>
          <w:rStyle w:val="Emphasis"/>
          <w:sz w:val="20"/>
          <w:szCs w:val="20"/>
        </w:rPr>
        <w:t>OJ L 67, p. 1</w:t>
      </w:r>
      <w:r w:rsidRPr="009A0EAF">
        <w:rPr>
          <w:rStyle w:val="Emphasis"/>
          <w:i w:val="0"/>
          <w:iCs w:val="0"/>
          <w:sz w:val="20"/>
          <w:szCs w:val="20"/>
        </w:rPr>
        <w:t>. See also</w:t>
      </w:r>
      <w:r w:rsidRPr="009A0EAF">
        <w:rPr>
          <w:rStyle w:val="Emphasis"/>
          <w:sz w:val="20"/>
          <w:szCs w:val="20"/>
        </w:rPr>
        <w:t xml:space="preserve"> </w:t>
      </w:r>
      <w:r w:rsidRPr="009A0EAF">
        <w:rPr>
          <w:sz w:val="20"/>
          <w:szCs w:val="20"/>
          <w:shd w:val="clear" w:color="auto" w:fill="FFFFFF"/>
        </w:rPr>
        <w:t xml:space="preserve">Council Regulation (EC) No 881/2002 of 27 May 2002 imposing certain specific restrictive measures directed against certain persons and entities associated with Usama bin Laden, the Al-Qaida network and the Taliban, and repealing Council Regulation (EC) No 467/2001 prohibiting the export of certain goods and services to Afghanistan, strengthening the flight ban and extending the freeze of funds and other financial resources in respect of the Taliban of Afghanistan, </w:t>
      </w:r>
      <w:r w:rsidRPr="009A0EAF">
        <w:rPr>
          <w:rStyle w:val="Emphasis"/>
          <w:sz w:val="20"/>
          <w:szCs w:val="20"/>
        </w:rPr>
        <w:t>OJ L 139, 29.5.2002, p. 9</w:t>
      </w:r>
      <w:r w:rsidR="00175A31" w:rsidRPr="009A0EAF">
        <w:rPr>
          <w:rStyle w:val="Emphasis"/>
          <w:i w:val="0"/>
          <w:iCs w:val="0"/>
          <w:sz w:val="20"/>
          <w:szCs w:val="20"/>
        </w:rPr>
        <w:t>.</w:t>
      </w:r>
    </w:p>
  </w:footnote>
  <w:footnote w:id="21">
    <w:p w14:paraId="2F3B623C" w14:textId="0DE65EFE" w:rsidR="006675B0" w:rsidRPr="009A0EAF" w:rsidRDefault="006675B0" w:rsidP="00F85D6C">
      <w:pPr>
        <w:pStyle w:val="FootnoteText"/>
        <w:jc w:val="both"/>
      </w:pPr>
      <w:r w:rsidRPr="009A0EAF">
        <w:rPr>
          <w:rStyle w:val="FootnoteReference"/>
        </w:rPr>
        <w:footnoteRef/>
      </w:r>
      <w:r w:rsidRPr="009A0EAF">
        <w:t xml:space="preserve"> Article 308 </w:t>
      </w:r>
      <w:r w:rsidR="001B702F" w:rsidRPr="009A0EAF">
        <w:t xml:space="preserve">of the </w:t>
      </w:r>
      <w:r w:rsidRPr="009A0EAF">
        <w:t>EC Treaty provides that “if action by the Union should prove necessary, within the framework of the policies defined in the Treaties, to attain one of the objectives set out in the Treaties, and the Treaties have not provided the necessary powers, the Council, acting unanimously on a proposal from the Commission and after obtaining the consent of the European Parliament, shall adopt the appropriate measures”.</w:t>
      </w:r>
      <w:r w:rsidRPr="009A0EAF">
        <w:rPr>
          <w:rStyle w:val="apple-converted-space"/>
        </w:rPr>
        <w:t> </w:t>
      </w:r>
    </w:p>
  </w:footnote>
  <w:footnote w:id="22">
    <w:p w14:paraId="14345132" w14:textId="77777777" w:rsidR="006675B0" w:rsidRPr="009A0EAF" w:rsidRDefault="006675B0" w:rsidP="00F85D6C">
      <w:pPr>
        <w:pStyle w:val="NormalWeb"/>
        <w:spacing w:before="0" w:beforeAutospacing="0" w:after="0" w:afterAutospacing="0"/>
        <w:jc w:val="both"/>
        <w:rPr>
          <w:sz w:val="20"/>
          <w:szCs w:val="20"/>
        </w:rPr>
      </w:pPr>
      <w:r w:rsidRPr="009A0EAF">
        <w:rPr>
          <w:rStyle w:val="FootnoteReference"/>
          <w:sz w:val="20"/>
          <w:szCs w:val="20"/>
        </w:rPr>
        <w:footnoteRef/>
      </w:r>
      <w:r w:rsidRPr="009A0EAF">
        <w:rPr>
          <w:sz w:val="20"/>
          <w:szCs w:val="20"/>
        </w:rPr>
        <w:t xml:space="preserve"> T-315/01, </w:t>
      </w:r>
      <w:r w:rsidRPr="009A0EAF">
        <w:rPr>
          <w:i/>
          <w:iCs/>
          <w:sz w:val="20"/>
          <w:szCs w:val="20"/>
        </w:rPr>
        <w:t>Kadi v. Council and Commission</w:t>
      </w:r>
      <w:r w:rsidRPr="009A0EAF">
        <w:rPr>
          <w:sz w:val="20"/>
          <w:szCs w:val="20"/>
        </w:rPr>
        <w:t>, 2005 E.C.R. II-3717-18, para 64.</w:t>
      </w:r>
    </w:p>
  </w:footnote>
  <w:footnote w:id="23">
    <w:p w14:paraId="361BA3E3" w14:textId="77777777" w:rsidR="006675B0" w:rsidRPr="009A0EAF" w:rsidRDefault="006675B0" w:rsidP="00F85D6C">
      <w:pPr>
        <w:pStyle w:val="FootnoteText"/>
        <w:jc w:val="both"/>
      </w:pPr>
      <w:r w:rsidRPr="009A0EAF">
        <w:rPr>
          <w:rStyle w:val="FootnoteReference"/>
        </w:rPr>
        <w:footnoteRef/>
      </w:r>
      <w:r w:rsidRPr="009A0EAF">
        <w:t xml:space="preserve"> Ibid, para 203.</w:t>
      </w:r>
    </w:p>
  </w:footnote>
  <w:footnote w:id="24">
    <w:p w14:paraId="5D6B0232" w14:textId="77777777" w:rsidR="006675B0" w:rsidRPr="009A0EAF" w:rsidRDefault="006675B0" w:rsidP="00F85D6C">
      <w:pPr>
        <w:pStyle w:val="NormalWeb"/>
        <w:spacing w:before="0" w:beforeAutospacing="0" w:after="0" w:afterAutospacing="0"/>
        <w:jc w:val="both"/>
        <w:rPr>
          <w:sz w:val="20"/>
          <w:szCs w:val="20"/>
        </w:rPr>
      </w:pPr>
      <w:r w:rsidRPr="009A0EAF">
        <w:rPr>
          <w:rStyle w:val="FootnoteReference"/>
          <w:sz w:val="20"/>
          <w:szCs w:val="20"/>
        </w:rPr>
        <w:footnoteRef/>
      </w:r>
      <w:r w:rsidRPr="009A0EAF">
        <w:rPr>
          <w:sz w:val="20"/>
          <w:szCs w:val="20"/>
        </w:rPr>
        <w:t xml:space="preserve"> </w:t>
      </w:r>
      <w:r w:rsidRPr="009A0EAF">
        <w:rPr>
          <w:sz w:val="20"/>
          <w:szCs w:val="20"/>
          <w:shd w:val="clear" w:color="auto" w:fill="FFFFFF"/>
        </w:rPr>
        <w:t xml:space="preserve">C-284/16, </w:t>
      </w:r>
      <w:r w:rsidRPr="009A0EAF">
        <w:rPr>
          <w:i/>
          <w:iCs/>
          <w:sz w:val="20"/>
          <w:szCs w:val="20"/>
        </w:rPr>
        <w:t>Slovak Republic v. Achmea BV</w:t>
      </w:r>
      <w:r w:rsidRPr="009A0EAF">
        <w:rPr>
          <w:sz w:val="20"/>
          <w:szCs w:val="20"/>
        </w:rPr>
        <w:t xml:space="preserve">, ECLI:EU:C:2018:158 </w:t>
      </w:r>
    </w:p>
  </w:footnote>
  <w:footnote w:id="25">
    <w:p w14:paraId="6D4023FC" w14:textId="77777777" w:rsidR="006675B0" w:rsidRPr="009A0EAF" w:rsidRDefault="006675B0" w:rsidP="00F85D6C">
      <w:pPr>
        <w:pStyle w:val="FootnoteText"/>
        <w:jc w:val="both"/>
      </w:pPr>
      <w:r w:rsidRPr="009A0EAF">
        <w:rPr>
          <w:rStyle w:val="FootnoteReference"/>
        </w:rPr>
        <w:footnoteRef/>
      </w:r>
      <w:r w:rsidRPr="009A0EAF">
        <w:t xml:space="preserve"> C-741/19, </w:t>
      </w:r>
      <w:r w:rsidRPr="009A0EAF">
        <w:rPr>
          <w:i/>
          <w:iCs/>
        </w:rPr>
        <w:t>Republic of Moldova v. Komstroy LLC</w:t>
      </w:r>
      <w:r w:rsidRPr="009A0EAF">
        <w:t>, ECLI:EU:C:2021:655.</w:t>
      </w:r>
    </w:p>
  </w:footnote>
  <w:footnote w:id="26">
    <w:p w14:paraId="402FB291" w14:textId="7A34AD07" w:rsidR="006675B0" w:rsidRPr="009A0EAF" w:rsidRDefault="006675B0" w:rsidP="00F85D6C">
      <w:pPr>
        <w:pStyle w:val="FootnoteText"/>
        <w:jc w:val="both"/>
      </w:pPr>
      <w:r w:rsidRPr="009A0EAF">
        <w:rPr>
          <w:rStyle w:val="FootnoteReference"/>
        </w:rPr>
        <w:footnoteRef/>
      </w:r>
      <w:r w:rsidRPr="009A0EAF">
        <w:t xml:space="preserve"> </w:t>
      </w:r>
      <w:r w:rsidRPr="009A0EAF">
        <w:rPr>
          <w:i/>
          <w:iCs/>
        </w:rPr>
        <w:t>Ioan Micula, Viorel Micula and others v. Romania</w:t>
      </w:r>
      <w:r w:rsidRPr="009A0EAF">
        <w:t>, ICSID Case No. ARB/05/20, Award (11 December 2013).</w:t>
      </w:r>
    </w:p>
  </w:footnote>
  <w:footnote w:id="27">
    <w:p w14:paraId="00E24E07" w14:textId="22E9DC67" w:rsidR="006675B0" w:rsidRPr="009A0EAF" w:rsidRDefault="006675B0" w:rsidP="00F85D6C">
      <w:pPr>
        <w:pStyle w:val="FootnoteText"/>
        <w:jc w:val="both"/>
      </w:pPr>
      <w:r w:rsidRPr="009A0EAF">
        <w:rPr>
          <w:rStyle w:val="FootnoteReference"/>
        </w:rPr>
        <w:footnoteRef/>
      </w:r>
      <w:r w:rsidRPr="009A0EAF">
        <w:t xml:space="preserve"> </w:t>
      </w:r>
      <w:r w:rsidRPr="009A0EAF">
        <w:rPr>
          <w:shd w:val="clear" w:color="auto" w:fill="FFFFFF"/>
        </w:rPr>
        <w:t>Commission Decision (EU) 2015/1470 of 30 March 2015 on State aid SA.38517 (2014/C) (ex 2014/NN) implemented by Romania — Arbitral award Micula v Romania of 11 December 2013 (notified under document C(2015) 2112)</w:t>
      </w:r>
      <w:r w:rsidR="00827927" w:rsidRPr="009A0EAF">
        <w:rPr>
          <w:shd w:val="clear" w:color="auto" w:fill="FFFFFF"/>
        </w:rPr>
        <w:t>.</w:t>
      </w:r>
    </w:p>
  </w:footnote>
  <w:footnote w:id="28">
    <w:p w14:paraId="05684296" w14:textId="6B0F003F" w:rsidR="00A41EC3" w:rsidRPr="009A0EAF" w:rsidRDefault="00A41EC3" w:rsidP="00F85D6C">
      <w:pPr>
        <w:pStyle w:val="FootnoteText"/>
        <w:jc w:val="both"/>
      </w:pPr>
      <w:r w:rsidRPr="009A0EAF">
        <w:rPr>
          <w:rStyle w:val="FootnoteReference"/>
        </w:rPr>
        <w:footnoteRef/>
      </w:r>
      <w:r w:rsidRPr="009A0EAF">
        <w:t xml:space="preserve"> T</w:t>
      </w:r>
      <w:r w:rsidRPr="009A0EAF">
        <w:noBreakHyphen/>
        <w:t>624/15, T</w:t>
      </w:r>
      <w:r w:rsidRPr="009A0EAF">
        <w:noBreakHyphen/>
        <w:t>694/15 and T</w:t>
      </w:r>
      <w:r w:rsidRPr="009A0EAF">
        <w:noBreakHyphen/>
        <w:t xml:space="preserve">704/15, </w:t>
      </w:r>
      <w:r w:rsidRPr="009A0EAF">
        <w:rPr>
          <w:i/>
          <w:iCs/>
        </w:rPr>
        <w:t>European Food and Others</w:t>
      </w:r>
      <w:r w:rsidRPr="009A0EAF">
        <w:rPr>
          <w:rStyle w:val="apple-converted-space"/>
        </w:rPr>
        <w:t> </w:t>
      </w:r>
      <w:r w:rsidRPr="009A0EAF">
        <w:t>v</w:t>
      </w:r>
      <w:r w:rsidRPr="009A0EAF">
        <w:rPr>
          <w:rStyle w:val="apple-converted-space"/>
        </w:rPr>
        <w:t> </w:t>
      </w:r>
      <w:r w:rsidRPr="009A0EAF">
        <w:rPr>
          <w:i/>
          <w:iCs/>
        </w:rPr>
        <w:t>Commission</w:t>
      </w:r>
      <w:r w:rsidRPr="009A0EAF">
        <w:t>, ECLI:EU:T:2019:423</w:t>
      </w:r>
      <w:r w:rsidR="008C0082" w:rsidRPr="009A0EAF">
        <w:t xml:space="preserve">. See also </w:t>
      </w:r>
      <w:r w:rsidR="00827927" w:rsidRPr="009A0EAF">
        <w:t xml:space="preserve">Aikaterini </w:t>
      </w:r>
      <w:r w:rsidR="008C0082" w:rsidRPr="009A0EAF">
        <w:t>Florou</w:t>
      </w:r>
      <w:r w:rsidR="00827927" w:rsidRPr="009A0EAF">
        <w:t xml:space="preserve"> </w:t>
      </w:r>
      <w:r w:rsidR="008C0082" w:rsidRPr="009A0EAF">
        <w:t>(2021) The UK Supreme Court Judgment in Micula v. Romania: A Landmark Judgment for the Relationship between EU Law and International Investment Law?, ICSID Review (36), 2, at 295.</w:t>
      </w:r>
    </w:p>
  </w:footnote>
  <w:footnote w:id="29">
    <w:p w14:paraId="5A435322" w14:textId="1A87332D" w:rsidR="00BE448B" w:rsidRPr="009A0EAF" w:rsidRDefault="00BE448B" w:rsidP="00F85D6C">
      <w:pPr>
        <w:pStyle w:val="NormalWeb"/>
        <w:spacing w:before="0" w:beforeAutospacing="0" w:after="0" w:afterAutospacing="0"/>
        <w:jc w:val="both"/>
        <w:rPr>
          <w:sz w:val="20"/>
          <w:szCs w:val="20"/>
        </w:rPr>
      </w:pPr>
      <w:r w:rsidRPr="009A0EAF">
        <w:rPr>
          <w:rStyle w:val="FootnoteReference"/>
          <w:sz w:val="20"/>
          <w:szCs w:val="20"/>
        </w:rPr>
        <w:footnoteRef/>
      </w:r>
      <w:r w:rsidRPr="009A0EAF">
        <w:rPr>
          <w:sz w:val="20"/>
          <w:szCs w:val="20"/>
        </w:rPr>
        <w:t xml:space="preserve"> C</w:t>
      </w:r>
      <w:r w:rsidRPr="009A0EAF">
        <w:rPr>
          <w:sz w:val="20"/>
          <w:szCs w:val="20"/>
        </w:rPr>
        <w:noBreakHyphen/>
        <w:t xml:space="preserve">638/19, </w:t>
      </w:r>
      <w:r w:rsidRPr="009A0EAF">
        <w:rPr>
          <w:rStyle w:val="Emphasis"/>
          <w:rFonts w:eastAsiaTheme="majorEastAsia"/>
          <w:i w:val="0"/>
          <w:iCs w:val="0"/>
          <w:sz w:val="20"/>
          <w:szCs w:val="20"/>
        </w:rPr>
        <w:t>European Commission v</w:t>
      </w:r>
      <w:r w:rsidRPr="009A0EAF">
        <w:rPr>
          <w:rStyle w:val="Emphasis"/>
          <w:i w:val="0"/>
          <w:iCs w:val="0"/>
          <w:sz w:val="20"/>
          <w:szCs w:val="20"/>
        </w:rPr>
        <w:t xml:space="preserve">. </w:t>
      </w:r>
      <w:r w:rsidRPr="009A0EAF">
        <w:rPr>
          <w:sz w:val="20"/>
          <w:szCs w:val="20"/>
          <w:shd w:val="clear" w:color="auto" w:fill="FFFFFF"/>
        </w:rPr>
        <w:t xml:space="preserve">European Food SA and Others, </w:t>
      </w:r>
      <w:r w:rsidRPr="009A0EAF">
        <w:rPr>
          <w:sz w:val="20"/>
          <w:szCs w:val="20"/>
        </w:rPr>
        <w:t>ECLI:EU:C:2022:50</w:t>
      </w:r>
      <w:r w:rsidR="00A60D53" w:rsidRPr="009A0EAF">
        <w:rPr>
          <w:sz w:val="20"/>
          <w:szCs w:val="20"/>
        </w:rPr>
        <w:t>. See also Judgment on Commission appeal against General Court judgment finding that Commission was not competent to examine compensation paid by Romania following arbitral award (ECJ)</w:t>
      </w:r>
      <w:r w:rsidR="009B3433" w:rsidRPr="009A0EAF">
        <w:rPr>
          <w:sz w:val="20"/>
          <w:szCs w:val="20"/>
        </w:rPr>
        <w:t xml:space="preserve"> (2022)</w:t>
      </w:r>
      <w:r w:rsidR="003460C0" w:rsidRPr="009A0EAF">
        <w:rPr>
          <w:sz w:val="20"/>
          <w:szCs w:val="20"/>
        </w:rPr>
        <w:t>, Retrieved from:</w:t>
      </w:r>
      <w:r w:rsidR="00DE076D" w:rsidRPr="009A0EAF">
        <w:rPr>
          <w:sz w:val="20"/>
          <w:szCs w:val="20"/>
        </w:rPr>
        <w:t xml:space="preserve"> </w:t>
      </w:r>
      <w:hyperlink r:id="rId11" w:history="1">
        <w:r w:rsidR="00DE076D" w:rsidRPr="009A0EAF">
          <w:rPr>
            <w:rStyle w:val="Hyperlink"/>
            <w:sz w:val="20"/>
            <w:szCs w:val="20"/>
            <w:u w:val="none"/>
          </w:rPr>
          <w:t>https://uk.practicallaw.thomsonreuters.com/w-034-2146?transitionType=Default&amp;contextData=(sc.Default)&amp;firstPage=true</w:t>
        </w:r>
      </w:hyperlink>
      <w:r w:rsidR="00DE076D" w:rsidRPr="009A0EAF">
        <w:rPr>
          <w:sz w:val="20"/>
          <w:szCs w:val="20"/>
        </w:rPr>
        <w:t xml:space="preserve"> </w:t>
      </w:r>
    </w:p>
  </w:footnote>
  <w:footnote w:id="30">
    <w:p w14:paraId="04D824DC"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The Renewable Energy Saga from Charanne v. Spain to the PV Investors v. Spain: Trying to See the Wood for the Trees (2021), Maximilian Schmidl, Retrieved from: http://arbitrationblog.kluwerarbitration.com/2021/02/01/the-renewable-energy-saga-from-charanne-v-spain-to-the-pv-investors-v-spain-trying-to-see-the-wood-for-the-trees/.</w:t>
      </w:r>
    </w:p>
  </w:footnote>
  <w:footnote w:id="31">
    <w:p w14:paraId="730AB5E1"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Masdar Solar &amp; </w:t>
      </w:r>
      <w:bookmarkStart w:id="1" w:name="_Hlk160718228"/>
      <w:r w:rsidRPr="009A0EAF">
        <w:rPr>
          <w:rStyle w:val="None"/>
          <w:rFonts w:ascii="Times New Roman" w:hAnsi="Times New Roman" w:cs="Times New Roman"/>
          <w:color w:val="auto"/>
          <w:sz w:val="20"/>
          <w:szCs w:val="20"/>
        </w:rPr>
        <w:t xml:space="preserve">Wind Cooperatif U.A. v Kingdom of Spain, ICSID Case No. </w:t>
      </w:r>
      <w:r w:rsidRPr="009A0EAF">
        <w:rPr>
          <w:rStyle w:val="None"/>
          <w:rFonts w:ascii="Times New Roman" w:hAnsi="Times New Roman" w:cs="Times New Roman"/>
          <w:color w:val="auto"/>
          <w:sz w:val="20"/>
          <w:szCs w:val="20"/>
          <w:lang w:val="es-ES"/>
        </w:rPr>
        <w:t>ARB/14/1</w:t>
      </w:r>
      <w:bookmarkEnd w:id="1"/>
      <w:r w:rsidRPr="009A0EAF">
        <w:rPr>
          <w:rStyle w:val="None"/>
          <w:rFonts w:ascii="Times New Roman" w:hAnsi="Times New Roman" w:cs="Times New Roman"/>
          <w:color w:val="auto"/>
          <w:sz w:val="20"/>
          <w:szCs w:val="20"/>
          <w:lang w:val="es-ES"/>
        </w:rPr>
        <w:t xml:space="preserve">, Award (16 May 2018). </w:t>
      </w:r>
    </w:p>
  </w:footnote>
  <w:footnote w:id="32">
    <w:p w14:paraId="7CF079A5"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484.</w:t>
      </w:r>
    </w:p>
  </w:footnote>
  <w:footnote w:id="33">
    <w:p w14:paraId="3077A81A"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491.</w:t>
      </w:r>
    </w:p>
  </w:footnote>
  <w:footnote w:id="34">
    <w:p w14:paraId="7978BC57"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Suez, Sociedad General de Aguas de Barcelona S.A., and Vivendi Universal S.A. v. The Argentine Republic, ICSID Case No. </w:t>
      </w:r>
      <w:r w:rsidRPr="009A0EAF">
        <w:rPr>
          <w:rStyle w:val="None"/>
          <w:rFonts w:ascii="Times New Roman" w:hAnsi="Times New Roman" w:cs="Times New Roman"/>
          <w:color w:val="auto"/>
          <w:sz w:val="20"/>
          <w:szCs w:val="20"/>
        </w:rPr>
        <w:t>ARB/03/19, Decision on Liability (30 July 2010)</w:t>
      </w:r>
    </w:p>
  </w:footnote>
  <w:footnote w:id="35">
    <w:p w14:paraId="27DE6013"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para 222.</w:t>
      </w:r>
    </w:p>
  </w:footnote>
  <w:footnote w:id="36">
    <w:p w14:paraId="19188628" w14:textId="339E9C9C"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See Masdar v. Spain, </w:t>
      </w:r>
      <w:r w:rsidRPr="009A0EAF">
        <w:rPr>
          <w:rStyle w:val="None"/>
          <w:rFonts w:ascii="Times New Roman" w:hAnsi="Times New Roman" w:cs="Times New Roman"/>
          <w:i/>
          <w:iCs/>
          <w:color w:val="auto"/>
          <w:sz w:val="20"/>
          <w:szCs w:val="20"/>
        </w:rPr>
        <w:t>supra</w:t>
      </w:r>
      <w:r w:rsidRPr="009A0EAF">
        <w:rPr>
          <w:rStyle w:val="None"/>
          <w:rFonts w:ascii="Times New Roman" w:hAnsi="Times New Roman" w:cs="Times New Roman"/>
          <w:color w:val="auto"/>
          <w:sz w:val="20"/>
          <w:szCs w:val="20"/>
        </w:rPr>
        <w:t xml:space="preserve"> note </w:t>
      </w:r>
      <w:r w:rsidR="00C34BA2" w:rsidRPr="009A0EAF">
        <w:rPr>
          <w:rStyle w:val="None"/>
          <w:rFonts w:ascii="Times New Roman" w:hAnsi="Times New Roman" w:cs="Times New Roman"/>
          <w:color w:val="auto"/>
          <w:sz w:val="20"/>
          <w:szCs w:val="20"/>
        </w:rPr>
        <w:t>30</w:t>
      </w:r>
      <w:r w:rsidRPr="009A0EAF">
        <w:rPr>
          <w:rStyle w:val="None"/>
          <w:rFonts w:ascii="Times New Roman" w:hAnsi="Times New Roman" w:cs="Times New Roman"/>
          <w:color w:val="auto"/>
          <w:sz w:val="20"/>
          <w:szCs w:val="20"/>
        </w:rPr>
        <w:t xml:space="preserve">, paras 494 et seq. </w:t>
      </w:r>
    </w:p>
  </w:footnote>
  <w:footnote w:id="37">
    <w:p w14:paraId="5CDF6A6C"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499.</w:t>
      </w:r>
    </w:p>
  </w:footnote>
  <w:footnote w:id="38">
    <w:p w14:paraId="02028C6D"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503.</w:t>
      </w:r>
    </w:p>
  </w:footnote>
  <w:footnote w:id="39">
    <w:p w14:paraId="36D1E73F"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504.</w:t>
      </w:r>
    </w:p>
  </w:footnote>
  <w:footnote w:id="40">
    <w:p w14:paraId="2DA137D4"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El Paso Energy International Company v. The Argentine Republic, ICSID Case No. ARB/03/15, Award (31 October 2011), para 375. </w:t>
      </w:r>
    </w:p>
  </w:footnote>
  <w:footnote w:id="41">
    <w:p w14:paraId="1CE785A0"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w:t>
      </w:r>
    </w:p>
  </w:footnote>
  <w:footnote w:id="42">
    <w:p w14:paraId="78FE1B25"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para 377.</w:t>
      </w:r>
    </w:p>
  </w:footnote>
  <w:footnote w:id="43">
    <w:p w14:paraId="47645A58"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Continental Casualty Company v. Argentine Republic, ICSID Case No. ARB/03/9, Award (5 September 2008), para 260. </w:t>
      </w:r>
    </w:p>
  </w:footnote>
  <w:footnote w:id="44">
    <w:p w14:paraId="6FEABE34"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w:t>
      </w:r>
    </w:p>
  </w:footnote>
  <w:footnote w:id="45">
    <w:p w14:paraId="1B8FC1BC"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para 261.</w:t>
      </w:r>
    </w:p>
  </w:footnote>
  <w:footnote w:id="46">
    <w:p w14:paraId="7508120D"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Emphasis added. </w:t>
      </w:r>
    </w:p>
  </w:footnote>
  <w:footnote w:id="47">
    <w:p w14:paraId="51A964DF"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para 261. </w:t>
      </w:r>
    </w:p>
  </w:footnote>
  <w:footnote w:id="48">
    <w:p w14:paraId="6A8FAB6E"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Charanne B.V. Construction Investments S.A.R.L. v. The Kingdom of Spain, Arbitration No.: 062/2012, Final Award (21 January 2016), para 493.</w:t>
      </w:r>
    </w:p>
  </w:footnote>
  <w:footnote w:id="49">
    <w:p w14:paraId="24B094CC"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490.</w:t>
      </w:r>
    </w:p>
  </w:footnote>
  <w:footnote w:id="50">
    <w:p w14:paraId="254916ED"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493. </w:t>
      </w:r>
    </w:p>
  </w:footnote>
  <w:footnote w:id="51">
    <w:p w14:paraId="00013A26"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499. </w:t>
      </w:r>
    </w:p>
  </w:footnote>
  <w:footnote w:id="52">
    <w:p w14:paraId="4A20722F"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Electrabel S.A. v. The Republic of Hungary, ICSID Case No. ARB/07/19, Decision on Jurisdiction, Applicable Law and Liability (30 November 2012), para 7.77.</w:t>
      </w:r>
    </w:p>
  </w:footnote>
  <w:footnote w:id="53">
    <w:p w14:paraId="59C95F9F" w14:textId="3375741D"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See Charanne v. Spain, </w:t>
      </w:r>
      <w:r w:rsidRPr="009A0EAF">
        <w:rPr>
          <w:rStyle w:val="None"/>
          <w:rFonts w:ascii="Times New Roman" w:hAnsi="Times New Roman" w:cs="Times New Roman"/>
          <w:i/>
          <w:iCs/>
          <w:color w:val="auto"/>
          <w:sz w:val="20"/>
          <w:szCs w:val="20"/>
        </w:rPr>
        <w:t>supra</w:t>
      </w:r>
      <w:r w:rsidRPr="009A0EAF">
        <w:rPr>
          <w:rStyle w:val="None"/>
          <w:rFonts w:ascii="Times New Roman" w:hAnsi="Times New Roman" w:cs="Times New Roman"/>
          <w:color w:val="auto"/>
          <w:sz w:val="20"/>
          <w:szCs w:val="20"/>
        </w:rPr>
        <w:t xml:space="preserve"> note </w:t>
      </w:r>
      <w:r w:rsidR="00D37108" w:rsidRPr="009A0EAF">
        <w:rPr>
          <w:rStyle w:val="None"/>
          <w:rFonts w:ascii="Times New Roman" w:hAnsi="Times New Roman" w:cs="Times New Roman"/>
          <w:color w:val="auto"/>
          <w:sz w:val="20"/>
          <w:szCs w:val="20"/>
        </w:rPr>
        <w:t>47</w:t>
      </w:r>
      <w:r w:rsidRPr="009A0EAF">
        <w:rPr>
          <w:rStyle w:val="None"/>
          <w:rFonts w:ascii="Times New Roman" w:hAnsi="Times New Roman" w:cs="Times New Roman"/>
          <w:color w:val="auto"/>
          <w:sz w:val="20"/>
          <w:szCs w:val="20"/>
        </w:rPr>
        <w:t>, Dissenting Opinion of Prof. Guido Santiago Tawil, para 5.</w:t>
      </w:r>
    </w:p>
  </w:footnote>
  <w:footnote w:id="54">
    <w:p w14:paraId="1D6649B4"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OperaFund Eco-Invest Sicav PLC and Schwab Holding AG v. Kingdom of Spain, ICSID Case No. ARB/15/36, Award (06 September 2019).</w:t>
      </w:r>
    </w:p>
  </w:footnote>
  <w:footnote w:id="55">
    <w:p w14:paraId="78264A4A"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para 429. </w:t>
      </w:r>
    </w:p>
  </w:footnote>
  <w:footnote w:id="56">
    <w:p w14:paraId="6FFCF928"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para 430.</w:t>
      </w:r>
    </w:p>
  </w:footnote>
  <w:footnote w:id="57">
    <w:p w14:paraId="56EF7289"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para 432.</w:t>
      </w:r>
    </w:p>
  </w:footnote>
  <w:footnote w:id="58">
    <w:p w14:paraId="3B09C71D"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Emphasis added.</w:t>
      </w:r>
    </w:p>
  </w:footnote>
  <w:footnote w:id="59">
    <w:p w14:paraId="0128791C"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431.</w:t>
      </w:r>
    </w:p>
  </w:footnote>
  <w:footnote w:id="60">
    <w:p w14:paraId="08BAC4EC"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w:t>
      </w:r>
    </w:p>
  </w:footnote>
  <w:footnote w:id="61">
    <w:p w14:paraId="0021497D"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442. </w:t>
      </w:r>
    </w:p>
  </w:footnote>
  <w:footnote w:id="62">
    <w:p w14:paraId="180CDE6C"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Emphasis added.</w:t>
      </w:r>
    </w:p>
  </w:footnote>
  <w:footnote w:id="63">
    <w:p w14:paraId="40BD9231"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para 310.</w:t>
      </w:r>
    </w:p>
  </w:footnote>
  <w:footnote w:id="64">
    <w:p w14:paraId="439E2DCC"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Isolux Infrastructure Netherlands B.V. v. Kingdom of Spain, SCC Case No. V2013/153, Award, 12 July 2016.</w:t>
      </w:r>
    </w:p>
  </w:footnote>
  <w:footnote w:id="65">
    <w:p w14:paraId="264FC420" w14:textId="7A695766"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See Charanne v. Spain, </w:t>
      </w:r>
      <w:r w:rsidRPr="009A0EAF">
        <w:rPr>
          <w:rStyle w:val="None"/>
          <w:rFonts w:ascii="Times New Roman" w:hAnsi="Times New Roman" w:cs="Times New Roman"/>
          <w:i/>
          <w:iCs/>
          <w:color w:val="auto"/>
          <w:sz w:val="20"/>
          <w:szCs w:val="20"/>
        </w:rPr>
        <w:t>supra</w:t>
      </w:r>
      <w:r w:rsidRPr="009A0EAF">
        <w:rPr>
          <w:rStyle w:val="None"/>
          <w:rFonts w:ascii="Times New Roman" w:hAnsi="Times New Roman" w:cs="Times New Roman"/>
          <w:color w:val="auto"/>
          <w:sz w:val="20"/>
          <w:szCs w:val="20"/>
        </w:rPr>
        <w:t xml:space="preserve"> note </w:t>
      </w:r>
      <w:r w:rsidR="00EE014E" w:rsidRPr="009A0EAF">
        <w:rPr>
          <w:rStyle w:val="None"/>
          <w:rFonts w:ascii="Times New Roman" w:hAnsi="Times New Roman" w:cs="Times New Roman"/>
          <w:color w:val="auto"/>
          <w:sz w:val="20"/>
          <w:szCs w:val="20"/>
        </w:rPr>
        <w:t>47</w:t>
      </w:r>
      <w:r w:rsidRPr="009A0EAF">
        <w:rPr>
          <w:rStyle w:val="None"/>
          <w:rFonts w:ascii="Times New Roman" w:hAnsi="Times New Roman" w:cs="Times New Roman"/>
          <w:color w:val="auto"/>
          <w:sz w:val="20"/>
          <w:szCs w:val="20"/>
        </w:rPr>
        <w:t>.</w:t>
      </w:r>
    </w:p>
  </w:footnote>
  <w:footnote w:id="66">
    <w:p w14:paraId="5D23D15F" w14:textId="566F7C03"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See OperaFund v. Spain </w:t>
      </w:r>
      <w:r w:rsidRPr="009A0EAF">
        <w:rPr>
          <w:rStyle w:val="None"/>
          <w:rFonts w:ascii="Times New Roman" w:hAnsi="Times New Roman" w:cs="Times New Roman"/>
          <w:i/>
          <w:iCs/>
          <w:color w:val="auto"/>
          <w:sz w:val="20"/>
          <w:szCs w:val="20"/>
        </w:rPr>
        <w:t>supra</w:t>
      </w:r>
      <w:r w:rsidRPr="009A0EAF">
        <w:rPr>
          <w:rStyle w:val="None"/>
          <w:rFonts w:ascii="Times New Roman" w:hAnsi="Times New Roman" w:cs="Times New Roman"/>
          <w:color w:val="auto"/>
          <w:sz w:val="20"/>
          <w:szCs w:val="20"/>
        </w:rPr>
        <w:t xml:space="preserve"> note </w:t>
      </w:r>
      <w:r w:rsidR="00EE014E" w:rsidRPr="009A0EAF">
        <w:rPr>
          <w:rStyle w:val="None"/>
          <w:rFonts w:ascii="Times New Roman" w:hAnsi="Times New Roman" w:cs="Times New Roman"/>
          <w:color w:val="auto"/>
          <w:sz w:val="20"/>
          <w:szCs w:val="20"/>
        </w:rPr>
        <w:t>53</w:t>
      </w:r>
      <w:r w:rsidRPr="009A0EAF">
        <w:rPr>
          <w:rStyle w:val="None"/>
          <w:rFonts w:ascii="Times New Roman" w:hAnsi="Times New Roman" w:cs="Times New Roman"/>
          <w:color w:val="auto"/>
          <w:sz w:val="20"/>
          <w:szCs w:val="20"/>
        </w:rPr>
        <w:t>, para 454.</w:t>
      </w:r>
    </w:p>
  </w:footnote>
  <w:footnote w:id="67">
    <w:p w14:paraId="422409DF"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w:t>
      </w:r>
    </w:p>
  </w:footnote>
  <w:footnote w:id="68">
    <w:p w14:paraId="7B9B7A1D"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455.</w:t>
      </w:r>
    </w:p>
  </w:footnote>
  <w:footnote w:id="69">
    <w:p w14:paraId="16A89D07"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457.</w:t>
      </w:r>
    </w:p>
  </w:footnote>
  <w:footnote w:id="70">
    <w:p w14:paraId="5D9CDDFF"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para 470-471.</w:t>
      </w:r>
    </w:p>
  </w:footnote>
  <w:footnote w:id="71">
    <w:p w14:paraId="65FD7246"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Royal Decree 661/2007, of 25 May, which regulates the activity of electric energy production under the special regime.</w:t>
      </w:r>
    </w:p>
  </w:footnote>
  <w:footnote w:id="72">
    <w:p w14:paraId="4715E42F" w14:textId="0D183F9F"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See OperaFund v. Spain </w:t>
      </w:r>
      <w:r w:rsidRPr="009A0EAF">
        <w:rPr>
          <w:rStyle w:val="None"/>
          <w:rFonts w:ascii="Times New Roman" w:hAnsi="Times New Roman" w:cs="Times New Roman"/>
          <w:i/>
          <w:iCs/>
          <w:color w:val="auto"/>
          <w:sz w:val="20"/>
          <w:szCs w:val="20"/>
        </w:rPr>
        <w:t>supra</w:t>
      </w:r>
      <w:r w:rsidRPr="009A0EAF">
        <w:rPr>
          <w:rStyle w:val="None"/>
          <w:rFonts w:ascii="Times New Roman" w:hAnsi="Times New Roman" w:cs="Times New Roman"/>
          <w:color w:val="auto"/>
          <w:sz w:val="20"/>
          <w:szCs w:val="20"/>
        </w:rPr>
        <w:t xml:space="preserve"> note </w:t>
      </w:r>
      <w:r w:rsidR="00EE014E" w:rsidRPr="009A0EAF">
        <w:rPr>
          <w:rStyle w:val="None"/>
          <w:rFonts w:ascii="Times New Roman" w:hAnsi="Times New Roman" w:cs="Times New Roman"/>
          <w:color w:val="auto"/>
          <w:sz w:val="20"/>
          <w:szCs w:val="20"/>
        </w:rPr>
        <w:t>53</w:t>
      </w:r>
      <w:r w:rsidRPr="009A0EAF">
        <w:rPr>
          <w:rStyle w:val="None"/>
          <w:rFonts w:ascii="Times New Roman" w:hAnsi="Times New Roman" w:cs="Times New Roman"/>
          <w:color w:val="auto"/>
          <w:sz w:val="20"/>
          <w:szCs w:val="20"/>
        </w:rPr>
        <w:t xml:space="preserve">, para 482. </w:t>
      </w:r>
    </w:p>
  </w:footnote>
  <w:footnote w:id="73">
    <w:p w14:paraId="2DDFC979" w14:textId="29E58472"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See Masdar v. Spain, </w:t>
      </w:r>
      <w:r w:rsidRPr="009A0EAF">
        <w:rPr>
          <w:rStyle w:val="None"/>
          <w:rFonts w:ascii="Times New Roman" w:hAnsi="Times New Roman" w:cs="Times New Roman"/>
          <w:i/>
          <w:iCs/>
          <w:color w:val="auto"/>
          <w:sz w:val="20"/>
          <w:szCs w:val="20"/>
        </w:rPr>
        <w:t>supra</w:t>
      </w:r>
      <w:r w:rsidRPr="009A0EAF">
        <w:rPr>
          <w:rStyle w:val="None"/>
          <w:rFonts w:ascii="Times New Roman" w:hAnsi="Times New Roman" w:cs="Times New Roman"/>
          <w:color w:val="auto"/>
          <w:sz w:val="20"/>
          <w:szCs w:val="20"/>
        </w:rPr>
        <w:t xml:space="preserve"> note </w:t>
      </w:r>
      <w:r w:rsidR="00160529" w:rsidRPr="009A0EAF">
        <w:rPr>
          <w:rStyle w:val="None"/>
          <w:rFonts w:ascii="Times New Roman" w:hAnsi="Times New Roman" w:cs="Times New Roman"/>
          <w:color w:val="auto"/>
          <w:sz w:val="20"/>
          <w:szCs w:val="20"/>
        </w:rPr>
        <w:t>30</w:t>
      </w:r>
      <w:r w:rsidRPr="009A0EAF">
        <w:rPr>
          <w:rStyle w:val="None"/>
          <w:rFonts w:ascii="Times New Roman" w:hAnsi="Times New Roman" w:cs="Times New Roman"/>
          <w:color w:val="auto"/>
          <w:sz w:val="20"/>
          <w:szCs w:val="20"/>
        </w:rPr>
        <w:t xml:space="preserve">, paras 489 – 503; 521. </w:t>
      </w:r>
    </w:p>
  </w:footnote>
  <w:footnote w:id="74">
    <w:p w14:paraId="7D40FE18"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w:t>
      </w:r>
      <w:r w:rsidRPr="009A0EAF">
        <w:rPr>
          <w:rFonts w:ascii="Times New Roman" w:hAnsi="Times New Roman" w:cs="Times New Roman"/>
          <w:color w:val="auto"/>
          <w:sz w:val="20"/>
          <w:szCs w:val="20"/>
        </w:rPr>
        <w:t>Novenergia II - Energy &amp; Environment (SCA), SICAR v. Kingdom of Spain</w:t>
      </w:r>
      <w:r w:rsidRPr="009A0EAF">
        <w:rPr>
          <w:rStyle w:val="None"/>
          <w:rFonts w:ascii="Times New Roman" w:hAnsi="Times New Roman" w:cs="Times New Roman"/>
          <w:color w:val="auto"/>
          <w:sz w:val="20"/>
          <w:szCs w:val="20"/>
          <w:shd w:val="clear" w:color="auto" w:fill="FFFFFF"/>
        </w:rPr>
        <w:t xml:space="preserve">, Final Award, </w:t>
      </w:r>
      <w:r w:rsidRPr="009A0EAF">
        <w:rPr>
          <w:rFonts w:ascii="Times New Roman" w:hAnsi="Times New Roman" w:cs="Times New Roman"/>
          <w:color w:val="auto"/>
          <w:sz w:val="20"/>
          <w:szCs w:val="20"/>
        </w:rPr>
        <w:t>(SCC Case No. 063/2015), 15 February 2018, para 667.</w:t>
      </w:r>
    </w:p>
  </w:footnote>
  <w:footnote w:id="75">
    <w:p w14:paraId="4160E870"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para 681.</w:t>
      </w:r>
    </w:p>
  </w:footnote>
  <w:footnote w:id="76">
    <w:p w14:paraId="3DC1E522"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Infrastructure Services Luxembourg S.à.r.l. and Energia Termosolar B.V. (formerly Antin Infrastructure Services Luxembourg S.à.r.l. and Antin Energia Termosolar B.V.) v. Kingdom of Spain, Award, ICSID Case No. </w:t>
      </w:r>
      <w:r w:rsidRPr="009A0EAF">
        <w:rPr>
          <w:rStyle w:val="None"/>
          <w:rFonts w:ascii="Times New Roman" w:hAnsi="Times New Roman" w:cs="Times New Roman"/>
          <w:color w:val="auto"/>
          <w:sz w:val="20"/>
          <w:szCs w:val="20"/>
          <w:lang w:val="es-ES"/>
        </w:rPr>
        <w:t>ARB/13/31 (15 June 2018).</w:t>
      </w:r>
    </w:p>
  </w:footnote>
  <w:footnote w:id="77">
    <w:p w14:paraId="52801807"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537.</w:t>
      </w:r>
    </w:p>
  </w:footnote>
  <w:footnote w:id="78">
    <w:p w14:paraId="172693BF" w14:textId="2CF0B42D"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See OperaFund v. Spain </w:t>
      </w:r>
      <w:r w:rsidRPr="009A0EAF">
        <w:rPr>
          <w:rStyle w:val="None"/>
          <w:rFonts w:ascii="Times New Roman" w:hAnsi="Times New Roman" w:cs="Times New Roman"/>
          <w:i/>
          <w:iCs/>
          <w:color w:val="auto"/>
          <w:sz w:val="20"/>
          <w:szCs w:val="20"/>
          <w:lang w:val="es-ES"/>
        </w:rPr>
        <w:t>supra</w:t>
      </w:r>
      <w:r w:rsidRPr="009A0EAF">
        <w:rPr>
          <w:rStyle w:val="None"/>
          <w:rFonts w:ascii="Times New Roman" w:hAnsi="Times New Roman" w:cs="Times New Roman"/>
          <w:color w:val="auto"/>
          <w:sz w:val="20"/>
          <w:szCs w:val="20"/>
          <w:lang w:val="es-ES"/>
        </w:rPr>
        <w:t xml:space="preserve"> note </w:t>
      </w:r>
      <w:r w:rsidR="00EE014E" w:rsidRPr="009A0EAF">
        <w:rPr>
          <w:rStyle w:val="None"/>
          <w:rFonts w:ascii="Times New Roman" w:hAnsi="Times New Roman" w:cs="Times New Roman"/>
          <w:color w:val="auto"/>
          <w:sz w:val="20"/>
          <w:szCs w:val="20"/>
          <w:lang w:val="es-ES"/>
        </w:rPr>
        <w:t>53</w:t>
      </w:r>
      <w:r w:rsidRPr="009A0EAF">
        <w:rPr>
          <w:rStyle w:val="None"/>
          <w:rFonts w:ascii="Times New Roman" w:hAnsi="Times New Roman" w:cs="Times New Roman"/>
          <w:color w:val="auto"/>
          <w:sz w:val="20"/>
          <w:szCs w:val="20"/>
          <w:lang w:val="es-ES"/>
        </w:rPr>
        <w:t>, para 487.</w:t>
      </w:r>
    </w:p>
  </w:footnote>
  <w:footnote w:id="79">
    <w:p w14:paraId="3DFEB9A3"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w:t>
      </w:r>
    </w:p>
  </w:footnote>
  <w:footnote w:id="80">
    <w:p w14:paraId="70248558"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paras 467, 490.</w:t>
      </w:r>
    </w:p>
  </w:footnote>
  <w:footnote w:id="81">
    <w:p w14:paraId="441C66B9" w14:textId="21E04D49"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See Antin v. Spain, </w:t>
      </w:r>
      <w:r w:rsidRPr="009A0EAF">
        <w:rPr>
          <w:rStyle w:val="None"/>
          <w:rFonts w:ascii="Times New Roman" w:hAnsi="Times New Roman" w:cs="Times New Roman"/>
          <w:i/>
          <w:iCs/>
          <w:color w:val="auto"/>
          <w:sz w:val="20"/>
          <w:szCs w:val="20"/>
        </w:rPr>
        <w:t>supra</w:t>
      </w:r>
      <w:r w:rsidRPr="009A0EAF">
        <w:rPr>
          <w:rStyle w:val="None"/>
          <w:rFonts w:ascii="Times New Roman" w:hAnsi="Times New Roman" w:cs="Times New Roman"/>
          <w:color w:val="auto"/>
          <w:sz w:val="20"/>
          <w:szCs w:val="20"/>
        </w:rPr>
        <w:t xml:space="preserve"> note </w:t>
      </w:r>
      <w:r w:rsidR="00FC0F58" w:rsidRPr="009A0EAF">
        <w:rPr>
          <w:rStyle w:val="None"/>
          <w:rFonts w:ascii="Times New Roman" w:hAnsi="Times New Roman" w:cs="Times New Roman"/>
          <w:color w:val="auto"/>
          <w:sz w:val="20"/>
          <w:szCs w:val="20"/>
        </w:rPr>
        <w:t>75</w:t>
      </w:r>
      <w:r w:rsidRPr="009A0EAF">
        <w:rPr>
          <w:rStyle w:val="None"/>
          <w:rFonts w:ascii="Times New Roman" w:hAnsi="Times New Roman" w:cs="Times New Roman"/>
          <w:color w:val="auto"/>
          <w:sz w:val="20"/>
          <w:szCs w:val="20"/>
        </w:rPr>
        <w:t>, paras 508-510.</w:t>
      </w:r>
    </w:p>
  </w:footnote>
  <w:footnote w:id="82">
    <w:p w14:paraId="109D9476"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paras 512-514.</w:t>
      </w:r>
    </w:p>
  </w:footnote>
  <w:footnote w:id="83">
    <w:p w14:paraId="085530C3"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lang w:val="es-ES"/>
        </w:rPr>
        <w:t xml:space="preserve"> Ibid., para 515.</w:t>
      </w:r>
    </w:p>
  </w:footnote>
  <w:footnote w:id="84">
    <w:p w14:paraId="473C5DAA" w14:textId="77777777" w:rsidR="006675B0" w:rsidRPr="009A0EAF" w:rsidRDefault="006675B0" w:rsidP="00F85D6C">
      <w:pPr>
        <w:pStyle w:val="Footnote"/>
        <w:jc w:val="both"/>
        <w:rPr>
          <w:rFonts w:ascii="Times New Roman" w:hAnsi="Times New Roman" w:cs="Times New Roman"/>
          <w:color w:val="auto"/>
          <w:sz w:val="20"/>
          <w:szCs w:val="20"/>
          <w:lang w:val="es-ES"/>
        </w:rPr>
      </w:pPr>
      <w:r w:rsidRPr="009A0EAF">
        <w:rPr>
          <w:rStyle w:val="None"/>
          <w:rFonts w:ascii="Times New Roman" w:hAnsi="Times New Roman" w:cs="Times New Roman"/>
          <w:color w:val="auto"/>
          <w:sz w:val="20"/>
          <w:szCs w:val="20"/>
          <w:vertAlign w:val="superscript"/>
        </w:rPr>
        <w:footnoteRef/>
      </w:r>
      <w:r w:rsidRPr="009A0EAF">
        <w:rPr>
          <w:rFonts w:ascii="Times New Roman" w:hAnsi="Times New Roman" w:cs="Times New Roman"/>
          <w:color w:val="auto"/>
          <w:sz w:val="20"/>
          <w:szCs w:val="20"/>
          <w:lang w:val="es-ES"/>
        </w:rPr>
        <w:t xml:space="preserve"> </w:t>
      </w:r>
      <w:r w:rsidRPr="009A0EAF">
        <w:rPr>
          <w:rStyle w:val="None"/>
          <w:rFonts w:ascii="Times New Roman" w:hAnsi="Times New Roman" w:cs="Times New Roman"/>
          <w:color w:val="auto"/>
          <w:sz w:val="20"/>
          <w:szCs w:val="20"/>
          <w:lang w:val="es-ES"/>
        </w:rPr>
        <w:t xml:space="preserve">https://www.europarl.europa.eu/meetdocs/2014_2019/documents/itre/dv/energy_charter_/energy_charter_en.pdf </w:t>
      </w:r>
    </w:p>
  </w:footnote>
  <w:footnote w:id="85">
    <w:p w14:paraId="71E21EC4" w14:textId="45B284E5"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See Antin v. Spain, </w:t>
      </w:r>
      <w:r w:rsidRPr="009A0EAF">
        <w:rPr>
          <w:rStyle w:val="None"/>
          <w:rFonts w:ascii="Times New Roman" w:hAnsi="Times New Roman" w:cs="Times New Roman"/>
          <w:i/>
          <w:iCs/>
          <w:color w:val="auto"/>
          <w:sz w:val="20"/>
          <w:szCs w:val="20"/>
        </w:rPr>
        <w:t>supra</w:t>
      </w:r>
      <w:r w:rsidRPr="009A0EAF">
        <w:rPr>
          <w:rStyle w:val="None"/>
          <w:rFonts w:ascii="Times New Roman" w:hAnsi="Times New Roman" w:cs="Times New Roman"/>
          <w:color w:val="auto"/>
          <w:sz w:val="20"/>
          <w:szCs w:val="20"/>
        </w:rPr>
        <w:t xml:space="preserve"> note </w:t>
      </w:r>
      <w:r w:rsidR="00FC0F58" w:rsidRPr="009A0EAF">
        <w:rPr>
          <w:rStyle w:val="None"/>
          <w:rFonts w:ascii="Times New Roman" w:hAnsi="Times New Roman" w:cs="Times New Roman"/>
          <w:color w:val="auto"/>
          <w:sz w:val="20"/>
          <w:szCs w:val="20"/>
        </w:rPr>
        <w:t>75</w:t>
      </w:r>
      <w:r w:rsidRPr="009A0EAF">
        <w:rPr>
          <w:rStyle w:val="None"/>
          <w:rFonts w:ascii="Times New Roman" w:hAnsi="Times New Roman" w:cs="Times New Roman"/>
          <w:color w:val="auto"/>
          <w:sz w:val="20"/>
          <w:szCs w:val="20"/>
        </w:rPr>
        <w:t>, para 520.</w:t>
      </w:r>
    </w:p>
  </w:footnote>
  <w:footnote w:id="86">
    <w:p w14:paraId="0AC34782"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Plama </w:t>
      </w:r>
      <w:r w:rsidRPr="009A0EAF">
        <w:rPr>
          <w:rFonts w:ascii="Times New Roman" w:hAnsi="Times New Roman" w:cs="Times New Roman"/>
          <w:color w:val="auto"/>
          <w:sz w:val="20"/>
          <w:szCs w:val="20"/>
        </w:rPr>
        <w:t>Consortium Limited v. Republic of Bulgaria, Award, ICSID Case No. ARB/03/24 (27 August 2008)</w:t>
      </w:r>
    </w:p>
  </w:footnote>
  <w:footnote w:id="87">
    <w:p w14:paraId="009AF4E9" w14:textId="7800BFE9"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Electrabel S.A.</w:t>
      </w:r>
      <w:r w:rsidR="00023712">
        <w:rPr>
          <w:rStyle w:val="None"/>
          <w:rFonts w:ascii="Times New Roman" w:hAnsi="Times New Roman" w:cs="Times New Roman"/>
          <w:color w:val="auto"/>
          <w:sz w:val="20"/>
          <w:szCs w:val="20"/>
        </w:rPr>
        <w:t xml:space="preserve"> </w:t>
      </w:r>
      <w:r w:rsidRPr="009A0EAF">
        <w:rPr>
          <w:rStyle w:val="None"/>
          <w:rFonts w:ascii="Times New Roman" w:hAnsi="Times New Roman" w:cs="Times New Roman"/>
          <w:color w:val="auto"/>
          <w:sz w:val="20"/>
          <w:szCs w:val="20"/>
        </w:rPr>
        <w:t>v. Republic of Hungary, Award, Decision on Jurisdiction, Applicable Law and Liability, ICSID Case No. ARB/07/19 (30 November 2012)</w:t>
      </w:r>
    </w:p>
  </w:footnote>
  <w:footnote w:id="88">
    <w:p w14:paraId="53B24857" w14:textId="17D3F3E1"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See Antin v. Spain, </w:t>
      </w:r>
      <w:r w:rsidRPr="009A0EAF">
        <w:rPr>
          <w:rStyle w:val="None"/>
          <w:rFonts w:ascii="Times New Roman" w:hAnsi="Times New Roman" w:cs="Times New Roman"/>
          <w:i/>
          <w:iCs/>
          <w:color w:val="auto"/>
          <w:sz w:val="20"/>
          <w:szCs w:val="20"/>
        </w:rPr>
        <w:t>supra</w:t>
      </w:r>
      <w:r w:rsidRPr="009A0EAF">
        <w:rPr>
          <w:rStyle w:val="None"/>
          <w:rFonts w:ascii="Times New Roman" w:hAnsi="Times New Roman" w:cs="Times New Roman"/>
          <w:color w:val="auto"/>
          <w:sz w:val="20"/>
          <w:szCs w:val="20"/>
        </w:rPr>
        <w:t xml:space="preserve"> note </w:t>
      </w:r>
      <w:r w:rsidR="00E65B23" w:rsidRPr="009A0EAF">
        <w:rPr>
          <w:rStyle w:val="None"/>
          <w:rFonts w:ascii="Times New Roman" w:hAnsi="Times New Roman" w:cs="Times New Roman"/>
          <w:color w:val="auto"/>
          <w:sz w:val="20"/>
          <w:szCs w:val="20"/>
        </w:rPr>
        <w:t>75</w:t>
      </w:r>
      <w:r w:rsidRPr="009A0EAF">
        <w:rPr>
          <w:rStyle w:val="None"/>
          <w:rFonts w:ascii="Times New Roman" w:hAnsi="Times New Roman" w:cs="Times New Roman"/>
          <w:color w:val="auto"/>
          <w:sz w:val="20"/>
          <w:szCs w:val="20"/>
        </w:rPr>
        <w:t xml:space="preserve">, para 529. </w:t>
      </w:r>
    </w:p>
  </w:footnote>
  <w:footnote w:id="89">
    <w:p w14:paraId="798E0633"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para 532.</w:t>
      </w:r>
    </w:p>
  </w:footnote>
  <w:footnote w:id="90">
    <w:p w14:paraId="4D99A14A" w14:textId="1FF77448" w:rsidR="007A06D8" w:rsidRPr="009A0EAF" w:rsidRDefault="007A06D8" w:rsidP="00F85D6C">
      <w:pPr>
        <w:pStyle w:val="NormalWeb"/>
        <w:spacing w:before="0" w:beforeAutospacing="0" w:after="0" w:afterAutospacing="0"/>
        <w:jc w:val="both"/>
        <w:rPr>
          <w:sz w:val="20"/>
          <w:szCs w:val="20"/>
        </w:rPr>
      </w:pPr>
      <w:r w:rsidRPr="009A0EAF">
        <w:rPr>
          <w:rStyle w:val="FootnoteReference"/>
          <w:sz w:val="20"/>
          <w:szCs w:val="20"/>
        </w:rPr>
        <w:footnoteRef/>
      </w:r>
      <w:r w:rsidR="00D44D9B">
        <w:rPr>
          <w:sz w:val="20"/>
          <w:szCs w:val="20"/>
        </w:rPr>
        <w:t xml:space="preserve"> </w:t>
      </w:r>
      <w:r w:rsidRPr="009A0EAF">
        <w:rPr>
          <w:sz w:val="20"/>
          <w:szCs w:val="20"/>
        </w:rPr>
        <w:t xml:space="preserve">See, </w:t>
      </w:r>
      <w:r w:rsidRPr="009A0EAF">
        <w:rPr>
          <w:i/>
          <w:iCs/>
          <w:sz w:val="20"/>
          <w:szCs w:val="20"/>
        </w:rPr>
        <w:t>inter alia</w:t>
      </w:r>
      <w:r w:rsidRPr="009A0EAF">
        <w:rPr>
          <w:sz w:val="20"/>
          <w:szCs w:val="20"/>
        </w:rPr>
        <w:t xml:space="preserve">, Levashova, Yulia (2020) The Role of Investor’s Due Diligence in International Investment Law: Legitimate Expectations of Investors, Retrieved from: </w:t>
      </w:r>
      <w:hyperlink r:id="rId12" w:history="1">
        <w:r w:rsidR="006F01C1" w:rsidRPr="009A0EAF">
          <w:rPr>
            <w:rStyle w:val="Hyperlink"/>
            <w:sz w:val="20"/>
            <w:szCs w:val="20"/>
            <w:u w:val="none"/>
          </w:rPr>
          <w:t>https://arbitrationblog.kluwerarbitration.com/2020/04/22/the-role-of-investors-due-diligence-in-international-investment-law-legitimate-expectations-of-investors/?output=pdf</w:t>
        </w:r>
      </w:hyperlink>
      <w:r w:rsidR="006F01C1" w:rsidRPr="009A0EAF">
        <w:rPr>
          <w:sz w:val="20"/>
          <w:szCs w:val="20"/>
        </w:rPr>
        <w:t xml:space="preserve"> </w:t>
      </w:r>
    </w:p>
  </w:footnote>
  <w:footnote w:id="91">
    <w:p w14:paraId="5890BA9A"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For the timeline of modernisation discussions see </w:t>
      </w:r>
      <w:hyperlink r:id="rId13" w:history="1">
        <w:r w:rsidRPr="009A0EAF">
          <w:rPr>
            <w:rStyle w:val="Hyperlink3"/>
            <w:rFonts w:eastAsia="Helvetica Neue"/>
            <w:color w:val="auto"/>
            <w:u w:val="none"/>
          </w:rPr>
          <w:t>https://www.energychartertreaty.org/modernisation-of-the-treaty/</w:t>
        </w:r>
      </w:hyperlink>
      <w:r w:rsidRPr="009A0EAF">
        <w:rPr>
          <w:rStyle w:val="None"/>
          <w:rFonts w:ascii="Times New Roman" w:hAnsi="Times New Roman" w:cs="Times New Roman"/>
          <w:color w:val="auto"/>
          <w:sz w:val="20"/>
          <w:szCs w:val="20"/>
        </w:rPr>
        <w:t xml:space="preserve">. See also Communication of the Secretary General on the modernisation of the Energy Charter Treaty, 1 July 2022, Retrieved from: </w:t>
      </w:r>
      <w:hyperlink r:id="rId14" w:history="1">
        <w:r w:rsidRPr="009A0EAF">
          <w:rPr>
            <w:rStyle w:val="Hyperlink3"/>
            <w:rFonts w:eastAsia="Helvetica Neue"/>
            <w:color w:val="auto"/>
            <w:u w:val="none"/>
          </w:rPr>
          <w:t>https://www.energycharter.org/media/news/article/communication-of-the-secretary-general-on-the-modernisation-of-the-energy-charter-treaty/</w:t>
        </w:r>
      </w:hyperlink>
      <w:r w:rsidRPr="009A0EAF">
        <w:rPr>
          <w:rStyle w:val="None"/>
          <w:rFonts w:ascii="Times New Roman" w:hAnsi="Times New Roman" w:cs="Times New Roman"/>
          <w:color w:val="auto"/>
          <w:sz w:val="20"/>
          <w:szCs w:val="20"/>
        </w:rPr>
        <w:t>.</w:t>
      </w:r>
    </w:p>
  </w:footnote>
  <w:footnote w:id="92">
    <w:p w14:paraId="43538B53"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Energy Charter Secretariat, CC 750 Rev, Agreement in Principle on the Modernisation of the Energy Charter Treaty, 24 June 2022, Retrieved from: </w:t>
      </w:r>
      <w:hyperlink r:id="rId15" w:history="1">
        <w:r w:rsidRPr="009A0EAF">
          <w:rPr>
            <w:rStyle w:val="Hyperlink3"/>
            <w:rFonts w:eastAsia="Helvetica Neue"/>
            <w:color w:val="auto"/>
            <w:u w:val="none"/>
          </w:rPr>
          <w:t>https://www.bilaterals.org/IMG/pdf/reformed_ect_text.pdf</w:t>
        </w:r>
      </w:hyperlink>
      <w:r w:rsidRPr="009A0EAF">
        <w:rPr>
          <w:rStyle w:val="None"/>
          <w:rFonts w:ascii="Times New Roman" w:hAnsi="Times New Roman" w:cs="Times New Roman"/>
          <w:color w:val="auto"/>
          <w:sz w:val="20"/>
          <w:szCs w:val="20"/>
        </w:rPr>
        <w:t xml:space="preserve"> </w:t>
      </w:r>
    </w:p>
  </w:footnote>
  <w:footnote w:id="93">
    <w:p w14:paraId="7714BFC6"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Article 1(5) of the ECT.</w:t>
      </w:r>
    </w:p>
  </w:footnote>
  <w:footnote w:id="94">
    <w:p w14:paraId="720DF9DA"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Energy Charter Secretariat, CCDEC 2022 10 GEN, Decision of the Energy Charter Conference, Subject: Public Communication explaining the main changes contained in the agreement in principle, 24 June 2022, Retrieved from: </w:t>
      </w:r>
      <w:hyperlink r:id="rId16" w:history="1">
        <w:r w:rsidRPr="009A0EAF">
          <w:rPr>
            <w:rStyle w:val="Hyperlink3"/>
            <w:rFonts w:eastAsia="Helvetica Neue"/>
            <w:color w:val="auto"/>
            <w:u w:val="none"/>
          </w:rPr>
          <w:t>https://www.energycharter.org/fileadmin/DocumentsMedia/CCDECS/2022/CCDEC202210.pdf</w:t>
        </w:r>
      </w:hyperlink>
      <w:r w:rsidRPr="009A0EAF">
        <w:rPr>
          <w:rStyle w:val="None"/>
          <w:rFonts w:ascii="Times New Roman" w:hAnsi="Times New Roman" w:cs="Times New Roman"/>
          <w:color w:val="auto"/>
          <w:sz w:val="20"/>
          <w:szCs w:val="20"/>
        </w:rPr>
        <w:t xml:space="preserve"> </w:t>
      </w:r>
    </w:p>
  </w:footnote>
  <w:footnote w:id="95">
    <w:p w14:paraId="1D3701D4"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Agreement in Principle, Article 10 (2) (vi).</w:t>
      </w:r>
    </w:p>
  </w:footnote>
  <w:footnote w:id="96">
    <w:p w14:paraId="624DEF91"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Agreement in Principle, p. 33, footnote 3.</w:t>
      </w:r>
    </w:p>
  </w:footnote>
  <w:footnote w:id="97">
    <w:p w14:paraId="62EC6770"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Brauch, Martin Dietrich (2022), The Agreement in Principle on ECT “Modernization”: A Botched Reform Attempt that Undermines Climate Action, Retrieved from: </w:t>
      </w:r>
      <w:hyperlink r:id="rId17" w:history="1">
        <w:r w:rsidRPr="009A0EAF">
          <w:rPr>
            <w:rStyle w:val="Hyperlink5"/>
            <w:rFonts w:eastAsia="Helvetica Neue"/>
            <w:color w:val="auto"/>
            <w:u w:val="none"/>
          </w:rPr>
          <w:t>https://ccsi.columbia.edu/news/agreement-principle-ect-modernization-botched-reform-attempt-undermines-climate-action</w:t>
        </w:r>
      </w:hyperlink>
      <w:r w:rsidRPr="009A0EAF">
        <w:rPr>
          <w:rStyle w:val="None"/>
          <w:rFonts w:ascii="Times New Roman" w:hAnsi="Times New Roman" w:cs="Times New Roman"/>
          <w:color w:val="auto"/>
          <w:sz w:val="20"/>
          <w:szCs w:val="20"/>
        </w:rPr>
        <w:t xml:space="preserve"> </w:t>
      </w:r>
    </w:p>
  </w:footnote>
  <w:footnote w:id="98">
    <w:p w14:paraId="224924C2" w14:textId="264EB246"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International Energy Agency, Net Zero by 2050, A Roadmap for the Global Energy Sector, </w:t>
      </w:r>
      <w:r w:rsidRPr="009A0EAF">
        <w:rPr>
          <w:rStyle w:val="None"/>
          <w:rFonts w:ascii="Times New Roman" w:hAnsi="Times New Roman" w:cs="Times New Roman"/>
          <w:i/>
          <w:iCs/>
          <w:color w:val="auto"/>
          <w:sz w:val="20"/>
          <w:szCs w:val="20"/>
        </w:rPr>
        <w:t>supra</w:t>
      </w:r>
      <w:r w:rsidRPr="009A0EAF">
        <w:rPr>
          <w:rStyle w:val="None"/>
          <w:rFonts w:ascii="Times New Roman" w:hAnsi="Times New Roman" w:cs="Times New Roman"/>
          <w:color w:val="auto"/>
          <w:sz w:val="20"/>
          <w:szCs w:val="20"/>
        </w:rPr>
        <w:t xml:space="preserve"> note</w:t>
      </w:r>
      <w:r w:rsidR="00E65B23" w:rsidRPr="009A0EAF">
        <w:rPr>
          <w:rStyle w:val="None"/>
          <w:rFonts w:ascii="Times New Roman" w:hAnsi="Times New Roman" w:cs="Times New Roman"/>
          <w:color w:val="auto"/>
          <w:sz w:val="20"/>
          <w:szCs w:val="20"/>
        </w:rPr>
        <w:t xml:space="preserve"> 9</w:t>
      </w:r>
      <w:r w:rsidRPr="009A0EAF">
        <w:rPr>
          <w:rStyle w:val="None"/>
          <w:rFonts w:ascii="Times New Roman" w:hAnsi="Times New Roman" w:cs="Times New Roman"/>
          <w:color w:val="auto"/>
          <w:sz w:val="20"/>
          <w:szCs w:val="20"/>
        </w:rPr>
        <w:t>, at 14.</w:t>
      </w:r>
    </w:p>
  </w:footnote>
  <w:footnote w:id="99">
    <w:p w14:paraId="6B13DD9F"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w:t>
      </w:r>
    </w:p>
  </w:footnote>
  <w:footnote w:id="100">
    <w:p w14:paraId="742A10F9" w14:textId="06F63C04" w:rsidR="006675B0" w:rsidRPr="009A0EAF" w:rsidRDefault="006675B0" w:rsidP="00F85D6C">
      <w:pPr>
        <w:pStyle w:val="NormalWeb"/>
        <w:spacing w:before="0" w:beforeAutospacing="0" w:after="0" w:afterAutospacing="0"/>
        <w:jc w:val="both"/>
        <w:rPr>
          <w:sz w:val="20"/>
          <w:szCs w:val="20"/>
        </w:rPr>
      </w:pPr>
      <w:r w:rsidRPr="009A0EAF">
        <w:rPr>
          <w:rStyle w:val="None"/>
          <w:sz w:val="20"/>
          <w:szCs w:val="20"/>
          <w:vertAlign w:val="superscript"/>
        </w:rPr>
        <w:footnoteRef/>
      </w:r>
      <w:r w:rsidRPr="009A0EAF">
        <w:rPr>
          <w:rStyle w:val="None"/>
          <w:rFonts w:eastAsiaTheme="majorEastAsia"/>
          <w:sz w:val="20"/>
          <w:szCs w:val="20"/>
        </w:rPr>
        <w:t xml:space="preserve"> Frédéric Simon (2022), Brussels calls for pause in ECT reform talks after losing key EU vote, Retrieved from: </w:t>
      </w:r>
      <w:hyperlink r:id="rId18" w:history="1">
        <w:r w:rsidRPr="009A0EAF">
          <w:rPr>
            <w:rStyle w:val="Hyperlink3"/>
            <w:rFonts w:eastAsia="Helvetica Neue"/>
            <w:u w:val="none"/>
          </w:rPr>
          <w:t>https://www.euractiv.com/section/energy/news/brussels-calls-for-pause-in-ect-reform-talks-after-losing-key-eu-vote/</w:t>
        </w:r>
      </w:hyperlink>
      <w:r w:rsidR="00E576B7" w:rsidRPr="009A0EAF">
        <w:rPr>
          <w:rStyle w:val="Hyperlink3"/>
          <w:rFonts w:eastAsia="Helvetica Neue"/>
          <w:u w:val="none"/>
        </w:rPr>
        <w:t>. See also</w:t>
      </w:r>
      <w:r w:rsidR="00573714" w:rsidRPr="009A0EAF">
        <w:rPr>
          <w:rStyle w:val="Hyperlink3"/>
          <w:rFonts w:eastAsia="Helvetica Neue"/>
          <w:u w:val="none"/>
        </w:rPr>
        <w:t xml:space="preserve"> the European Commission’s </w:t>
      </w:r>
      <w:r w:rsidR="00DE6C7A" w:rsidRPr="009A0EAF">
        <w:rPr>
          <w:rStyle w:val="Hyperlink3"/>
          <w:rFonts w:eastAsia="Helvetica Neue"/>
          <w:u w:val="none"/>
        </w:rPr>
        <w:t xml:space="preserve">Proposal for a coordinated withdrawal from the Energy Charter Treaty COM (2023) 447, Retrieved from: </w:t>
      </w:r>
      <w:hyperlink r:id="rId19" w:history="1">
        <w:r w:rsidR="00DE6C7A" w:rsidRPr="009A0EAF">
          <w:rPr>
            <w:rStyle w:val="Hyperlink"/>
            <w:rFonts w:eastAsia="Helvetica Neue"/>
            <w:sz w:val="20"/>
            <w:szCs w:val="20"/>
            <w:u w:val="none"/>
            <w:lang w:val="en-US"/>
            <w14:textOutline w14:w="12700" w14:cap="flat" w14:cmpd="sng" w14:algn="ctr">
              <w14:noFill/>
              <w14:prstDash w14:val="solid"/>
              <w14:miter w14:lim="400000"/>
            </w14:textOutline>
          </w:rPr>
          <w:t>https://eur-lex.europa.eu/legal-content/EN/TXT/?uri=CELEX%3A52023PC0447&amp;amp%3Bqid=1705409406532</w:t>
        </w:r>
      </w:hyperlink>
      <w:r w:rsidR="00DE6C7A" w:rsidRPr="009A0EAF">
        <w:rPr>
          <w:rStyle w:val="Hyperlink3"/>
          <w:rFonts w:eastAsia="Helvetica Neue"/>
          <w:u w:val="none"/>
        </w:rPr>
        <w:t xml:space="preserve"> and the European Commission’s </w:t>
      </w:r>
      <w:r w:rsidR="00573714" w:rsidRPr="009A0EAF">
        <w:rPr>
          <w:rStyle w:val="Hyperlink3"/>
          <w:rFonts w:eastAsia="Helvetica Neue"/>
          <w:u w:val="none"/>
        </w:rPr>
        <w:t xml:space="preserve">Proposal for a </w:t>
      </w:r>
      <w:r w:rsidR="00573714" w:rsidRPr="009A0EAF">
        <w:rPr>
          <w:rStyle w:val="None"/>
          <w:sz w:val="20"/>
          <w:szCs w:val="20"/>
        </w:rPr>
        <w:t xml:space="preserve">Council Decision </w:t>
      </w:r>
      <w:r w:rsidR="00573714" w:rsidRPr="009A0EAF">
        <w:rPr>
          <w:sz w:val="20"/>
          <w:szCs w:val="20"/>
        </w:rPr>
        <w:t>on the position to be taken on behalf of the European Union in the Energy Charter Conference COM(2024)104</w:t>
      </w:r>
      <w:r w:rsidR="000F05CE" w:rsidRPr="009A0EAF">
        <w:rPr>
          <w:sz w:val="20"/>
          <w:szCs w:val="20"/>
        </w:rPr>
        <w:t xml:space="preserve">, Retrieved from: </w:t>
      </w:r>
      <w:hyperlink r:id="rId20" w:history="1">
        <w:r w:rsidR="000F05CE" w:rsidRPr="009A0EAF">
          <w:rPr>
            <w:rStyle w:val="Hyperlink"/>
            <w:sz w:val="20"/>
            <w:szCs w:val="20"/>
            <w:u w:val="none"/>
          </w:rPr>
          <w:t>https://ec.europa.eu/transparency/documents-register/detail?ref=COM(2024)104&amp;lang=en</w:t>
        </w:r>
      </w:hyperlink>
      <w:r w:rsidR="000F05CE" w:rsidRPr="009A0EAF">
        <w:rPr>
          <w:sz w:val="20"/>
          <w:szCs w:val="20"/>
        </w:rPr>
        <w:t xml:space="preserve"> </w:t>
      </w:r>
    </w:p>
  </w:footnote>
  <w:footnote w:id="101">
    <w:p w14:paraId="0CDA162C"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Business and Human Rights Resource Centre (2022), EU: Germany, France, Spain, Poland &amp; Netherlands to exit Energy Charter Treaty; CSOs welcome announcement &amp; urge other EU countries to withdraw, Retrieved from: </w:t>
      </w:r>
      <w:hyperlink r:id="rId21" w:history="1">
        <w:r w:rsidRPr="009A0EAF">
          <w:rPr>
            <w:rStyle w:val="Hyperlink3"/>
            <w:rFonts w:eastAsia="Helvetica Neue"/>
            <w:color w:val="auto"/>
            <w:u w:val="none"/>
          </w:rPr>
          <w:t>https://www.business-humanrights.org/en/latest-news/eu-spain-to-follow-poland-italy-in-exiting-energy-charter-treaty-csos-welcome-announcement-urge-other-eu-countries-to-withdraw/</w:t>
        </w:r>
      </w:hyperlink>
      <w:r w:rsidRPr="009A0EAF">
        <w:rPr>
          <w:rStyle w:val="None"/>
          <w:rFonts w:ascii="Times New Roman" w:hAnsi="Times New Roman" w:cs="Times New Roman"/>
          <w:color w:val="auto"/>
          <w:sz w:val="20"/>
          <w:szCs w:val="20"/>
        </w:rPr>
        <w:t xml:space="preserve">. See also Frédéric Simon (2022), Another blow for Energy Charter Treaty as Luxembourg announces exit, Retrieved from: </w:t>
      </w:r>
      <w:hyperlink r:id="rId22" w:history="1">
        <w:r w:rsidRPr="009A0EAF">
          <w:rPr>
            <w:rStyle w:val="Hyperlink3"/>
            <w:rFonts w:eastAsia="Helvetica Neue"/>
            <w:color w:val="auto"/>
            <w:u w:val="none"/>
          </w:rPr>
          <w:t>https://www.euractiv.com/section/energy/news/another-blow-for-energy-charter-treaty-as-luxembourg-announces-exit/</w:t>
        </w:r>
      </w:hyperlink>
      <w:r w:rsidRPr="009A0EAF">
        <w:rPr>
          <w:rStyle w:val="None"/>
          <w:rFonts w:ascii="Times New Roman" w:hAnsi="Times New Roman" w:cs="Times New Roman"/>
          <w:color w:val="auto"/>
          <w:sz w:val="20"/>
          <w:szCs w:val="20"/>
        </w:rPr>
        <w:t xml:space="preserve"> </w:t>
      </w:r>
    </w:p>
  </w:footnote>
  <w:footnote w:id="102">
    <w:p w14:paraId="25915740"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European Parliament resolution of 24 November 2022 on the outcome of the modernisation of the Energy Charter Treaty, 2022/2934(RSP), Retrieved from: </w:t>
      </w:r>
      <w:hyperlink r:id="rId23" w:history="1">
        <w:r w:rsidRPr="009A0EAF">
          <w:rPr>
            <w:rStyle w:val="Hyperlink3"/>
            <w:rFonts w:eastAsia="Helvetica Neue"/>
            <w:color w:val="auto"/>
            <w:u w:val="none"/>
          </w:rPr>
          <w:t>https://www.europarl.europa.eu/doceo/document/TA-9-2022-0421_EN.html</w:t>
        </w:r>
      </w:hyperlink>
      <w:r w:rsidRPr="009A0EAF">
        <w:rPr>
          <w:rStyle w:val="None"/>
          <w:rFonts w:ascii="Times New Roman" w:hAnsi="Times New Roman" w:cs="Times New Roman"/>
          <w:color w:val="auto"/>
          <w:sz w:val="20"/>
          <w:szCs w:val="20"/>
        </w:rPr>
        <w:t xml:space="preserve"> </w:t>
      </w:r>
    </w:p>
  </w:footnote>
  <w:footnote w:id="103">
    <w:p w14:paraId="53CCEDBE"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point B.</w:t>
      </w:r>
    </w:p>
  </w:footnote>
  <w:footnote w:id="104">
    <w:p w14:paraId="77C97467"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w:t>
      </w:r>
    </w:p>
  </w:footnote>
  <w:footnote w:id="105">
    <w:p w14:paraId="06838038"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point E.</w:t>
      </w:r>
    </w:p>
  </w:footnote>
  <w:footnote w:id="106">
    <w:p w14:paraId="7DDA8DED"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point F.</w:t>
      </w:r>
    </w:p>
  </w:footnote>
  <w:footnote w:id="107">
    <w:p w14:paraId="4483B608"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point G.</w:t>
      </w:r>
    </w:p>
  </w:footnote>
  <w:footnote w:id="108">
    <w:p w14:paraId="0BEB3158"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point 19.</w:t>
      </w:r>
    </w:p>
  </w:footnote>
  <w:footnote w:id="109">
    <w:p w14:paraId="58D0A7AD"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point 14.</w:t>
      </w:r>
    </w:p>
  </w:footnote>
  <w:footnote w:id="110">
    <w:p w14:paraId="57BD8637"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Paragraph 3 of Article 47 provides that “the provisions of this Treaty shall continue to apply to Investments made in the Area of a Contracting Party by Investors of other Contracting Parties or in the Area of other Contracting Parties by Investors of that Contracting Party as of the date when that Contracting Party’s withdrawal from the Treaty takes effect for a period of 20 years from such date.”</w:t>
      </w:r>
    </w:p>
  </w:footnote>
  <w:footnote w:id="111">
    <w:p w14:paraId="1CD2DB2D"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w:t>
      </w:r>
      <w:hyperlink r:id="rId24" w:history="1">
        <w:r w:rsidRPr="009A0EAF">
          <w:rPr>
            <w:rStyle w:val="Hyperlink6"/>
            <w:rFonts w:eastAsia="Helvetica Neue"/>
            <w:color w:val="auto"/>
          </w:rPr>
          <w:t>https://commission.europa.eu/strategy-and-policy/priorities-2019-2024/european-green-deal/delivering-european-green-deal_en</w:t>
        </w:r>
      </w:hyperlink>
      <w:r w:rsidRPr="009A0EAF">
        <w:rPr>
          <w:rStyle w:val="None"/>
          <w:rFonts w:ascii="Times New Roman" w:hAnsi="Times New Roman" w:cs="Times New Roman"/>
          <w:color w:val="auto"/>
          <w:sz w:val="20"/>
          <w:szCs w:val="20"/>
        </w:rPr>
        <w:t xml:space="preserve"> </w:t>
      </w:r>
    </w:p>
  </w:footnote>
  <w:footnote w:id="112">
    <w:p w14:paraId="602F161A"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Regulation (EU) 2021/523 of the European Parliament and of the Council of 24 March 2021 establishing the InvestEU Programme and amending Regulation (EU) 2015/1017, OJ L 107, 26.3.2021, p. 30.</w:t>
      </w:r>
    </w:p>
  </w:footnote>
  <w:footnote w:id="113">
    <w:p w14:paraId="096FCB99"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European Commission, Directorate-General for Energy, Clean energy for all Europeans, Publications Office, 2019, </w:t>
      </w:r>
      <w:hyperlink r:id="rId25" w:history="1">
        <w:r w:rsidRPr="009A0EAF">
          <w:rPr>
            <w:rStyle w:val="Hyperlink7"/>
            <w:rFonts w:eastAsia="Helvetica Neue"/>
            <w:color w:val="auto"/>
          </w:rPr>
          <w:t>https://data.europa.eu/doi/10.2833/9937</w:t>
        </w:r>
      </w:hyperlink>
    </w:p>
  </w:footnote>
  <w:footnote w:id="114">
    <w:p w14:paraId="20E2727E"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w:t>
      </w:r>
      <w:hyperlink r:id="rId26" w:history="1">
        <w:r w:rsidRPr="009A0EAF">
          <w:rPr>
            <w:rStyle w:val="Hyperlink3"/>
            <w:rFonts w:eastAsia="Helvetica Neue"/>
            <w:color w:val="auto"/>
            <w:u w:val="none"/>
          </w:rPr>
          <w:t>https://energy.ec.europa.eu/topics/energy-strategy/clean-energy-all-europeans-package_en</w:t>
        </w:r>
      </w:hyperlink>
      <w:r w:rsidRPr="009A0EAF">
        <w:rPr>
          <w:rStyle w:val="Hyperlink7"/>
          <w:rFonts w:eastAsia="Helvetica Neue"/>
          <w:color w:val="auto"/>
        </w:rPr>
        <w:t xml:space="preserve"> </w:t>
      </w:r>
    </w:p>
  </w:footnote>
  <w:footnote w:id="115">
    <w:p w14:paraId="2A4F114F" w14:textId="718CFB31"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Directive (EU) 2018/2001 of the European Parliament and of the Council of 11 December 2018 on the promotion of the use of energy from renewable sources (recast), OJ L 328, 21.12.2018, p. 82</w:t>
      </w:r>
      <w:r w:rsidR="001C366D" w:rsidRPr="009A0EAF">
        <w:rPr>
          <w:rStyle w:val="Hyperlink7"/>
          <w:rFonts w:eastAsia="Helvetica Neue"/>
          <w:color w:val="auto"/>
        </w:rPr>
        <w:t>.</w:t>
      </w:r>
    </w:p>
  </w:footnote>
  <w:footnote w:id="116">
    <w:p w14:paraId="3657CCC1"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Preamble (9).</w:t>
      </w:r>
    </w:p>
  </w:footnote>
  <w:footnote w:id="117">
    <w:p w14:paraId="6156E5C6"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hAnsi="Times New Roman" w:cs="Times New Roman"/>
          <w:color w:val="auto"/>
          <w:sz w:val="20"/>
          <w:szCs w:val="20"/>
          <w:vertAlign w:val="superscript"/>
        </w:rPr>
        <w:footnoteRef/>
      </w:r>
      <w:r w:rsidRPr="009A0EAF">
        <w:rPr>
          <w:rStyle w:val="None"/>
          <w:rFonts w:ascii="Times New Roman" w:hAnsi="Times New Roman" w:cs="Times New Roman"/>
          <w:color w:val="auto"/>
          <w:sz w:val="20"/>
          <w:szCs w:val="20"/>
        </w:rPr>
        <w:t xml:space="preserve"> Ibid, Preamble (29).</w:t>
      </w:r>
    </w:p>
  </w:footnote>
  <w:footnote w:id="118">
    <w:p w14:paraId="5DB9B8B7"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w:t>
      </w:r>
    </w:p>
  </w:footnote>
  <w:footnote w:id="119">
    <w:p w14:paraId="38F031E0"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Article 6,1.</w:t>
      </w:r>
    </w:p>
  </w:footnote>
  <w:footnote w:id="120">
    <w:p w14:paraId="71B63FB4"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Article 6,3. </w:t>
      </w:r>
    </w:p>
  </w:footnote>
  <w:footnote w:id="121">
    <w:p w14:paraId="77B6DAB7" w14:textId="6F57334A"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See Masdar v. Spain, </w:t>
      </w:r>
      <w:r w:rsidRPr="009A0EAF">
        <w:rPr>
          <w:rStyle w:val="None"/>
          <w:rFonts w:ascii="Times New Roman" w:hAnsi="Times New Roman" w:cs="Times New Roman"/>
          <w:i/>
          <w:iCs/>
          <w:color w:val="auto"/>
          <w:sz w:val="20"/>
          <w:szCs w:val="20"/>
        </w:rPr>
        <w:t>supra</w:t>
      </w:r>
      <w:r w:rsidRPr="009A0EAF">
        <w:rPr>
          <w:rStyle w:val="Hyperlink7"/>
          <w:rFonts w:eastAsia="Helvetica Neue"/>
          <w:color w:val="auto"/>
        </w:rPr>
        <w:t xml:space="preserve"> note </w:t>
      </w:r>
      <w:r w:rsidR="00160529" w:rsidRPr="009A0EAF">
        <w:rPr>
          <w:rStyle w:val="Hyperlink7"/>
          <w:rFonts w:eastAsia="Helvetica Neue"/>
          <w:color w:val="auto"/>
        </w:rPr>
        <w:t>30</w:t>
      </w:r>
      <w:r w:rsidRPr="009A0EAF">
        <w:rPr>
          <w:rStyle w:val="Hyperlink7"/>
          <w:rFonts w:eastAsia="Helvetica Neue"/>
          <w:color w:val="auto"/>
        </w:rPr>
        <w:t>, para 107.</w:t>
      </w:r>
    </w:p>
  </w:footnote>
  <w:footnote w:id="122">
    <w:p w14:paraId="3CF1A846"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Regulation (EU) 2018/1999 of the European Parliament and of the Council of 11 December 2018 on the Governance of the Energy Union and Climate Action, OJ L 328, 21.12.2018, p. 1.</w:t>
      </w:r>
    </w:p>
  </w:footnote>
  <w:footnote w:id="123">
    <w:p w14:paraId="1DD160C5"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Article 1,1 (d)</w:t>
      </w:r>
    </w:p>
  </w:footnote>
  <w:footnote w:id="124">
    <w:p w14:paraId="047A2928"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w:t>
      </w:r>
    </w:p>
  </w:footnote>
  <w:footnote w:id="125">
    <w:p w14:paraId="5D8990DD"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w:t>
      </w:r>
    </w:p>
  </w:footnote>
  <w:footnote w:id="126">
    <w:p w14:paraId="01874402"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Preamble (1). Emphasis added.</w:t>
      </w:r>
    </w:p>
  </w:footnote>
  <w:footnote w:id="127">
    <w:p w14:paraId="3D48AC69"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Preamble (12).</w:t>
      </w:r>
    </w:p>
  </w:footnote>
  <w:footnote w:id="128">
    <w:p w14:paraId="280B0E04"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w:t>
      </w:r>
      <w:hyperlink r:id="rId27" w:history="1">
        <w:r w:rsidRPr="009A0EAF">
          <w:rPr>
            <w:rStyle w:val="Hyperlink3"/>
            <w:rFonts w:eastAsia="Helvetica Neue"/>
            <w:color w:val="auto"/>
            <w:u w:val="none"/>
          </w:rPr>
          <w:t>https://climate.ec.europa.eu/eu-action/european-green-deal/european-climate-law_en</w:t>
        </w:r>
      </w:hyperlink>
      <w:r w:rsidRPr="009A0EAF">
        <w:rPr>
          <w:rStyle w:val="Hyperlink7"/>
          <w:rFonts w:eastAsia="Helvetica Neue"/>
          <w:color w:val="auto"/>
        </w:rPr>
        <w:t xml:space="preserve"> </w:t>
      </w:r>
    </w:p>
  </w:footnote>
  <w:footnote w:id="129">
    <w:p w14:paraId="4B257489"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Regulation (EU) 2021/1119 of the European Parliament and of the Council of 30 June 2021 establishing the framework for achieving climate neutrality, OJ L 243, 9.7.2021, p. 1</w:t>
      </w:r>
    </w:p>
  </w:footnote>
  <w:footnote w:id="130">
    <w:p w14:paraId="76F497BD"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Preamble (30).</w:t>
      </w:r>
    </w:p>
  </w:footnote>
  <w:footnote w:id="131">
    <w:p w14:paraId="206E240D" w14:textId="1F543FA9"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Communication from the Commission to the European Parliament, the European Council, the Council, the European Economic and Social Committee and the Committee of the Regions, A Green Deal Industrial Plan for the Net-Zero Age, Brussels, 1.2.2023 COM</w:t>
      </w:r>
      <w:r w:rsidR="00D10E01" w:rsidRPr="009A0EAF">
        <w:rPr>
          <w:rStyle w:val="Hyperlink7"/>
          <w:rFonts w:eastAsia="Helvetica Neue"/>
          <w:color w:val="auto"/>
        </w:rPr>
        <w:t xml:space="preserve"> </w:t>
      </w:r>
      <w:r w:rsidRPr="009A0EAF">
        <w:rPr>
          <w:rStyle w:val="Hyperlink7"/>
          <w:rFonts w:eastAsia="Helvetica Neue"/>
          <w:color w:val="auto"/>
        </w:rPr>
        <w:t>(2023) 62 final</w:t>
      </w:r>
      <w:r w:rsidR="00D10E01" w:rsidRPr="009A0EAF">
        <w:rPr>
          <w:rStyle w:val="Hyperlink7"/>
          <w:rFonts w:eastAsia="Helvetica Neue"/>
          <w:color w:val="auto"/>
        </w:rPr>
        <w:t>.</w:t>
      </w:r>
      <w:r w:rsidRPr="009A0EAF">
        <w:rPr>
          <w:rStyle w:val="Hyperlink7"/>
          <w:rFonts w:eastAsia="Helvetica Neue"/>
          <w:color w:val="auto"/>
        </w:rPr>
        <w:t xml:space="preserve"> </w:t>
      </w:r>
    </w:p>
  </w:footnote>
  <w:footnote w:id="132">
    <w:p w14:paraId="3C69B9E6"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 9.</w:t>
      </w:r>
    </w:p>
  </w:footnote>
  <w:footnote w:id="133">
    <w:p w14:paraId="3F0D88B8"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Treaty on the Functioning of the European Union, OJ C 202, 7.6.2016, p. 1–388.</w:t>
      </w:r>
    </w:p>
  </w:footnote>
  <w:footnote w:id="134">
    <w:p w14:paraId="0542BE5C" w14:textId="5702F2D5"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ANNEX to the Communication from the Commission to the European Parliament and the Council, as well as to the Member States on an agreement between the Member States, the European Union, and the European Atomic Energy Community on the interpretation of the Energy Charter Treaty, Brussels, 5.10.2022, COM</w:t>
      </w:r>
      <w:r w:rsidR="000300F7" w:rsidRPr="009A0EAF">
        <w:rPr>
          <w:rStyle w:val="Hyperlink7"/>
          <w:rFonts w:eastAsia="Helvetica Neue"/>
          <w:color w:val="auto"/>
        </w:rPr>
        <w:t xml:space="preserve"> </w:t>
      </w:r>
      <w:r w:rsidRPr="009A0EAF">
        <w:rPr>
          <w:rStyle w:val="Hyperlink7"/>
          <w:rFonts w:eastAsia="Helvetica Neue"/>
          <w:color w:val="auto"/>
        </w:rPr>
        <w:t>(2022) 523 final</w:t>
      </w:r>
      <w:r w:rsidR="000300F7" w:rsidRPr="009A0EAF">
        <w:rPr>
          <w:rStyle w:val="Hyperlink7"/>
          <w:rFonts w:eastAsia="Helvetica Neue"/>
          <w:color w:val="auto"/>
        </w:rPr>
        <w:t>.</w:t>
      </w:r>
    </w:p>
  </w:footnote>
  <w:footnote w:id="135">
    <w:p w14:paraId="6C8D75C8"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Emphasis added.</w:t>
      </w:r>
    </w:p>
  </w:footnote>
  <w:footnote w:id="136">
    <w:p w14:paraId="09EC79DD"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Non-paper from the European Commission on next steps as regards the EU, Euratom and Member States’ membership in the Energy Charter Treaty, Retrieved from: </w:t>
      </w:r>
      <w:hyperlink r:id="rId28" w:history="1">
        <w:r w:rsidRPr="009A0EAF">
          <w:rPr>
            <w:rStyle w:val="Hyperlink3"/>
            <w:rFonts w:eastAsia="Helvetica Neue"/>
            <w:color w:val="auto"/>
            <w:u w:val="none"/>
          </w:rPr>
          <w:t>https://www.euractiv.com/wp-content/uploads/sites/2/2023/02/Non-paper_ECT_nextsteps.pdf</w:t>
        </w:r>
      </w:hyperlink>
      <w:r w:rsidRPr="009A0EAF">
        <w:rPr>
          <w:rStyle w:val="Hyperlink7"/>
          <w:rFonts w:eastAsia="Helvetica Neue"/>
          <w:color w:val="auto"/>
        </w:rPr>
        <w:t xml:space="preserve"> </w:t>
      </w:r>
    </w:p>
  </w:footnote>
  <w:footnote w:id="137">
    <w:p w14:paraId="500BBEAB"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 3.</w:t>
      </w:r>
    </w:p>
  </w:footnote>
  <w:footnote w:id="138">
    <w:p w14:paraId="6D9E867A"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w:t>
      </w:r>
    </w:p>
  </w:footnote>
  <w:footnote w:id="139">
    <w:p w14:paraId="7599E6C9"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 4.</w:t>
      </w:r>
    </w:p>
  </w:footnote>
  <w:footnote w:id="140">
    <w:p w14:paraId="2C379F96"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See also Regulation (EU) No 1219/2012 of the European Parliament and of the Council of 12 December 2012 establishing transitional arrangements for bilateral investment agreements between Member States and third countries, OJ L 351, 20.12.2012, p. 40.</w:t>
      </w:r>
    </w:p>
  </w:footnote>
  <w:footnote w:id="141">
    <w:p w14:paraId="6CF20CFD"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Article 194 of the TFEU deals with Union policy on energy while Article 207 of the TFEU addresses the Union’s common commercial policy.</w:t>
      </w:r>
    </w:p>
  </w:footnote>
  <w:footnote w:id="142">
    <w:p w14:paraId="0465CA3C" w14:textId="43E95E16"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lang w:val="es-ES"/>
        </w:rPr>
        <w:t xml:space="preserve"> Suez, Sociedad General de Aguas de Barcelona S.A., and InterAgua Servicios Integrales del Agua S.A. (Claimants) and </w:t>
      </w:r>
      <w:r w:rsidR="00164D7E" w:rsidRPr="009A0EAF">
        <w:rPr>
          <w:rStyle w:val="Hyperlink7"/>
          <w:rFonts w:eastAsia="Helvetica Neue"/>
          <w:color w:val="auto"/>
          <w:lang w:val="es-ES"/>
        </w:rPr>
        <w:t>the</w:t>
      </w:r>
      <w:r w:rsidRPr="009A0EAF">
        <w:rPr>
          <w:rStyle w:val="Hyperlink7"/>
          <w:rFonts w:eastAsia="Helvetica Neue"/>
          <w:color w:val="auto"/>
          <w:lang w:val="es-ES"/>
        </w:rPr>
        <w:t xml:space="preserve"> Argentine Republic (Respondent) (ICSID Case No. </w:t>
      </w:r>
      <w:r w:rsidRPr="009A0EAF">
        <w:rPr>
          <w:rStyle w:val="Hyperlink7"/>
          <w:rFonts w:eastAsia="Helvetica Neue"/>
          <w:color w:val="auto"/>
        </w:rPr>
        <w:t>ARB/03/17), Decision on Liability.</w:t>
      </w:r>
    </w:p>
  </w:footnote>
  <w:footnote w:id="143">
    <w:p w14:paraId="500C1B11"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para 183.</w:t>
      </w:r>
    </w:p>
  </w:footnote>
  <w:footnote w:id="144">
    <w:p w14:paraId="7B7728A6"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w:t>
      </w:r>
    </w:p>
  </w:footnote>
  <w:footnote w:id="145">
    <w:p w14:paraId="255F6177"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w:t>
      </w:r>
    </w:p>
  </w:footnote>
  <w:footnote w:id="146">
    <w:p w14:paraId="29EE5295" w14:textId="41A09C0C" w:rsidR="00623EE0" w:rsidRPr="009A0EAF" w:rsidRDefault="00623EE0" w:rsidP="004A4F9B">
      <w:pPr>
        <w:pStyle w:val="NormalWeb"/>
        <w:spacing w:before="0" w:beforeAutospacing="0" w:after="0" w:afterAutospacing="0"/>
        <w:jc w:val="both"/>
        <w:rPr>
          <w:sz w:val="20"/>
          <w:szCs w:val="20"/>
        </w:rPr>
      </w:pPr>
      <w:r w:rsidRPr="009A0EAF">
        <w:rPr>
          <w:rStyle w:val="FootnoteReference"/>
          <w:sz w:val="20"/>
          <w:szCs w:val="20"/>
        </w:rPr>
        <w:footnoteRef/>
      </w:r>
      <w:r w:rsidRPr="009A0EAF">
        <w:rPr>
          <w:sz w:val="20"/>
          <w:szCs w:val="20"/>
        </w:rPr>
        <w:t xml:space="preserve"> On the creation of legitimate expectations by the European Commission’s guidelines on antitrust, see Joined Cases C-189/02</w:t>
      </w:r>
      <w:r w:rsidR="0064325D" w:rsidRPr="009A0EAF">
        <w:rPr>
          <w:sz w:val="20"/>
          <w:szCs w:val="20"/>
        </w:rPr>
        <w:t xml:space="preserve"> P</w:t>
      </w:r>
      <w:r w:rsidRPr="009A0EAF">
        <w:rPr>
          <w:sz w:val="20"/>
          <w:szCs w:val="20"/>
        </w:rPr>
        <w:t>, C-</w:t>
      </w:r>
      <w:r w:rsidR="0064325D" w:rsidRPr="009A0EAF">
        <w:rPr>
          <w:sz w:val="20"/>
          <w:szCs w:val="20"/>
        </w:rPr>
        <w:t>202/02 P, C-205/02 P, C-208-02 P, C-213/02 P, Dansk Rørindustri A/S and others v. Commission</w:t>
      </w:r>
      <w:r w:rsidR="001A326E" w:rsidRPr="009A0EAF">
        <w:rPr>
          <w:sz w:val="20"/>
          <w:szCs w:val="20"/>
        </w:rPr>
        <w:t>, para 211.</w:t>
      </w:r>
    </w:p>
  </w:footnote>
  <w:footnote w:id="147">
    <w:p w14:paraId="572AE121" w14:textId="51F6878C"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Crystallex International Corporation v. Bolivarian Republic of Venezuela, ICSID Case No. ARB(AF)/11/2, Award</w:t>
      </w:r>
      <w:r w:rsidR="00B90FC9" w:rsidRPr="009A0EAF">
        <w:rPr>
          <w:rStyle w:val="Hyperlink7"/>
          <w:rFonts w:eastAsia="Helvetica Neue"/>
          <w:color w:val="auto"/>
        </w:rPr>
        <w:t>.</w:t>
      </w:r>
      <w:r w:rsidRPr="009A0EAF">
        <w:rPr>
          <w:rStyle w:val="Hyperlink7"/>
          <w:rFonts w:eastAsia="Helvetica Neue"/>
          <w:color w:val="auto"/>
        </w:rPr>
        <w:t xml:space="preserve"> </w:t>
      </w:r>
    </w:p>
  </w:footnote>
  <w:footnote w:id="148">
    <w:p w14:paraId="230B9318"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para 487. Emphasis added. </w:t>
      </w:r>
    </w:p>
  </w:footnote>
  <w:footnote w:id="149">
    <w:p w14:paraId="0E16CCF9"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para 553.</w:t>
      </w:r>
    </w:p>
  </w:footnote>
  <w:footnote w:id="150">
    <w:p w14:paraId="1BC22A5A"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para 562. </w:t>
      </w:r>
    </w:p>
  </w:footnote>
  <w:footnote w:id="151">
    <w:p w14:paraId="02DF7386"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Leinarte, E. (2021), Functional Responsibility of International Organisations, The European Union and International Economic Law, Cambridge University Press, at 7.</w:t>
      </w:r>
    </w:p>
  </w:footnote>
  <w:footnote w:id="152">
    <w:p w14:paraId="515F9154"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at 5. Emphasis added.</w:t>
      </w:r>
    </w:p>
  </w:footnote>
  <w:footnote w:id="153">
    <w:p w14:paraId="5A571F74"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at 7.</w:t>
      </w:r>
    </w:p>
  </w:footnote>
  <w:footnote w:id="154">
    <w:p w14:paraId="5B5E911C"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Delgado Casteleiro, A. (2016), The International Responsibility of the European Union, From Competence to Normative Control, Cambridge University Press, at 197.</w:t>
      </w:r>
    </w:p>
  </w:footnote>
  <w:footnote w:id="155">
    <w:p w14:paraId="5756B831" w14:textId="271FE3D8" w:rsidR="00416E9F" w:rsidRPr="009A0EAF" w:rsidRDefault="00416E9F" w:rsidP="00F85D6C">
      <w:pPr>
        <w:pStyle w:val="FootnoteText"/>
        <w:jc w:val="both"/>
      </w:pPr>
      <w:r w:rsidRPr="009A0EAF">
        <w:rPr>
          <w:rStyle w:val="FootnoteReference"/>
        </w:rPr>
        <w:footnoteRef/>
      </w:r>
      <w:r w:rsidRPr="009A0EAF">
        <w:t xml:space="preserve"> See </w:t>
      </w:r>
      <w:r w:rsidRPr="009A0EAF">
        <w:rPr>
          <w:i/>
          <w:iCs/>
        </w:rPr>
        <w:t>supra</w:t>
      </w:r>
      <w:r w:rsidRPr="009A0EAF">
        <w:t xml:space="preserve"> </w:t>
      </w:r>
      <w:r w:rsidR="00E32B40" w:rsidRPr="009A0EAF">
        <w:t xml:space="preserve">p. </w:t>
      </w:r>
      <w:r w:rsidR="00FD7CA6" w:rsidRPr="009A0EAF">
        <w:t xml:space="preserve">4 </w:t>
      </w:r>
      <w:r w:rsidRPr="009A0EAF">
        <w:t xml:space="preserve">for references to the </w:t>
      </w:r>
      <w:r w:rsidRPr="009A0EAF">
        <w:rPr>
          <w:i/>
          <w:iCs/>
        </w:rPr>
        <w:t>Achmea</w:t>
      </w:r>
      <w:r w:rsidRPr="009A0EAF">
        <w:t xml:space="preserve">, </w:t>
      </w:r>
      <w:r w:rsidRPr="009A0EAF">
        <w:rPr>
          <w:i/>
          <w:iCs/>
        </w:rPr>
        <w:t>Komstroy</w:t>
      </w:r>
      <w:r w:rsidRPr="009A0EAF">
        <w:t xml:space="preserve"> and </w:t>
      </w:r>
      <w:r w:rsidRPr="009A0EAF">
        <w:rPr>
          <w:i/>
          <w:iCs/>
        </w:rPr>
        <w:t>Micula</w:t>
      </w:r>
      <w:r w:rsidRPr="009A0EAF">
        <w:t xml:space="preserve"> cases.</w:t>
      </w:r>
    </w:p>
  </w:footnote>
  <w:footnote w:id="156">
    <w:p w14:paraId="55F1D58F" w14:textId="5057B6CF"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lang w:val="pt-PT"/>
        </w:rPr>
        <w:t xml:space="preserve"> See Novenergia v Spain, </w:t>
      </w:r>
      <w:r w:rsidRPr="009A0EAF">
        <w:rPr>
          <w:rStyle w:val="None"/>
          <w:rFonts w:ascii="Times New Roman" w:hAnsi="Times New Roman" w:cs="Times New Roman"/>
          <w:i/>
          <w:iCs/>
          <w:color w:val="auto"/>
          <w:sz w:val="20"/>
          <w:szCs w:val="20"/>
          <w:lang w:val="pt-PT"/>
        </w:rPr>
        <w:t>supra</w:t>
      </w:r>
      <w:r w:rsidRPr="009A0EAF">
        <w:rPr>
          <w:rStyle w:val="Hyperlink7"/>
          <w:rFonts w:eastAsia="Helvetica Neue"/>
          <w:color w:val="auto"/>
          <w:lang w:val="pt-PT"/>
        </w:rPr>
        <w:t xml:space="preserve"> note </w:t>
      </w:r>
      <w:r w:rsidR="00E8295A" w:rsidRPr="009A0EAF">
        <w:rPr>
          <w:rStyle w:val="Hyperlink7"/>
          <w:rFonts w:eastAsia="Helvetica Neue"/>
          <w:color w:val="auto"/>
          <w:lang w:val="pt-PT"/>
        </w:rPr>
        <w:t>73</w:t>
      </w:r>
      <w:r w:rsidRPr="009A0EAF">
        <w:rPr>
          <w:rStyle w:val="Hyperlink7"/>
          <w:rFonts w:eastAsia="Helvetica Neue"/>
          <w:color w:val="auto"/>
          <w:lang w:val="pt-PT"/>
        </w:rPr>
        <w:t xml:space="preserve">, para 465. </w:t>
      </w:r>
      <w:r w:rsidRPr="009A0EAF">
        <w:rPr>
          <w:rStyle w:val="Hyperlink7"/>
          <w:rFonts w:eastAsia="Helvetica Neue"/>
          <w:color w:val="auto"/>
        </w:rPr>
        <w:t>Emphasis added.</w:t>
      </w:r>
    </w:p>
  </w:footnote>
  <w:footnote w:id="157">
    <w:p w14:paraId="399AA87D"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para 303.</w:t>
      </w:r>
    </w:p>
  </w:footnote>
  <w:footnote w:id="158">
    <w:p w14:paraId="7D3E9F92" w14:textId="5FD7695E"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See Delgado Casteleiro, A., </w:t>
      </w:r>
      <w:r w:rsidRPr="009A0EAF">
        <w:rPr>
          <w:rStyle w:val="None"/>
          <w:rFonts w:ascii="Times New Roman" w:hAnsi="Times New Roman" w:cs="Times New Roman"/>
          <w:i/>
          <w:iCs/>
          <w:color w:val="auto"/>
          <w:sz w:val="20"/>
          <w:szCs w:val="20"/>
        </w:rPr>
        <w:t>supra</w:t>
      </w:r>
      <w:r w:rsidRPr="009A0EAF">
        <w:rPr>
          <w:rStyle w:val="Hyperlink7"/>
          <w:rFonts w:eastAsia="Helvetica Neue"/>
          <w:color w:val="auto"/>
        </w:rPr>
        <w:t xml:space="preserve"> note </w:t>
      </w:r>
      <w:r w:rsidR="00E8295A" w:rsidRPr="009A0EAF">
        <w:rPr>
          <w:rStyle w:val="Hyperlink7"/>
          <w:rFonts w:eastAsia="Helvetica Neue"/>
          <w:color w:val="auto"/>
        </w:rPr>
        <w:t>153</w:t>
      </w:r>
      <w:r w:rsidRPr="009A0EAF">
        <w:rPr>
          <w:rStyle w:val="Hyperlink7"/>
          <w:rFonts w:eastAsia="Helvetica Neue"/>
          <w:color w:val="auto"/>
        </w:rPr>
        <w:t>, at 201.</w:t>
      </w:r>
    </w:p>
  </w:footnote>
  <w:footnote w:id="159">
    <w:p w14:paraId="667C8DE9"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Switzerland is a Contracting Party to the ECT and has reported that it does not intend to follow the EU in its decision to withdraw from the ECT. See Lo, J (2023), Switzerland says won’t follow EU out of beleaguered Energy Charter Treaty, Retrieved from: </w:t>
      </w:r>
      <w:hyperlink r:id="rId29" w:history="1">
        <w:r w:rsidRPr="009A0EAF">
          <w:rPr>
            <w:rStyle w:val="Hyperlink3"/>
            <w:rFonts w:eastAsia="Helvetica Neue"/>
            <w:color w:val="auto"/>
            <w:u w:val="none"/>
          </w:rPr>
          <w:t>https://www.euractiv.com/section/energy/news/switzerland-says-wont-follow-eu-out-of-beleaguered-energy-charter-treaty/</w:t>
        </w:r>
      </w:hyperlink>
      <w:r w:rsidRPr="009A0EAF">
        <w:rPr>
          <w:rStyle w:val="Hyperlink7"/>
          <w:rFonts w:eastAsia="Helvetica Neue"/>
          <w:color w:val="auto"/>
        </w:rPr>
        <w:t xml:space="preserve"> </w:t>
      </w:r>
    </w:p>
  </w:footnote>
  <w:footnote w:id="160">
    <w:p w14:paraId="535D16CF"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Nord Stream 2 AG v. European Union (PCA Case No. 2020-07) 2019, Retrieved from: </w:t>
      </w:r>
      <w:hyperlink r:id="rId30" w:history="1">
        <w:r w:rsidRPr="009A0EAF">
          <w:rPr>
            <w:rStyle w:val="Hyperlink3"/>
            <w:rFonts w:eastAsia="Helvetica Neue"/>
            <w:color w:val="auto"/>
            <w:u w:val="none"/>
          </w:rPr>
          <w:t>https://pca-cpa.org/en/cases/239/</w:t>
        </w:r>
      </w:hyperlink>
      <w:r w:rsidRPr="009A0EAF">
        <w:rPr>
          <w:rStyle w:val="Hyperlink7"/>
          <w:rFonts w:eastAsia="Helvetica Neue"/>
          <w:color w:val="auto"/>
        </w:rPr>
        <w:t xml:space="preserve"> </w:t>
      </w:r>
    </w:p>
  </w:footnote>
  <w:footnote w:id="161">
    <w:p w14:paraId="3540E402"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Directive (EU) 2019/692 of the European Parliament and of the Council of 17 April 2019 amending Directive 2009/73/EC concerning common rules for the internal market in natural gas.</w:t>
      </w:r>
    </w:p>
  </w:footnote>
  <w:footnote w:id="162">
    <w:p w14:paraId="1577EE48"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Nord Stream 2 AG and the European Union, Notice of Arbitration, 26 September 2019, Retrieved from: </w:t>
      </w:r>
      <w:hyperlink r:id="rId31" w:history="1">
        <w:r w:rsidRPr="009A0EAF">
          <w:rPr>
            <w:rStyle w:val="Hyperlink3"/>
            <w:rFonts w:eastAsia="Helvetica Neue"/>
            <w:color w:val="auto"/>
            <w:u w:val="none"/>
          </w:rPr>
          <w:t>https://www.italaw.com/sites/default/files/case-documents/italaw11519.pdf</w:t>
        </w:r>
      </w:hyperlink>
      <w:r w:rsidRPr="009A0EAF">
        <w:rPr>
          <w:rStyle w:val="Hyperlink7"/>
          <w:rFonts w:eastAsia="Helvetica Neue"/>
          <w:color w:val="auto"/>
        </w:rPr>
        <w:t>, paras 36-41.</w:t>
      </w:r>
    </w:p>
  </w:footnote>
  <w:footnote w:id="163">
    <w:p w14:paraId="34FCF38F" w14:textId="6CFF8689"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See Directive (EU) 2019/692 </w:t>
      </w:r>
      <w:r w:rsidRPr="009A0EAF">
        <w:rPr>
          <w:rStyle w:val="Hyperlink7"/>
          <w:rFonts w:eastAsia="Helvetica Neue"/>
          <w:i/>
          <w:iCs/>
          <w:color w:val="auto"/>
        </w:rPr>
        <w:t>supra</w:t>
      </w:r>
      <w:r w:rsidRPr="009A0EAF">
        <w:rPr>
          <w:rStyle w:val="Hyperlink7"/>
          <w:rFonts w:eastAsia="Helvetica Neue"/>
          <w:color w:val="auto"/>
        </w:rPr>
        <w:t xml:space="preserve"> note </w:t>
      </w:r>
      <w:r w:rsidR="00467C97" w:rsidRPr="009A0EAF">
        <w:rPr>
          <w:rStyle w:val="Hyperlink7"/>
          <w:rFonts w:eastAsia="Helvetica Neue"/>
          <w:color w:val="auto"/>
        </w:rPr>
        <w:t xml:space="preserve">160, </w:t>
      </w:r>
      <w:r w:rsidRPr="009A0EAF">
        <w:rPr>
          <w:rStyle w:val="Hyperlink7"/>
          <w:rFonts w:eastAsia="Helvetica Neue"/>
          <w:color w:val="auto"/>
        </w:rPr>
        <w:t>Articles 36 and 49a respectively</w:t>
      </w:r>
      <w:r w:rsidR="00467C97" w:rsidRPr="009A0EAF">
        <w:rPr>
          <w:rStyle w:val="Hyperlink7"/>
          <w:rFonts w:eastAsia="Helvetica Neue"/>
          <w:color w:val="auto"/>
        </w:rPr>
        <w:t>.</w:t>
      </w:r>
    </w:p>
  </w:footnote>
  <w:footnote w:id="164">
    <w:p w14:paraId="67187FA7" w14:textId="42C3B33A"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See Notice of Arbitration, </w:t>
      </w:r>
      <w:r w:rsidRPr="009A0EAF">
        <w:rPr>
          <w:rStyle w:val="None"/>
          <w:rFonts w:ascii="Times New Roman" w:hAnsi="Times New Roman" w:cs="Times New Roman"/>
          <w:i/>
          <w:iCs/>
          <w:color w:val="auto"/>
          <w:sz w:val="20"/>
          <w:szCs w:val="20"/>
        </w:rPr>
        <w:t>supra</w:t>
      </w:r>
      <w:r w:rsidRPr="009A0EAF">
        <w:rPr>
          <w:rStyle w:val="Hyperlink7"/>
          <w:rFonts w:eastAsia="Helvetica Neue"/>
          <w:color w:val="auto"/>
        </w:rPr>
        <w:t xml:space="preserve"> note </w:t>
      </w:r>
      <w:r w:rsidR="00467C97" w:rsidRPr="009A0EAF">
        <w:rPr>
          <w:rStyle w:val="Hyperlink7"/>
          <w:rFonts w:eastAsia="Helvetica Neue"/>
          <w:color w:val="auto"/>
        </w:rPr>
        <w:t>161</w:t>
      </w:r>
      <w:r w:rsidRPr="009A0EAF">
        <w:rPr>
          <w:rStyle w:val="Hyperlink7"/>
          <w:rFonts w:eastAsia="Helvetica Neue"/>
          <w:color w:val="auto"/>
        </w:rPr>
        <w:t>, para 44.</w:t>
      </w:r>
    </w:p>
  </w:footnote>
  <w:footnote w:id="165">
    <w:p w14:paraId="31E6072E"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para 46.</w:t>
      </w:r>
    </w:p>
  </w:footnote>
  <w:footnote w:id="166">
    <w:p w14:paraId="60AE3D8F" w14:textId="77777777" w:rsidR="006675B0" w:rsidRPr="009A0EAF" w:rsidRDefault="006675B0" w:rsidP="00F85D6C">
      <w:pPr>
        <w:pStyle w:val="Footnote"/>
        <w:jc w:val="both"/>
        <w:rPr>
          <w:rFonts w:ascii="Times New Roman" w:hAnsi="Times New Roman" w:cs="Times New Roman"/>
          <w:color w:val="auto"/>
          <w:sz w:val="20"/>
          <w:szCs w:val="20"/>
        </w:rPr>
      </w:pPr>
      <w:r w:rsidRPr="009A0EAF">
        <w:rPr>
          <w:rStyle w:val="None"/>
          <w:rFonts w:ascii="Times New Roman" w:eastAsia="Times New Roman" w:hAnsi="Times New Roman" w:cs="Times New Roman"/>
          <w:color w:val="auto"/>
          <w:sz w:val="20"/>
          <w:szCs w:val="20"/>
          <w:vertAlign w:val="superscript"/>
        </w:rPr>
        <w:footnoteRef/>
      </w:r>
      <w:r w:rsidRPr="009A0EAF">
        <w:rPr>
          <w:rStyle w:val="Hyperlink7"/>
          <w:rFonts w:eastAsia="Helvetica Neue"/>
          <w:color w:val="auto"/>
        </w:rPr>
        <w:t xml:space="preserve"> Ibid, para 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3904"/>
    <w:multiLevelType w:val="hybridMultilevel"/>
    <w:tmpl w:val="F5EE3502"/>
    <w:styleLink w:val="Numbered"/>
    <w:lvl w:ilvl="0" w:tplc="09C4E868">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6ED42C38">
      <w:start w:val="1"/>
      <w:numFmt w:val="decimal"/>
      <w:lvlText w:val="%2."/>
      <w:lvlJc w:val="left"/>
      <w:pPr>
        <w:ind w:left="107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CDD63104">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F00E6B2">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F02A1C78">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98F8025E">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0DC48B18">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7AEAE990">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C938E5DA">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8738F2"/>
    <w:multiLevelType w:val="hybridMultilevel"/>
    <w:tmpl w:val="F5EE3502"/>
    <w:numStyleLink w:val="Numbered"/>
  </w:abstractNum>
  <w:num w:numId="1" w16cid:durableId="1088892848">
    <w:abstractNumId w:val="0"/>
  </w:num>
  <w:num w:numId="2" w16cid:durableId="36367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B0"/>
    <w:rsid w:val="000166CC"/>
    <w:rsid w:val="00023712"/>
    <w:rsid w:val="000300F7"/>
    <w:rsid w:val="000B7B4B"/>
    <w:rsid w:val="000D483F"/>
    <w:rsid w:val="000F05CE"/>
    <w:rsid w:val="000F21B7"/>
    <w:rsid w:val="001403D1"/>
    <w:rsid w:val="00143ED0"/>
    <w:rsid w:val="001532ED"/>
    <w:rsid w:val="00160529"/>
    <w:rsid w:val="00164D7E"/>
    <w:rsid w:val="00172564"/>
    <w:rsid w:val="00175A31"/>
    <w:rsid w:val="00184EE2"/>
    <w:rsid w:val="00195117"/>
    <w:rsid w:val="001A326E"/>
    <w:rsid w:val="001A49FC"/>
    <w:rsid w:val="001B702F"/>
    <w:rsid w:val="001C366D"/>
    <w:rsid w:val="001E0058"/>
    <w:rsid w:val="00210C9A"/>
    <w:rsid w:val="002660D3"/>
    <w:rsid w:val="002D79D3"/>
    <w:rsid w:val="00331C1D"/>
    <w:rsid w:val="003336BD"/>
    <w:rsid w:val="003460C0"/>
    <w:rsid w:val="0038668F"/>
    <w:rsid w:val="00395D9B"/>
    <w:rsid w:val="003A2A34"/>
    <w:rsid w:val="003D3E8A"/>
    <w:rsid w:val="00416E9F"/>
    <w:rsid w:val="00452827"/>
    <w:rsid w:val="00467C97"/>
    <w:rsid w:val="004A4DB3"/>
    <w:rsid w:val="004A4F9B"/>
    <w:rsid w:val="004F027D"/>
    <w:rsid w:val="004F47A0"/>
    <w:rsid w:val="00506893"/>
    <w:rsid w:val="00515F34"/>
    <w:rsid w:val="005340D2"/>
    <w:rsid w:val="00573714"/>
    <w:rsid w:val="00576A84"/>
    <w:rsid w:val="005D16F2"/>
    <w:rsid w:val="005D3741"/>
    <w:rsid w:val="00623EE0"/>
    <w:rsid w:val="00633807"/>
    <w:rsid w:val="0063762F"/>
    <w:rsid w:val="0064325D"/>
    <w:rsid w:val="006675B0"/>
    <w:rsid w:val="00694D76"/>
    <w:rsid w:val="006E1AF4"/>
    <w:rsid w:val="006F01C1"/>
    <w:rsid w:val="006F3707"/>
    <w:rsid w:val="0078079C"/>
    <w:rsid w:val="00786B00"/>
    <w:rsid w:val="00787216"/>
    <w:rsid w:val="00793E31"/>
    <w:rsid w:val="007A06D8"/>
    <w:rsid w:val="00803289"/>
    <w:rsid w:val="00827927"/>
    <w:rsid w:val="00864BBE"/>
    <w:rsid w:val="00890CD9"/>
    <w:rsid w:val="008A0607"/>
    <w:rsid w:val="008B0F30"/>
    <w:rsid w:val="008C0082"/>
    <w:rsid w:val="009235DC"/>
    <w:rsid w:val="00924AF5"/>
    <w:rsid w:val="00932171"/>
    <w:rsid w:val="00941FD7"/>
    <w:rsid w:val="009709A4"/>
    <w:rsid w:val="009A0EAF"/>
    <w:rsid w:val="009A421B"/>
    <w:rsid w:val="009A508A"/>
    <w:rsid w:val="009A543E"/>
    <w:rsid w:val="009B3433"/>
    <w:rsid w:val="009F085C"/>
    <w:rsid w:val="00A41EC3"/>
    <w:rsid w:val="00A60D53"/>
    <w:rsid w:val="00A96647"/>
    <w:rsid w:val="00AB3077"/>
    <w:rsid w:val="00AD3E50"/>
    <w:rsid w:val="00AE7E35"/>
    <w:rsid w:val="00AF4853"/>
    <w:rsid w:val="00B1593E"/>
    <w:rsid w:val="00B31F60"/>
    <w:rsid w:val="00B535D4"/>
    <w:rsid w:val="00B70628"/>
    <w:rsid w:val="00B90FC9"/>
    <w:rsid w:val="00B937CC"/>
    <w:rsid w:val="00BE448B"/>
    <w:rsid w:val="00C34BA2"/>
    <w:rsid w:val="00C575C7"/>
    <w:rsid w:val="00C72831"/>
    <w:rsid w:val="00C800AB"/>
    <w:rsid w:val="00C80F94"/>
    <w:rsid w:val="00CB7235"/>
    <w:rsid w:val="00CC0B70"/>
    <w:rsid w:val="00CE3D77"/>
    <w:rsid w:val="00CE7D53"/>
    <w:rsid w:val="00CF5637"/>
    <w:rsid w:val="00D10E01"/>
    <w:rsid w:val="00D37108"/>
    <w:rsid w:val="00D447E3"/>
    <w:rsid w:val="00D44D9B"/>
    <w:rsid w:val="00D4741A"/>
    <w:rsid w:val="00DE076D"/>
    <w:rsid w:val="00DE6C7A"/>
    <w:rsid w:val="00E32B40"/>
    <w:rsid w:val="00E51859"/>
    <w:rsid w:val="00E576B7"/>
    <w:rsid w:val="00E65B23"/>
    <w:rsid w:val="00E71EF2"/>
    <w:rsid w:val="00E8295A"/>
    <w:rsid w:val="00E9413C"/>
    <w:rsid w:val="00EE014E"/>
    <w:rsid w:val="00F85D6C"/>
    <w:rsid w:val="00FC0F58"/>
    <w:rsid w:val="00FD7CA6"/>
    <w:rsid w:val="00FF6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3752"/>
  <w15:chartTrackingRefBased/>
  <w15:docId w15:val="{FD4B2109-DBDC-5642-9F1D-317A6A5E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5B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autoRedefine/>
    <w:uiPriority w:val="9"/>
    <w:qFormat/>
    <w:rsid w:val="005D3741"/>
    <w:pPr>
      <w:keepNext/>
      <w:keepLines/>
      <w:spacing w:before="100" w:beforeAutospacing="1" w:after="100" w:afterAutospacing="1"/>
      <w:jc w:val="both"/>
      <w:outlineLvl w:val="0"/>
    </w:pPr>
    <w:rPr>
      <w:rFonts w:eastAsiaTheme="majorEastAsia" w:cstheme="majorBidi"/>
      <w:b/>
      <w:sz w:val="28"/>
      <w:szCs w:val="40"/>
    </w:rPr>
  </w:style>
  <w:style w:type="paragraph" w:styleId="Heading2">
    <w:name w:val="heading 2"/>
    <w:basedOn w:val="Normal"/>
    <w:next w:val="Normal"/>
    <w:link w:val="Heading2Char"/>
    <w:autoRedefine/>
    <w:uiPriority w:val="9"/>
    <w:unhideWhenUsed/>
    <w:qFormat/>
    <w:rsid w:val="00B937CC"/>
    <w:pPr>
      <w:keepNext/>
      <w:keepLines/>
      <w:spacing w:before="100" w:beforeAutospacing="1" w:after="100" w:afterAutospacing="1"/>
      <w:jc w:val="both"/>
      <w:outlineLvl w:val="1"/>
    </w:pPr>
    <w:rPr>
      <w:rFonts w:eastAsiaTheme="majorEastAsia" w:cstheme="majorBidi"/>
      <w:i/>
      <w:sz w:val="26"/>
      <w:szCs w:val="32"/>
    </w:rPr>
  </w:style>
  <w:style w:type="paragraph" w:styleId="Heading3">
    <w:name w:val="heading 3"/>
    <w:basedOn w:val="Normal"/>
    <w:next w:val="Normal"/>
    <w:link w:val="Heading3Char"/>
    <w:uiPriority w:val="9"/>
    <w:semiHidden/>
    <w:unhideWhenUsed/>
    <w:qFormat/>
    <w:rsid w:val="00667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5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5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5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5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741"/>
    <w:rPr>
      <w:rFonts w:ascii="Times New Roman" w:eastAsiaTheme="majorEastAsia" w:hAnsi="Times New Roman" w:cstheme="majorBidi"/>
      <w:b/>
      <w:kern w:val="0"/>
      <w:sz w:val="28"/>
      <w:szCs w:val="40"/>
      <w:bdr w:val="nil"/>
      <w:lang w:val="en-US"/>
      <w14:ligatures w14:val="none"/>
    </w:rPr>
  </w:style>
  <w:style w:type="character" w:customStyle="1" w:styleId="Heading2Char">
    <w:name w:val="Heading 2 Char"/>
    <w:basedOn w:val="DefaultParagraphFont"/>
    <w:link w:val="Heading2"/>
    <w:uiPriority w:val="9"/>
    <w:rsid w:val="00B937CC"/>
    <w:rPr>
      <w:rFonts w:ascii="Times New Roman" w:eastAsiaTheme="majorEastAsia" w:hAnsi="Times New Roman" w:cstheme="majorBidi"/>
      <w:i/>
      <w:kern w:val="0"/>
      <w:sz w:val="26"/>
      <w:szCs w:val="32"/>
      <w:bdr w:val="nil"/>
      <w:lang w:val="en-US"/>
      <w14:ligatures w14:val="none"/>
    </w:rPr>
  </w:style>
  <w:style w:type="character" w:customStyle="1" w:styleId="Heading3Char">
    <w:name w:val="Heading 3 Char"/>
    <w:basedOn w:val="DefaultParagraphFont"/>
    <w:link w:val="Heading3"/>
    <w:uiPriority w:val="9"/>
    <w:semiHidden/>
    <w:rsid w:val="00667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5B0"/>
    <w:rPr>
      <w:rFonts w:eastAsiaTheme="majorEastAsia" w:cstheme="majorBidi"/>
      <w:color w:val="272727" w:themeColor="text1" w:themeTint="D8"/>
    </w:rPr>
  </w:style>
  <w:style w:type="paragraph" w:styleId="Title">
    <w:name w:val="Title"/>
    <w:basedOn w:val="Normal"/>
    <w:next w:val="Normal"/>
    <w:link w:val="TitleChar"/>
    <w:uiPriority w:val="10"/>
    <w:qFormat/>
    <w:rsid w:val="006675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5B0"/>
    <w:pPr>
      <w:spacing w:before="160"/>
      <w:jc w:val="center"/>
    </w:pPr>
    <w:rPr>
      <w:i/>
      <w:iCs/>
      <w:color w:val="404040" w:themeColor="text1" w:themeTint="BF"/>
    </w:rPr>
  </w:style>
  <w:style w:type="character" w:customStyle="1" w:styleId="QuoteChar">
    <w:name w:val="Quote Char"/>
    <w:basedOn w:val="DefaultParagraphFont"/>
    <w:link w:val="Quote"/>
    <w:uiPriority w:val="29"/>
    <w:rsid w:val="006675B0"/>
    <w:rPr>
      <w:i/>
      <w:iCs/>
      <w:color w:val="404040" w:themeColor="text1" w:themeTint="BF"/>
    </w:rPr>
  </w:style>
  <w:style w:type="paragraph" w:styleId="ListParagraph">
    <w:name w:val="List Paragraph"/>
    <w:basedOn w:val="Normal"/>
    <w:uiPriority w:val="34"/>
    <w:qFormat/>
    <w:rsid w:val="006675B0"/>
    <w:pPr>
      <w:ind w:left="720"/>
      <w:contextualSpacing/>
    </w:pPr>
  </w:style>
  <w:style w:type="character" w:styleId="IntenseEmphasis">
    <w:name w:val="Intense Emphasis"/>
    <w:basedOn w:val="DefaultParagraphFont"/>
    <w:uiPriority w:val="21"/>
    <w:qFormat/>
    <w:rsid w:val="006675B0"/>
    <w:rPr>
      <w:i/>
      <w:iCs/>
      <w:color w:val="0F4761" w:themeColor="accent1" w:themeShade="BF"/>
    </w:rPr>
  </w:style>
  <w:style w:type="paragraph" w:styleId="IntenseQuote">
    <w:name w:val="Intense Quote"/>
    <w:basedOn w:val="Normal"/>
    <w:next w:val="Normal"/>
    <w:link w:val="IntenseQuoteChar"/>
    <w:uiPriority w:val="30"/>
    <w:qFormat/>
    <w:rsid w:val="00667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5B0"/>
    <w:rPr>
      <w:i/>
      <w:iCs/>
      <w:color w:val="0F4761" w:themeColor="accent1" w:themeShade="BF"/>
    </w:rPr>
  </w:style>
  <w:style w:type="character" w:styleId="IntenseReference">
    <w:name w:val="Intense Reference"/>
    <w:basedOn w:val="DefaultParagraphFont"/>
    <w:uiPriority w:val="32"/>
    <w:qFormat/>
    <w:rsid w:val="006675B0"/>
    <w:rPr>
      <w:b/>
      <w:bCs/>
      <w:smallCaps/>
      <w:color w:val="0F4761" w:themeColor="accent1" w:themeShade="BF"/>
      <w:spacing w:val="5"/>
    </w:rPr>
  </w:style>
  <w:style w:type="character" w:styleId="Hyperlink">
    <w:name w:val="Hyperlink"/>
    <w:rsid w:val="006675B0"/>
    <w:rPr>
      <w:u w:val="single"/>
    </w:rPr>
  </w:style>
  <w:style w:type="paragraph" w:customStyle="1" w:styleId="Default">
    <w:name w:val="Default"/>
    <w:rsid w:val="006675B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lang w:val="en-US"/>
      <w14:textOutline w14:w="12700" w14:cap="flat" w14:cmpd="sng" w14:algn="ctr">
        <w14:noFill/>
        <w14:prstDash w14:val="solid"/>
        <w14:miter w14:lim="400000"/>
      </w14:textOutline>
      <w14:ligatures w14:val="none"/>
    </w:rPr>
  </w:style>
  <w:style w:type="numbering" w:customStyle="1" w:styleId="Numbered">
    <w:name w:val="Numbered"/>
    <w:rsid w:val="006675B0"/>
    <w:pPr>
      <w:numPr>
        <w:numId w:val="1"/>
      </w:numPr>
    </w:pPr>
  </w:style>
  <w:style w:type="paragraph" w:customStyle="1" w:styleId="Footnote">
    <w:name w:val="Footnote"/>
    <w:rsid w:val="006675B0"/>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u w:color="000000"/>
      <w:bdr w:val="nil"/>
      <w:lang w:val="en-US"/>
      <w14:textOutline w14:w="12700" w14:cap="flat" w14:cmpd="sng" w14:algn="ctr">
        <w14:noFill/>
        <w14:prstDash w14:val="solid"/>
        <w14:miter w14:lim="400000"/>
      </w14:textOutline>
      <w14:ligatures w14:val="none"/>
    </w:rPr>
  </w:style>
  <w:style w:type="character" w:customStyle="1" w:styleId="None">
    <w:name w:val="None"/>
    <w:rsid w:val="006675B0"/>
  </w:style>
  <w:style w:type="character" w:customStyle="1" w:styleId="Hyperlink0">
    <w:name w:val="Hyperlink.0"/>
    <w:basedOn w:val="None"/>
    <w:rsid w:val="006675B0"/>
    <w:rPr>
      <w:rFonts w:ascii="Times New Roman" w:eastAsia="Times New Roman" w:hAnsi="Times New Roman" w:cs="Times New Roman"/>
      <w:outline w:val="0"/>
      <w:color w:val="000000"/>
      <w:sz w:val="20"/>
      <w:szCs w:val="20"/>
      <w:u w:val="single" w:color="000000"/>
      <w:lang w:val="en-US"/>
      <w14:textOutline w14:w="12700" w14:cap="flat" w14:cmpd="sng" w14:algn="ctr">
        <w14:noFill/>
        <w14:prstDash w14:val="solid"/>
        <w14:miter w14:lim="400000"/>
      </w14:textOutline>
    </w:rPr>
  </w:style>
  <w:style w:type="character" w:customStyle="1" w:styleId="Hyperlink1">
    <w:name w:val="Hyperlink.1"/>
    <w:basedOn w:val="None"/>
    <w:rsid w:val="006675B0"/>
    <w:rPr>
      <w:rFonts w:ascii="Times New Roman" w:eastAsia="Times New Roman" w:hAnsi="Times New Roman" w:cs="Times New Roman"/>
      <w:outline w:val="0"/>
      <w:color w:val="000000"/>
      <w:sz w:val="20"/>
      <w:szCs w:val="20"/>
      <w:u w:val="single" w:color="000000"/>
      <w:lang w:val="it-IT"/>
      <w14:textOutline w14:w="12700" w14:cap="flat" w14:cmpd="sng" w14:algn="ctr">
        <w14:noFill/>
        <w14:prstDash w14:val="solid"/>
        <w14:miter w14:lim="400000"/>
      </w14:textOutline>
    </w:rPr>
  </w:style>
  <w:style w:type="character" w:customStyle="1" w:styleId="Hyperlink2">
    <w:name w:val="Hyperlink.2"/>
    <w:basedOn w:val="None"/>
    <w:rsid w:val="006675B0"/>
    <w:rPr>
      <w:rFonts w:ascii="Times New Roman" w:eastAsia="Times New Roman" w:hAnsi="Times New Roman" w:cs="Times New Roman"/>
      <w:sz w:val="20"/>
      <w:szCs w:val="20"/>
      <w:u w:val="single" w:color="0000FF"/>
      <w:shd w:val="clear" w:color="auto" w:fill="FEFFFE"/>
      <w:lang w:val="en-US"/>
      <w14:textOutline w14:w="12700" w14:cap="flat" w14:cmpd="sng" w14:algn="ctr">
        <w14:noFill/>
        <w14:prstDash w14:val="solid"/>
        <w14:miter w14:lim="400000"/>
      </w14:textOutline>
    </w:rPr>
  </w:style>
  <w:style w:type="character" w:customStyle="1" w:styleId="Hyperlink3">
    <w:name w:val="Hyperlink.3"/>
    <w:basedOn w:val="None"/>
    <w:rsid w:val="006675B0"/>
    <w:rPr>
      <w:rFonts w:ascii="Times New Roman" w:eastAsia="Times New Roman" w:hAnsi="Times New Roman" w:cs="Times New Roman"/>
      <w:sz w:val="20"/>
      <w:szCs w:val="20"/>
      <w:u w:val="single" w:color="000000"/>
      <w:lang w:val="en-US"/>
      <w14:textOutline w14:w="12700" w14:cap="flat" w14:cmpd="sng" w14:algn="ctr">
        <w14:noFill/>
        <w14:prstDash w14:val="solid"/>
        <w14:miter w14:lim="400000"/>
      </w14:textOutline>
    </w:rPr>
  </w:style>
  <w:style w:type="character" w:customStyle="1" w:styleId="Hyperlink4">
    <w:name w:val="Hyperlink.4"/>
    <w:basedOn w:val="None"/>
    <w:rsid w:val="006675B0"/>
    <w:rPr>
      <w:rFonts w:ascii="Times New Roman" w:eastAsia="Times New Roman" w:hAnsi="Times New Roman" w:cs="Times New Roman"/>
      <w:sz w:val="20"/>
      <w:szCs w:val="20"/>
      <w:u w:val="single" w:color="0000FF"/>
      <w:lang w:val="en-US"/>
      <w14:textOutline w14:w="12700" w14:cap="flat" w14:cmpd="sng" w14:algn="ctr">
        <w14:noFill/>
        <w14:prstDash w14:val="solid"/>
        <w14:miter w14:lim="400000"/>
      </w14:textOutline>
    </w:rPr>
  </w:style>
  <w:style w:type="character" w:customStyle="1" w:styleId="Hyperlink5">
    <w:name w:val="Hyperlink.5"/>
    <w:basedOn w:val="None"/>
    <w:rsid w:val="006675B0"/>
    <w:rPr>
      <w:rFonts w:ascii="Times New Roman" w:eastAsia="Times New Roman" w:hAnsi="Times New Roman" w:cs="Times New Roman"/>
      <w:sz w:val="20"/>
      <w:szCs w:val="20"/>
      <w:u w:val="single"/>
      <w:lang w:val="en-US"/>
    </w:rPr>
  </w:style>
  <w:style w:type="character" w:customStyle="1" w:styleId="Hyperlink6">
    <w:name w:val="Hyperlink.6"/>
    <w:basedOn w:val="None"/>
    <w:rsid w:val="006675B0"/>
    <w:rPr>
      <w:rFonts w:ascii="Times New Roman" w:eastAsia="Times New Roman" w:hAnsi="Times New Roman" w:cs="Times New Roman"/>
      <w:sz w:val="20"/>
      <w:szCs w:val="20"/>
      <w:u w:val="none" w:color="0000FF"/>
      <w:lang w:val="en-US"/>
      <w14:textOutline w14:w="12700" w14:cap="flat" w14:cmpd="sng" w14:algn="ctr">
        <w14:noFill/>
        <w14:prstDash w14:val="solid"/>
        <w14:miter w14:lim="400000"/>
      </w14:textOutline>
    </w:rPr>
  </w:style>
  <w:style w:type="character" w:customStyle="1" w:styleId="Hyperlink7">
    <w:name w:val="Hyperlink.7"/>
    <w:basedOn w:val="None"/>
    <w:rsid w:val="006675B0"/>
    <w:rPr>
      <w:rFonts w:ascii="Times New Roman" w:eastAsia="Times New Roman" w:hAnsi="Times New Roman" w:cs="Times New Roman"/>
      <w:sz w:val="20"/>
      <w:szCs w:val="20"/>
      <w:u w:color="000000"/>
      <w:lang w:val="en-US"/>
      <w14:textOutline w14:w="12700" w14:cap="flat" w14:cmpd="sng" w14:algn="ctr">
        <w14:noFill/>
        <w14:prstDash w14:val="solid"/>
        <w14:miter w14:lim="400000"/>
      </w14:textOutline>
    </w:rPr>
  </w:style>
  <w:style w:type="character" w:styleId="CommentReference">
    <w:name w:val="annotation reference"/>
    <w:basedOn w:val="DefaultParagraphFont"/>
    <w:uiPriority w:val="99"/>
    <w:semiHidden/>
    <w:unhideWhenUsed/>
    <w:rsid w:val="006675B0"/>
    <w:rPr>
      <w:sz w:val="16"/>
      <w:szCs w:val="16"/>
    </w:rPr>
  </w:style>
  <w:style w:type="paragraph" w:styleId="CommentText">
    <w:name w:val="annotation text"/>
    <w:basedOn w:val="Normal"/>
    <w:link w:val="CommentTextChar"/>
    <w:uiPriority w:val="99"/>
    <w:unhideWhenUsed/>
    <w:rsid w:val="006675B0"/>
    <w:rPr>
      <w:sz w:val="20"/>
      <w:szCs w:val="20"/>
    </w:rPr>
  </w:style>
  <w:style w:type="character" w:customStyle="1" w:styleId="CommentTextChar">
    <w:name w:val="Comment Text Char"/>
    <w:basedOn w:val="DefaultParagraphFont"/>
    <w:link w:val="CommentText"/>
    <w:uiPriority w:val="99"/>
    <w:rsid w:val="006675B0"/>
    <w:rPr>
      <w:rFonts w:ascii="Times New Roman" w:eastAsia="Arial Unicode MS" w:hAnsi="Times New Roman" w:cs="Times New Roman"/>
      <w:kern w:val="0"/>
      <w:sz w:val="20"/>
      <w:szCs w:val="20"/>
      <w:bdr w:val="nil"/>
      <w:lang w:val="en-US"/>
      <w14:ligatures w14:val="none"/>
    </w:rPr>
  </w:style>
  <w:style w:type="paragraph" w:styleId="FootnoteText">
    <w:name w:val="footnote text"/>
    <w:basedOn w:val="Normal"/>
    <w:link w:val="FootnoteTextChar"/>
    <w:uiPriority w:val="99"/>
    <w:semiHidden/>
    <w:unhideWhenUsed/>
    <w:rsid w:val="006675B0"/>
    <w:rPr>
      <w:sz w:val="20"/>
      <w:szCs w:val="20"/>
    </w:rPr>
  </w:style>
  <w:style w:type="character" w:customStyle="1" w:styleId="FootnoteTextChar">
    <w:name w:val="Footnote Text Char"/>
    <w:basedOn w:val="DefaultParagraphFont"/>
    <w:link w:val="FootnoteText"/>
    <w:uiPriority w:val="99"/>
    <w:semiHidden/>
    <w:rsid w:val="006675B0"/>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6675B0"/>
    <w:rPr>
      <w:vertAlign w:val="superscript"/>
    </w:rPr>
  </w:style>
  <w:style w:type="paragraph" w:styleId="NormalWeb">
    <w:name w:val="Normal (Web)"/>
    <w:basedOn w:val="Normal"/>
    <w:uiPriority w:val="99"/>
    <w:unhideWhenUsed/>
    <w:rsid w:val="006675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6675B0"/>
  </w:style>
  <w:style w:type="paragraph" w:customStyle="1" w:styleId="title-bold">
    <w:name w:val="title-bold"/>
    <w:basedOn w:val="Normal"/>
    <w:rsid w:val="006675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Emphasis">
    <w:name w:val="Emphasis"/>
    <w:basedOn w:val="DefaultParagraphFont"/>
    <w:uiPriority w:val="20"/>
    <w:qFormat/>
    <w:rsid w:val="006675B0"/>
    <w:rPr>
      <w:i/>
      <w:iCs/>
    </w:rPr>
  </w:style>
  <w:style w:type="character" w:styleId="UnresolvedMention">
    <w:name w:val="Unresolved Mention"/>
    <w:basedOn w:val="DefaultParagraphFont"/>
    <w:uiPriority w:val="99"/>
    <w:semiHidden/>
    <w:unhideWhenUsed/>
    <w:rsid w:val="009B3433"/>
    <w:rPr>
      <w:color w:val="605E5C"/>
      <w:shd w:val="clear" w:color="auto" w:fill="E1DFDD"/>
    </w:rPr>
  </w:style>
  <w:style w:type="character" w:styleId="FollowedHyperlink">
    <w:name w:val="FollowedHyperlink"/>
    <w:basedOn w:val="DefaultParagraphFont"/>
    <w:uiPriority w:val="99"/>
    <w:semiHidden/>
    <w:unhideWhenUsed/>
    <w:rsid w:val="00DE076D"/>
    <w:rPr>
      <w:color w:val="96607D" w:themeColor="followedHyperlink"/>
      <w:u w:val="single"/>
    </w:rPr>
  </w:style>
  <w:style w:type="paragraph" w:styleId="Footer">
    <w:name w:val="footer"/>
    <w:basedOn w:val="Normal"/>
    <w:link w:val="FooterChar"/>
    <w:uiPriority w:val="99"/>
    <w:unhideWhenUsed/>
    <w:rsid w:val="00FD7CA6"/>
    <w:pPr>
      <w:tabs>
        <w:tab w:val="center" w:pos="4513"/>
        <w:tab w:val="right" w:pos="9026"/>
      </w:tabs>
    </w:pPr>
  </w:style>
  <w:style w:type="character" w:customStyle="1" w:styleId="FooterChar">
    <w:name w:val="Footer Char"/>
    <w:basedOn w:val="DefaultParagraphFont"/>
    <w:link w:val="Footer"/>
    <w:uiPriority w:val="99"/>
    <w:rsid w:val="00FD7CA6"/>
    <w:rPr>
      <w:rFonts w:ascii="Times New Roman" w:eastAsia="Arial Unicode MS" w:hAnsi="Times New Roman" w:cs="Times New Roman"/>
      <w:kern w:val="0"/>
      <w:bdr w:val="nil"/>
      <w:lang w:val="en-US"/>
      <w14:ligatures w14:val="none"/>
    </w:rPr>
  </w:style>
  <w:style w:type="character" w:styleId="PageNumber">
    <w:name w:val="page number"/>
    <w:basedOn w:val="DefaultParagraphFont"/>
    <w:uiPriority w:val="99"/>
    <w:semiHidden/>
    <w:unhideWhenUsed/>
    <w:rsid w:val="00FD7CA6"/>
  </w:style>
  <w:style w:type="paragraph" w:styleId="Header">
    <w:name w:val="header"/>
    <w:basedOn w:val="Normal"/>
    <w:link w:val="HeaderChar"/>
    <w:uiPriority w:val="99"/>
    <w:unhideWhenUsed/>
    <w:rsid w:val="009A0EAF"/>
    <w:pPr>
      <w:tabs>
        <w:tab w:val="center" w:pos="4680"/>
        <w:tab w:val="right" w:pos="9360"/>
      </w:tabs>
    </w:pPr>
  </w:style>
  <w:style w:type="character" w:customStyle="1" w:styleId="HeaderChar">
    <w:name w:val="Header Char"/>
    <w:basedOn w:val="DefaultParagraphFont"/>
    <w:link w:val="Header"/>
    <w:uiPriority w:val="99"/>
    <w:rsid w:val="009A0EAF"/>
    <w:rPr>
      <w:rFonts w:ascii="Times New Roman" w:eastAsia="Arial Unicode MS" w:hAnsi="Times New Roman" w:cs="Times New Roman"/>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546575057">
      <w:bodyDiv w:val="1"/>
      <w:marLeft w:val="0"/>
      <w:marRight w:val="0"/>
      <w:marTop w:val="0"/>
      <w:marBottom w:val="0"/>
      <w:divBdr>
        <w:top w:val="none" w:sz="0" w:space="0" w:color="auto"/>
        <w:left w:val="none" w:sz="0" w:space="0" w:color="auto"/>
        <w:bottom w:val="none" w:sz="0" w:space="0" w:color="auto"/>
        <w:right w:val="none" w:sz="0" w:space="0" w:color="auto"/>
      </w:divBdr>
      <w:divsChild>
        <w:div w:id="1678540239">
          <w:marLeft w:val="0"/>
          <w:marRight w:val="0"/>
          <w:marTop w:val="0"/>
          <w:marBottom w:val="0"/>
          <w:divBdr>
            <w:top w:val="none" w:sz="0" w:space="0" w:color="auto"/>
            <w:left w:val="none" w:sz="0" w:space="0" w:color="auto"/>
            <w:bottom w:val="none" w:sz="0" w:space="0" w:color="auto"/>
            <w:right w:val="none" w:sz="0" w:space="0" w:color="auto"/>
          </w:divBdr>
          <w:divsChild>
            <w:div w:id="714503959">
              <w:marLeft w:val="0"/>
              <w:marRight w:val="0"/>
              <w:marTop w:val="0"/>
              <w:marBottom w:val="0"/>
              <w:divBdr>
                <w:top w:val="none" w:sz="0" w:space="0" w:color="auto"/>
                <w:left w:val="none" w:sz="0" w:space="0" w:color="auto"/>
                <w:bottom w:val="none" w:sz="0" w:space="0" w:color="auto"/>
                <w:right w:val="none" w:sz="0" w:space="0" w:color="auto"/>
              </w:divBdr>
              <w:divsChild>
                <w:div w:id="332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5542">
      <w:bodyDiv w:val="1"/>
      <w:marLeft w:val="0"/>
      <w:marRight w:val="0"/>
      <w:marTop w:val="0"/>
      <w:marBottom w:val="0"/>
      <w:divBdr>
        <w:top w:val="none" w:sz="0" w:space="0" w:color="auto"/>
        <w:left w:val="none" w:sz="0" w:space="0" w:color="auto"/>
        <w:bottom w:val="none" w:sz="0" w:space="0" w:color="auto"/>
        <w:right w:val="none" w:sz="0" w:space="0" w:color="auto"/>
      </w:divBdr>
    </w:div>
    <w:div w:id="1288271061">
      <w:bodyDiv w:val="1"/>
      <w:marLeft w:val="0"/>
      <w:marRight w:val="0"/>
      <w:marTop w:val="0"/>
      <w:marBottom w:val="0"/>
      <w:divBdr>
        <w:top w:val="none" w:sz="0" w:space="0" w:color="auto"/>
        <w:left w:val="none" w:sz="0" w:space="0" w:color="auto"/>
        <w:bottom w:val="none" w:sz="0" w:space="0" w:color="auto"/>
        <w:right w:val="none" w:sz="0" w:space="0" w:color="auto"/>
      </w:divBdr>
      <w:divsChild>
        <w:div w:id="649990340">
          <w:marLeft w:val="0"/>
          <w:marRight w:val="0"/>
          <w:marTop w:val="0"/>
          <w:marBottom w:val="0"/>
          <w:divBdr>
            <w:top w:val="none" w:sz="0" w:space="0" w:color="auto"/>
            <w:left w:val="none" w:sz="0" w:space="0" w:color="auto"/>
            <w:bottom w:val="none" w:sz="0" w:space="0" w:color="auto"/>
            <w:right w:val="none" w:sz="0" w:space="0" w:color="auto"/>
          </w:divBdr>
          <w:divsChild>
            <w:div w:id="1293749220">
              <w:marLeft w:val="0"/>
              <w:marRight w:val="0"/>
              <w:marTop w:val="0"/>
              <w:marBottom w:val="0"/>
              <w:divBdr>
                <w:top w:val="none" w:sz="0" w:space="0" w:color="auto"/>
                <w:left w:val="none" w:sz="0" w:space="0" w:color="auto"/>
                <w:bottom w:val="none" w:sz="0" w:space="0" w:color="auto"/>
                <w:right w:val="none" w:sz="0" w:space="0" w:color="auto"/>
              </w:divBdr>
              <w:divsChild>
                <w:div w:id="1095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301062">
      <w:bodyDiv w:val="1"/>
      <w:marLeft w:val="0"/>
      <w:marRight w:val="0"/>
      <w:marTop w:val="0"/>
      <w:marBottom w:val="0"/>
      <w:divBdr>
        <w:top w:val="none" w:sz="0" w:space="0" w:color="auto"/>
        <w:left w:val="none" w:sz="0" w:space="0" w:color="auto"/>
        <w:bottom w:val="none" w:sz="0" w:space="0" w:color="auto"/>
        <w:right w:val="none" w:sz="0" w:space="0" w:color="auto"/>
      </w:divBdr>
      <w:divsChild>
        <w:div w:id="1868523046">
          <w:marLeft w:val="0"/>
          <w:marRight w:val="0"/>
          <w:marTop w:val="0"/>
          <w:marBottom w:val="0"/>
          <w:divBdr>
            <w:top w:val="none" w:sz="0" w:space="0" w:color="auto"/>
            <w:left w:val="none" w:sz="0" w:space="0" w:color="auto"/>
            <w:bottom w:val="none" w:sz="0" w:space="0" w:color="auto"/>
            <w:right w:val="none" w:sz="0" w:space="0" w:color="auto"/>
          </w:divBdr>
          <w:divsChild>
            <w:div w:id="16396081">
              <w:marLeft w:val="0"/>
              <w:marRight w:val="0"/>
              <w:marTop w:val="0"/>
              <w:marBottom w:val="0"/>
              <w:divBdr>
                <w:top w:val="none" w:sz="0" w:space="0" w:color="auto"/>
                <w:left w:val="none" w:sz="0" w:space="0" w:color="auto"/>
                <w:bottom w:val="none" w:sz="0" w:space="0" w:color="auto"/>
                <w:right w:val="none" w:sz="0" w:space="0" w:color="auto"/>
              </w:divBdr>
              <w:divsChild>
                <w:div w:id="5863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91369">
      <w:bodyDiv w:val="1"/>
      <w:marLeft w:val="0"/>
      <w:marRight w:val="0"/>
      <w:marTop w:val="0"/>
      <w:marBottom w:val="0"/>
      <w:divBdr>
        <w:top w:val="none" w:sz="0" w:space="0" w:color="auto"/>
        <w:left w:val="none" w:sz="0" w:space="0" w:color="auto"/>
        <w:bottom w:val="none" w:sz="0" w:space="0" w:color="auto"/>
        <w:right w:val="none" w:sz="0" w:space="0" w:color="auto"/>
      </w:divBdr>
      <w:divsChild>
        <w:div w:id="1367019721">
          <w:marLeft w:val="0"/>
          <w:marRight w:val="0"/>
          <w:marTop w:val="0"/>
          <w:marBottom w:val="0"/>
          <w:divBdr>
            <w:top w:val="none" w:sz="0" w:space="0" w:color="auto"/>
            <w:left w:val="none" w:sz="0" w:space="0" w:color="auto"/>
            <w:bottom w:val="none" w:sz="0" w:space="0" w:color="auto"/>
            <w:right w:val="none" w:sz="0" w:space="0" w:color="auto"/>
          </w:divBdr>
          <w:divsChild>
            <w:div w:id="828407152">
              <w:marLeft w:val="0"/>
              <w:marRight w:val="0"/>
              <w:marTop w:val="0"/>
              <w:marBottom w:val="0"/>
              <w:divBdr>
                <w:top w:val="none" w:sz="0" w:space="0" w:color="auto"/>
                <w:left w:val="none" w:sz="0" w:space="0" w:color="auto"/>
                <w:bottom w:val="none" w:sz="0" w:space="0" w:color="auto"/>
                <w:right w:val="none" w:sz="0" w:space="0" w:color="auto"/>
              </w:divBdr>
              <w:divsChild>
                <w:div w:id="12158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energycharter.org/process/energy-charter-treaty-1994/energy-charter-treaty/%23:~:text=It%2520is%2520designed%2520to%2520promote,legal%2520force%2520in%2520April%25201998" TargetMode="External"/><Relationship Id="rId13" Type="http://schemas.openxmlformats.org/officeDocument/2006/relationships/hyperlink" Target="https://www.energychartertreaty.org/modernisation-of-the-treaty/" TargetMode="External"/><Relationship Id="rId18" Type="http://schemas.openxmlformats.org/officeDocument/2006/relationships/hyperlink" Target="https://www.euractiv.com/section/energy/news/brussels-calls-for-pause-in-ect-reform-talks-after-losing-key-eu-vote/" TargetMode="External"/><Relationship Id="rId26" Type="http://schemas.openxmlformats.org/officeDocument/2006/relationships/hyperlink" Target="https://energy.ec.europa.eu/topics/energy-strategy/clean-energy-all-europeans-package_en" TargetMode="External"/><Relationship Id="rId3" Type="http://schemas.openxmlformats.org/officeDocument/2006/relationships/hyperlink" Target="https://www.ipcc.ch/2022/04/04/ipcc-ar6-wgiii-pressrelease/" TargetMode="External"/><Relationship Id="rId21" Type="http://schemas.openxmlformats.org/officeDocument/2006/relationships/hyperlink" Target="https://www.business-humanrights.org/en/latest-news/eu-spain-to-follow-poland-italy-in-exiting-energy-charter-treaty-csos-welcome-announcement-urge-other-eu-countries-to-withdraw/" TargetMode="External"/><Relationship Id="rId7" Type="http://schemas.openxmlformats.org/officeDocument/2006/relationships/hyperlink" Target="https://iea.blob.core.windows.net/assets/db74ebb7-272f-4613-bdbd-a2e0922449e7/WorldEnergyInvestment2022.pdf" TargetMode="External"/><Relationship Id="rId12" Type="http://schemas.openxmlformats.org/officeDocument/2006/relationships/hyperlink" Target="https://arbitrationblog.kluwerarbitration.com/2020/04/22/the-role-of-investors-due-diligence-in-international-investment-law-legitimate-expectations-of-investors/?output=pdf" TargetMode="External"/><Relationship Id="rId17" Type="http://schemas.openxmlformats.org/officeDocument/2006/relationships/hyperlink" Target="https://ccsi.columbia.edu/news/agreement-principle-ect-modernization-botched-reform-attempt-undermines-climate-action" TargetMode="External"/><Relationship Id="rId25" Type="http://schemas.openxmlformats.org/officeDocument/2006/relationships/hyperlink" Target="https://data.europa.eu/doi/10.2833/9937" TargetMode="External"/><Relationship Id="rId2" Type="http://schemas.openxmlformats.org/officeDocument/2006/relationships/hyperlink" Target="https://news.un.org/en/story/2022/04/1115452" TargetMode="External"/><Relationship Id="rId16" Type="http://schemas.openxmlformats.org/officeDocument/2006/relationships/hyperlink" Target="https://www.energycharter.org/fileadmin/DocumentsMedia/CCDECS/2022/CCDEC202210.pdf" TargetMode="External"/><Relationship Id="rId20" Type="http://schemas.openxmlformats.org/officeDocument/2006/relationships/hyperlink" Target="https://ec.europa.eu/transparency/documents-register/detail?ref=COM(2024)104&amp;lang=en" TargetMode="External"/><Relationship Id="rId29" Type="http://schemas.openxmlformats.org/officeDocument/2006/relationships/hyperlink" Target="https://www.euractiv.com/section/energy/news/switzerland-says-wont-follow-eu-out-of-beleaguered-energy-charter-treaty/" TargetMode="External"/><Relationship Id="rId1" Type="http://schemas.openxmlformats.org/officeDocument/2006/relationships/hyperlink" Target="https://www.ipcc.ch/report/ar6/wg3/" TargetMode="External"/><Relationship Id="rId6" Type="http://schemas.openxmlformats.org/officeDocument/2006/relationships/hyperlink" Target="https://www.oecd-ilibrary.org/docserver/85b52daf-en.pdf?expires=1651668688&amp;id=id&amp;accname=guest&amp;checksum=37E726329D06BE4C706F138B68ECAE4C" TargetMode="External"/><Relationship Id="rId11" Type="http://schemas.openxmlformats.org/officeDocument/2006/relationships/hyperlink" Target="https://uk.practicallaw.thomsonreuters.com/w-034-2146?transitionType=Default&amp;contextData=(sc.Default)&amp;firstPage=true" TargetMode="External"/><Relationship Id="rId24" Type="http://schemas.openxmlformats.org/officeDocument/2006/relationships/hyperlink" Target="https://commission.europa.eu/strategy-and-policy/priorities-2019-2024/european-green-deal/delivering-european-green-deal_en" TargetMode="External"/><Relationship Id="rId5" Type="http://schemas.openxmlformats.org/officeDocument/2006/relationships/hyperlink" Target="https://iea.blob.core.windows.net/assets/7ebafc81-74ed-412b-9c60-5cc32c8396e4/NetZeroby2050-ARoadmapfortheGlobalEnergySector-SummaryforPolicyMakers_CORR.pdf" TargetMode="External"/><Relationship Id="rId15" Type="http://schemas.openxmlformats.org/officeDocument/2006/relationships/hyperlink" Target="https://www.bilaterals.org/IMG/pdf/reformed_ect_text.pdf" TargetMode="External"/><Relationship Id="rId23" Type="http://schemas.openxmlformats.org/officeDocument/2006/relationships/hyperlink" Target="https://www.europarl.europa.eu/doceo/document/TA-9-2022-0421_EN.html" TargetMode="External"/><Relationship Id="rId28" Type="http://schemas.openxmlformats.org/officeDocument/2006/relationships/hyperlink" Target="https://www.euractiv.com/wp-content/uploads/sites/2/2023/02/Non-paper_ECT_nextsteps.pdf" TargetMode="External"/><Relationship Id="rId10" Type="http://schemas.openxmlformats.org/officeDocument/2006/relationships/hyperlink" Target="https://globalarbitrationreview.com/guide/the-guide-energy-arbitrations/4th-edition/article/investment-disputes-involving-the-renewable-energy-industry-under-the-energy-charter-treaty%23footnote-122" TargetMode="External"/><Relationship Id="rId19" Type="http://schemas.openxmlformats.org/officeDocument/2006/relationships/hyperlink" Target="https://eur-lex.europa.eu/legal-content/EN/TXT/?uri=CELEX%3A52023PC0447&amp;amp%3Bqid=1705409406532" TargetMode="External"/><Relationship Id="rId31" Type="http://schemas.openxmlformats.org/officeDocument/2006/relationships/hyperlink" Target="https://www.italaw.com/sites/default/files/case-documents/italaw11519.pdf" TargetMode="External"/><Relationship Id="rId4" Type="http://schemas.openxmlformats.org/officeDocument/2006/relationships/hyperlink" Target="https://assembly.coe.int/LifeRay/SOC/Pdf/Press/2021/20210316-ClimateCrisisProv-EN.pdf" TargetMode="External"/><Relationship Id="rId9" Type="http://schemas.openxmlformats.org/officeDocument/2006/relationships/hyperlink" Target="https://www.energycharter.org/fileadmin/DocumentsMedia/Disputes/20230501_-_Statistics_-_Cases_under_the_Energy_Charter_Treaty.pdf" TargetMode="External"/><Relationship Id="rId14" Type="http://schemas.openxmlformats.org/officeDocument/2006/relationships/hyperlink" Target="https://www.energycharter.org/media/news/article/communication-of-the-secretary-general-on-the-modernisation-of-the-energy-charter-treaty/" TargetMode="External"/><Relationship Id="rId22" Type="http://schemas.openxmlformats.org/officeDocument/2006/relationships/hyperlink" Target="https://www.euractiv.com/section/energy/news/another-blow-for-energy-charter-treaty-as-luxembourg-announces-exit/" TargetMode="External"/><Relationship Id="rId27" Type="http://schemas.openxmlformats.org/officeDocument/2006/relationships/hyperlink" Target="https://climate.ec.europa.eu/eu-action/european-green-deal/european-climate-law_en" TargetMode="External"/><Relationship Id="rId30" Type="http://schemas.openxmlformats.org/officeDocument/2006/relationships/hyperlink" Target="https://pca-cpa.org/en/cases/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09F33-8F31-0248-B116-C404FDC5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9033</Words>
  <Characters>51490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Florou, Aikaterini</dc:creator>
  <cp:keywords/>
  <dc:description/>
  <cp:lastModifiedBy>Florou, Aikaterini</cp:lastModifiedBy>
  <cp:revision>2</cp:revision>
  <dcterms:created xsi:type="dcterms:W3CDTF">2025-02-24T16:51:00Z</dcterms:created>
  <dcterms:modified xsi:type="dcterms:W3CDTF">2025-02-24T16:51:00Z</dcterms:modified>
</cp:coreProperties>
</file>