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D1B7" w14:textId="589C40DF" w:rsidR="008900D8" w:rsidRPr="00B0374B" w:rsidRDefault="008900D8" w:rsidP="008900D8">
      <w:pPr>
        <w:pStyle w:val="Heading1"/>
        <w:rPr>
          <w:lang w:val="en-AU"/>
        </w:rPr>
      </w:pPr>
      <w:r w:rsidRPr="00B0374B">
        <w:rPr>
          <w:lang w:val="en-AU"/>
        </w:rPr>
        <w:t>Unpacking front-of-pack nutrition labelling research: when the food industry</w:t>
      </w:r>
      <w:r>
        <w:rPr>
          <w:lang w:val="en-AU"/>
        </w:rPr>
        <w:t xml:space="preserve"> produces ‘science’ as part of its</w:t>
      </w:r>
      <w:r w:rsidRPr="00B0374B">
        <w:rPr>
          <w:lang w:val="en-AU"/>
        </w:rPr>
        <w:t xml:space="preserve"> lobbying strategies </w:t>
      </w:r>
    </w:p>
    <w:p w14:paraId="756A92E5" w14:textId="77777777" w:rsidR="008900D8" w:rsidRPr="000A7FE0" w:rsidRDefault="008900D8" w:rsidP="008900D8">
      <w:pPr>
        <w:rPr>
          <w:rFonts w:asciiTheme="majorHAnsi" w:hAnsiTheme="majorHAnsi" w:cstheme="majorHAnsi"/>
        </w:rPr>
      </w:pPr>
      <w:r w:rsidRPr="000A7FE0">
        <w:rPr>
          <w:rFonts w:asciiTheme="majorHAnsi" w:hAnsiTheme="majorHAnsi" w:cstheme="majorHAnsi"/>
        </w:rPr>
        <w:t>Amandine Garde</w:t>
      </w:r>
      <w:r w:rsidRPr="00B0374B">
        <w:rPr>
          <w:rStyle w:val="FootnoteReference"/>
          <w:rFonts w:asciiTheme="majorHAnsi" w:hAnsiTheme="majorHAnsi" w:cstheme="majorHAnsi"/>
          <w:bCs/>
          <w:lang w:val="en-US"/>
        </w:rPr>
        <w:footnoteReference w:id="1"/>
      </w:r>
      <w:r w:rsidRPr="000A7FE0">
        <w:rPr>
          <w:rFonts w:asciiTheme="majorHAnsi" w:hAnsiTheme="majorHAnsi" w:cstheme="majorHAnsi"/>
          <w:vertAlign w:val="superscript"/>
        </w:rPr>
        <w:t>,</w:t>
      </w:r>
      <w:r w:rsidRPr="00B0374B">
        <w:rPr>
          <w:rStyle w:val="FootnoteReference"/>
          <w:rFonts w:asciiTheme="majorHAnsi" w:hAnsiTheme="majorHAnsi" w:cstheme="majorHAnsi"/>
          <w:bCs/>
          <w:lang w:val="en-US"/>
        </w:rPr>
        <w:footnoteReference w:id="2"/>
      </w:r>
      <w:r w:rsidRPr="000A7FE0">
        <w:rPr>
          <w:rFonts w:asciiTheme="majorHAnsi" w:hAnsiTheme="majorHAnsi" w:cstheme="majorHAnsi"/>
        </w:rPr>
        <w:t>, Nikhil Gokani</w:t>
      </w:r>
      <w:r w:rsidRPr="00B0374B">
        <w:rPr>
          <w:rStyle w:val="FootnoteReference"/>
          <w:rFonts w:asciiTheme="majorHAnsi" w:hAnsiTheme="majorHAnsi" w:cstheme="majorHAnsi"/>
          <w:bCs/>
          <w:lang w:val="en-US"/>
        </w:rPr>
        <w:footnoteReference w:id="3"/>
      </w:r>
      <w:r w:rsidRPr="000A7FE0">
        <w:rPr>
          <w:rFonts w:asciiTheme="majorHAnsi" w:hAnsiTheme="majorHAnsi" w:cstheme="majorHAnsi"/>
          <w:vertAlign w:val="superscript"/>
        </w:rPr>
        <w:t>,2</w:t>
      </w:r>
      <w:r w:rsidRPr="000A7FE0">
        <w:rPr>
          <w:rFonts w:asciiTheme="majorHAnsi" w:hAnsiTheme="majorHAnsi" w:cstheme="majorHAnsi"/>
        </w:rPr>
        <w:t>, Stéphane Besançon</w:t>
      </w:r>
      <w:r w:rsidRPr="00B0374B">
        <w:rPr>
          <w:rStyle w:val="FootnoteReference"/>
          <w:rFonts w:asciiTheme="majorHAnsi" w:hAnsiTheme="majorHAnsi" w:cstheme="majorHAnsi"/>
          <w:bCs/>
        </w:rPr>
        <w:footnoteReference w:id="4"/>
      </w:r>
      <w:r w:rsidRPr="000A7FE0">
        <w:rPr>
          <w:rFonts w:asciiTheme="majorHAnsi" w:hAnsiTheme="majorHAnsi" w:cstheme="majorHAnsi"/>
          <w:vertAlign w:val="superscript"/>
        </w:rPr>
        <w:t>,</w:t>
      </w:r>
      <w:r w:rsidRPr="00B0374B">
        <w:rPr>
          <w:rStyle w:val="FootnoteReference"/>
          <w:rFonts w:asciiTheme="majorHAnsi" w:hAnsiTheme="majorHAnsi" w:cstheme="majorHAnsi"/>
          <w:bCs/>
        </w:rPr>
        <w:footnoteReference w:id="5"/>
      </w:r>
      <w:r w:rsidRPr="000A7FE0">
        <w:rPr>
          <w:rFonts w:asciiTheme="majorHAnsi" w:hAnsiTheme="majorHAnsi" w:cstheme="majorHAnsi"/>
        </w:rPr>
        <w:t xml:space="preserve"> and Mélissa </w:t>
      </w:r>
      <w:proofErr w:type="spellStart"/>
      <w:r w:rsidRPr="000A7FE0">
        <w:rPr>
          <w:rFonts w:asciiTheme="majorHAnsi" w:hAnsiTheme="majorHAnsi" w:cstheme="majorHAnsi"/>
        </w:rPr>
        <w:t>Mialon</w:t>
      </w:r>
      <w:proofErr w:type="spellEnd"/>
      <w:r w:rsidRPr="00B0374B">
        <w:rPr>
          <w:rStyle w:val="FootnoteReference"/>
          <w:rFonts w:asciiTheme="majorHAnsi" w:hAnsiTheme="majorHAnsi" w:cstheme="majorHAnsi"/>
          <w:bCs/>
          <w:lang w:val="en-US"/>
        </w:rPr>
        <w:footnoteReference w:id="6"/>
      </w:r>
      <w:r w:rsidRPr="000A7FE0">
        <w:rPr>
          <w:rFonts w:asciiTheme="majorHAnsi" w:hAnsiTheme="majorHAnsi" w:cstheme="majorHAnsi"/>
          <w:vertAlign w:val="superscript"/>
        </w:rPr>
        <w:t>,</w:t>
      </w:r>
      <w:r w:rsidRPr="00B0374B">
        <w:rPr>
          <w:rStyle w:val="FootnoteReference"/>
          <w:rFonts w:asciiTheme="majorHAnsi" w:hAnsiTheme="majorHAnsi" w:cstheme="majorHAnsi"/>
          <w:bCs/>
          <w:lang w:val="en-US"/>
        </w:rPr>
        <w:footnoteReference w:id="7"/>
      </w:r>
    </w:p>
    <w:p w14:paraId="149240A6" w14:textId="77777777" w:rsidR="008900D8" w:rsidRPr="008900D8" w:rsidRDefault="008900D8" w:rsidP="008900D8">
      <w:pPr>
        <w:pStyle w:val="Heading1"/>
        <w:rPr>
          <w:sz w:val="28"/>
          <w:szCs w:val="28"/>
          <w:lang w:val="en-AU"/>
        </w:rPr>
      </w:pPr>
      <w:r w:rsidRPr="008900D8">
        <w:rPr>
          <w:sz w:val="28"/>
          <w:szCs w:val="28"/>
          <w:lang w:val="en-AU"/>
        </w:rPr>
        <w:t>Disclosure statement</w:t>
      </w:r>
    </w:p>
    <w:p w14:paraId="49C6D1AF" w14:textId="77777777" w:rsidR="008900D8" w:rsidRPr="00267375" w:rsidRDefault="008900D8" w:rsidP="008900D8">
      <w:pPr>
        <w:pStyle w:val="Heading2"/>
        <w:rPr>
          <w:lang w:val="en-AU"/>
        </w:rPr>
      </w:pPr>
      <w:r w:rsidRPr="00267375">
        <w:rPr>
          <w:lang w:val="en-AU"/>
        </w:rPr>
        <w:t>Financial support</w:t>
      </w:r>
    </w:p>
    <w:p w14:paraId="6B66F4F2" w14:textId="77777777" w:rsidR="008900D8" w:rsidRPr="00B0374B" w:rsidRDefault="008900D8" w:rsidP="008900D8">
      <w:pPr>
        <w:rPr>
          <w:rFonts w:asciiTheme="majorHAnsi" w:hAnsiTheme="majorHAnsi" w:cstheme="majorHAnsi"/>
          <w:lang w:val="en-AU"/>
        </w:rPr>
      </w:pPr>
      <w:r w:rsidRPr="00B0374B">
        <w:rPr>
          <w:rFonts w:asciiTheme="majorHAnsi" w:hAnsiTheme="majorHAnsi" w:cstheme="majorHAnsi"/>
          <w:lang w:val="en-AU"/>
        </w:rPr>
        <w:t>This research received no specific grant from any funding agency, commercial or not-for-profit sectors.</w:t>
      </w:r>
    </w:p>
    <w:p w14:paraId="67CFE7F7" w14:textId="77777777" w:rsidR="008900D8" w:rsidRDefault="008900D8" w:rsidP="008900D8">
      <w:pPr>
        <w:pStyle w:val="Heading2"/>
        <w:rPr>
          <w:lang w:val="en-AU"/>
        </w:rPr>
      </w:pPr>
      <w:r>
        <w:rPr>
          <w:lang w:val="en-AU"/>
        </w:rPr>
        <w:t>Conflict of interest</w:t>
      </w:r>
    </w:p>
    <w:p w14:paraId="2E02D8E8" w14:textId="77777777" w:rsidR="008900D8" w:rsidRPr="00B0374B" w:rsidRDefault="008900D8" w:rsidP="008900D8">
      <w:pPr>
        <w:rPr>
          <w:rFonts w:asciiTheme="majorHAnsi" w:hAnsiTheme="majorHAnsi" w:cstheme="majorHAnsi"/>
          <w:lang w:val="en-AU"/>
        </w:rPr>
      </w:pPr>
      <w:r w:rsidRPr="00B0374B">
        <w:rPr>
          <w:rFonts w:asciiTheme="majorHAnsi" w:hAnsiTheme="majorHAnsi" w:cstheme="majorHAnsi"/>
          <w:lang w:val="en-AU"/>
        </w:rPr>
        <w:t>None.</w:t>
      </w:r>
    </w:p>
    <w:p w14:paraId="3E47FE85" w14:textId="77777777" w:rsidR="008900D8" w:rsidRPr="007A2E2D" w:rsidRDefault="008900D8" w:rsidP="008900D8">
      <w:pPr>
        <w:pStyle w:val="Heading2"/>
        <w:rPr>
          <w:lang w:val="en-AU"/>
        </w:rPr>
      </w:pPr>
      <w:r w:rsidRPr="007A2E2D">
        <w:rPr>
          <w:lang w:val="en-AU"/>
        </w:rPr>
        <w:t>Authorship</w:t>
      </w:r>
    </w:p>
    <w:p w14:paraId="6AFBFDAB" w14:textId="77777777" w:rsidR="008900D8" w:rsidRDefault="008900D8" w:rsidP="008900D8">
      <w:pPr>
        <w:rPr>
          <w:lang w:val="en-AU"/>
        </w:rPr>
      </w:pPr>
      <w:r w:rsidRPr="00267375">
        <w:rPr>
          <w:lang w:val="en-AU"/>
        </w:rPr>
        <w:t>All authors contributed to this article</w:t>
      </w:r>
      <w:r>
        <w:rPr>
          <w:lang w:val="en-AU"/>
        </w:rPr>
        <w:t>.</w:t>
      </w:r>
    </w:p>
    <w:p w14:paraId="603F82A7" w14:textId="77777777" w:rsidR="008900D8" w:rsidRPr="00267375" w:rsidRDefault="008900D8" w:rsidP="008900D8">
      <w:pPr>
        <w:pStyle w:val="Heading2"/>
        <w:rPr>
          <w:sz w:val="20"/>
          <w:szCs w:val="20"/>
          <w:lang w:val="en-AU"/>
        </w:rPr>
      </w:pPr>
      <w:r w:rsidRPr="00267375">
        <w:rPr>
          <w:lang w:val="en-AU"/>
        </w:rPr>
        <w:t>Ethical standards disclosure</w:t>
      </w:r>
    </w:p>
    <w:p w14:paraId="7F84327B" w14:textId="77777777" w:rsidR="008900D8" w:rsidRPr="00B0374B" w:rsidRDefault="008900D8" w:rsidP="008900D8">
      <w:pPr>
        <w:rPr>
          <w:rFonts w:asciiTheme="majorHAnsi" w:hAnsiTheme="majorHAnsi" w:cstheme="majorHAnsi"/>
          <w:lang w:val="en-AU"/>
        </w:rPr>
      </w:pPr>
      <w:r w:rsidRPr="00B0374B">
        <w:rPr>
          <w:rFonts w:asciiTheme="majorHAnsi" w:hAnsiTheme="majorHAnsi" w:cstheme="majorHAnsi"/>
          <w:lang w:val="en-AU"/>
        </w:rPr>
        <w:t>Not applicable.</w:t>
      </w:r>
    </w:p>
    <w:p w14:paraId="685A138F" w14:textId="77777777" w:rsidR="008900D8" w:rsidRPr="008900D8" w:rsidRDefault="008900D8" w:rsidP="008900D8">
      <w:pPr>
        <w:pStyle w:val="Heading1"/>
        <w:rPr>
          <w:sz w:val="28"/>
          <w:szCs w:val="28"/>
          <w:shd w:val="clear" w:color="auto" w:fill="FFFFFF"/>
          <w:lang w:val="en-AU"/>
        </w:rPr>
      </w:pPr>
      <w:r w:rsidRPr="008900D8">
        <w:rPr>
          <w:sz w:val="28"/>
          <w:szCs w:val="28"/>
          <w:shd w:val="clear" w:color="auto" w:fill="FFFFFF"/>
          <w:lang w:val="en-AU"/>
        </w:rPr>
        <w:t>Keywords </w:t>
      </w:r>
    </w:p>
    <w:p w14:paraId="62AD4A49" w14:textId="77777777" w:rsidR="008900D8" w:rsidRPr="00B0374B" w:rsidRDefault="008900D8" w:rsidP="008900D8">
      <w:pPr>
        <w:rPr>
          <w:rFonts w:asciiTheme="majorHAnsi" w:hAnsiTheme="majorHAnsi" w:cstheme="majorHAnsi"/>
          <w:lang w:val="en-AU"/>
        </w:rPr>
      </w:pPr>
      <w:r w:rsidRPr="00B0374B">
        <w:rPr>
          <w:rFonts w:asciiTheme="majorHAnsi" w:hAnsiTheme="majorHAnsi" w:cstheme="majorHAnsi"/>
          <w:lang w:val="en-AU"/>
        </w:rPr>
        <w:t xml:space="preserve">Food industry; commercial determinants of health; corporate political activity; labelling </w:t>
      </w:r>
    </w:p>
    <w:p w14:paraId="0D919584" w14:textId="77777777" w:rsidR="008900D8" w:rsidRPr="00267375" w:rsidRDefault="008900D8" w:rsidP="008900D8">
      <w:pPr>
        <w:rPr>
          <w:lang w:val="en-AU"/>
        </w:rPr>
      </w:pPr>
    </w:p>
    <w:p w14:paraId="3FE664C9" w14:textId="77777777" w:rsidR="008900D8" w:rsidRPr="008900D8" w:rsidRDefault="008900D8" w:rsidP="0099751E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14:paraId="20089A7F" w14:textId="77777777" w:rsidR="008900D8" w:rsidRDefault="00890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EA65DC" w14:textId="2F385B05" w:rsidR="00137CB9" w:rsidRPr="004015C2" w:rsidRDefault="002F713A" w:rsidP="0099751E">
      <w:pPr>
        <w:jc w:val="both"/>
        <w:rPr>
          <w:rFonts w:ascii="Times New Roman" w:hAnsi="Times New Roman" w:cs="Times New Roman"/>
          <w:sz w:val="24"/>
          <w:szCs w:val="24"/>
        </w:rPr>
      </w:pPr>
      <w:r w:rsidRPr="0099751E">
        <w:rPr>
          <w:rFonts w:ascii="Times New Roman" w:hAnsi="Times New Roman" w:cs="Times New Roman"/>
          <w:sz w:val="24"/>
          <w:szCs w:val="24"/>
        </w:rPr>
        <w:lastRenderedPageBreak/>
        <w:t xml:space="preserve">The lobbying strategies of </w:t>
      </w:r>
      <w:r w:rsidR="002B63AA">
        <w:rPr>
          <w:rFonts w:ascii="Times New Roman" w:hAnsi="Times New Roman" w:cs="Times New Roman"/>
          <w:sz w:val="24"/>
          <w:szCs w:val="24"/>
        </w:rPr>
        <w:t xml:space="preserve">the </w:t>
      </w:r>
      <w:r w:rsidR="00462773">
        <w:rPr>
          <w:rFonts w:ascii="Times New Roman" w:hAnsi="Times New Roman" w:cs="Times New Roman"/>
          <w:sz w:val="24"/>
          <w:szCs w:val="24"/>
        </w:rPr>
        <w:t xml:space="preserve">food industry, which </w:t>
      </w:r>
      <w:r w:rsidR="00A113F0">
        <w:rPr>
          <w:rFonts w:ascii="Times New Roman" w:hAnsi="Times New Roman" w:cs="Times New Roman"/>
          <w:sz w:val="24"/>
          <w:szCs w:val="24"/>
        </w:rPr>
        <w:t xml:space="preserve">seek to undermine the development of </w:t>
      </w:r>
      <w:r w:rsidR="00A113F0" w:rsidRPr="0099751E">
        <w:rPr>
          <w:rFonts w:ascii="Times New Roman" w:hAnsi="Times New Roman" w:cs="Times New Roman"/>
          <w:sz w:val="24"/>
          <w:szCs w:val="24"/>
        </w:rPr>
        <w:t xml:space="preserve">regulatory measures </w:t>
      </w:r>
      <w:r w:rsidR="00462773">
        <w:rPr>
          <w:rFonts w:ascii="Times New Roman" w:hAnsi="Times New Roman" w:cs="Times New Roman"/>
          <w:sz w:val="24"/>
          <w:szCs w:val="24"/>
        </w:rPr>
        <w:t>intended to</w:t>
      </w:r>
      <w:r w:rsidR="00A113F0" w:rsidRPr="0099751E">
        <w:rPr>
          <w:rFonts w:ascii="Times New Roman" w:hAnsi="Times New Roman" w:cs="Times New Roman"/>
          <w:sz w:val="24"/>
          <w:szCs w:val="24"/>
        </w:rPr>
        <w:t xml:space="preserve"> improv</w:t>
      </w:r>
      <w:r w:rsidR="00A113F0">
        <w:rPr>
          <w:rFonts w:ascii="Times New Roman" w:hAnsi="Times New Roman" w:cs="Times New Roman"/>
          <w:sz w:val="24"/>
          <w:szCs w:val="24"/>
        </w:rPr>
        <w:t>e</w:t>
      </w:r>
      <w:r w:rsidR="00A113F0" w:rsidRPr="0099751E">
        <w:rPr>
          <w:rFonts w:ascii="Times New Roman" w:hAnsi="Times New Roman" w:cs="Times New Roman"/>
          <w:sz w:val="24"/>
          <w:szCs w:val="24"/>
        </w:rPr>
        <w:t xml:space="preserve"> public health</w:t>
      </w:r>
      <w:r w:rsidR="00462773">
        <w:rPr>
          <w:rFonts w:ascii="Times New Roman" w:hAnsi="Times New Roman" w:cs="Times New Roman"/>
          <w:sz w:val="24"/>
          <w:szCs w:val="24"/>
        </w:rPr>
        <w:t>,</w:t>
      </w:r>
      <w:r w:rsidR="00A113F0">
        <w:rPr>
          <w:rFonts w:ascii="Times New Roman" w:hAnsi="Times New Roman" w:cs="Times New Roman"/>
          <w:sz w:val="24"/>
          <w:szCs w:val="24"/>
        </w:rPr>
        <w:t xml:space="preserve"> </w:t>
      </w:r>
      <w:r w:rsidRPr="0099751E">
        <w:rPr>
          <w:rFonts w:ascii="Times New Roman" w:hAnsi="Times New Roman" w:cs="Times New Roman"/>
          <w:sz w:val="24"/>
          <w:szCs w:val="24"/>
        </w:rPr>
        <w:t>are increasingly well documented</w:t>
      </w:r>
      <w:r w:rsidR="00A612A9">
        <w:rPr>
          <w:rFonts w:ascii="Times New Roman" w:hAnsi="Times New Roman" w:cs="Times New Roman"/>
          <w:sz w:val="24"/>
          <w:szCs w:val="24"/>
        </w:rPr>
        <w:t xml:space="preserve"> and </w:t>
      </w:r>
      <w:r w:rsidR="00A612A9" w:rsidRPr="0099751E">
        <w:rPr>
          <w:rFonts w:ascii="Times New Roman" w:hAnsi="Times New Roman" w:cs="Times New Roman"/>
          <w:sz w:val="24"/>
          <w:szCs w:val="24"/>
        </w:rPr>
        <w:t>associated with slow progress in addressing diet-related diseases at national, regional and global levels</w:t>
      </w:r>
      <w:r w:rsidR="00A612A9">
        <w:rPr>
          <w:rFonts w:ascii="Times New Roman" w:hAnsi="Times New Roman" w:cs="Times New Roman"/>
          <w:sz w:val="24"/>
          <w:szCs w:val="24"/>
        </w:rPr>
        <w:t>.</w:t>
      </w:r>
      <w:r w:rsidR="0070211F">
        <w:rPr>
          <w:rStyle w:val="EndnoteReference"/>
          <w:rFonts w:ascii="Times New Roman" w:hAnsi="Times New Roman" w:cs="Times New Roman"/>
          <w:sz w:val="24"/>
          <w:szCs w:val="24"/>
        </w:rPr>
        <w:endnoteReference w:id="1"/>
      </w:r>
      <w:r w:rsidR="004A5037">
        <w:rPr>
          <w:rFonts w:ascii="Times New Roman" w:hAnsi="Times New Roman" w:cs="Times New Roman"/>
          <w:sz w:val="24"/>
          <w:szCs w:val="24"/>
        </w:rPr>
        <w:t xml:space="preserve"> </w:t>
      </w:r>
      <w:r w:rsidR="00A612A9">
        <w:rPr>
          <w:rFonts w:ascii="Times New Roman" w:hAnsi="Times New Roman" w:cs="Times New Roman"/>
          <w:sz w:val="24"/>
          <w:szCs w:val="24"/>
        </w:rPr>
        <w:t>These strategies</w:t>
      </w:r>
      <w:r w:rsidR="004A5037" w:rsidRPr="004A5037">
        <w:rPr>
          <w:rFonts w:ascii="Times New Roman" w:hAnsi="Times New Roman" w:cs="Times New Roman"/>
          <w:sz w:val="24"/>
          <w:szCs w:val="24"/>
        </w:rPr>
        <w:t xml:space="preserve"> include</w:t>
      </w:r>
      <w:r w:rsidR="004A5967">
        <w:rPr>
          <w:rFonts w:ascii="Times New Roman" w:hAnsi="Times New Roman" w:cs="Times New Roman"/>
          <w:sz w:val="24"/>
          <w:szCs w:val="24"/>
        </w:rPr>
        <w:t xml:space="preserve"> the creation and</w:t>
      </w:r>
      <w:r w:rsidR="00A612A9">
        <w:rPr>
          <w:rFonts w:ascii="Times New Roman" w:hAnsi="Times New Roman" w:cs="Times New Roman"/>
          <w:sz w:val="24"/>
          <w:szCs w:val="24"/>
        </w:rPr>
        <w:t xml:space="preserve"> disseminati</w:t>
      </w:r>
      <w:r w:rsidR="004A5967">
        <w:rPr>
          <w:rFonts w:ascii="Times New Roman" w:hAnsi="Times New Roman" w:cs="Times New Roman"/>
          <w:sz w:val="24"/>
          <w:szCs w:val="24"/>
        </w:rPr>
        <w:t>on of biased re</w:t>
      </w:r>
      <w:r w:rsidR="004A5037" w:rsidRPr="004A5037">
        <w:rPr>
          <w:rFonts w:ascii="Times New Roman" w:hAnsi="Times New Roman" w:cs="Times New Roman"/>
          <w:sz w:val="24"/>
          <w:szCs w:val="24"/>
        </w:rPr>
        <w:t>search findings</w:t>
      </w:r>
      <w:r w:rsidR="004A5037" w:rsidRPr="004A5037">
        <w:rPr>
          <w:rFonts w:ascii="Times New Roman" w:hAnsi="Times New Roman" w:cs="Times New Roman"/>
          <w:sz w:val="24"/>
          <w:szCs w:val="24"/>
          <w:vertAlign w:val="superscript"/>
        </w:rPr>
        <w:endnoteReference w:id="2"/>
      </w:r>
      <w:r w:rsidR="004A5967">
        <w:rPr>
          <w:rFonts w:ascii="Times New Roman" w:hAnsi="Times New Roman" w:cs="Times New Roman"/>
          <w:sz w:val="24"/>
          <w:szCs w:val="24"/>
        </w:rPr>
        <w:t xml:space="preserve"> in order to skew evidence in the favour</w:t>
      </w:r>
      <w:r w:rsidR="003A3E80">
        <w:rPr>
          <w:rFonts w:ascii="Times New Roman" w:hAnsi="Times New Roman" w:cs="Times New Roman"/>
          <w:sz w:val="24"/>
          <w:szCs w:val="24"/>
        </w:rPr>
        <w:t xml:space="preserve"> of the industry</w:t>
      </w:r>
      <w:r w:rsidR="004A5967">
        <w:rPr>
          <w:rFonts w:ascii="Times New Roman" w:hAnsi="Times New Roman" w:cs="Times New Roman"/>
          <w:sz w:val="24"/>
          <w:szCs w:val="24"/>
        </w:rPr>
        <w:t xml:space="preserve">, and to cast doubt about the harms </w:t>
      </w:r>
      <w:r w:rsidR="003D6B4D">
        <w:rPr>
          <w:rFonts w:ascii="Times New Roman" w:hAnsi="Times New Roman" w:cs="Times New Roman"/>
          <w:sz w:val="24"/>
          <w:szCs w:val="24"/>
        </w:rPr>
        <w:t>stemming from</w:t>
      </w:r>
      <w:r w:rsidR="004A5967">
        <w:rPr>
          <w:rFonts w:ascii="Times New Roman" w:hAnsi="Times New Roman" w:cs="Times New Roman"/>
          <w:sz w:val="24"/>
          <w:szCs w:val="24"/>
        </w:rPr>
        <w:t xml:space="preserve"> </w:t>
      </w:r>
      <w:r w:rsidR="003A3E80">
        <w:rPr>
          <w:rFonts w:ascii="Times New Roman" w:hAnsi="Times New Roman" w:cs="Times New Roman"/>
          <w:sz w:val="24"/>
          <w:szCs w:val="24"/>
        </w:rPr>
        <w:t xml:space="preserve">its </w:t>
      </w:r>
      <w:r w:rsidR="004A5967">
        <w:rPr>
          <w:rFonts w:ascii="Times New Roman" w:hAnsi="Times New Roman" w:cs="Times New Roman"/>
          <w:sz w:val="24"/>
          <w:szCs w:val="24"/>
        </w:rPr>
        <w:t>products and practices.</w:t>
      </w:r>
      <w:r w:rsidR="004A5967">
        <w:rPr>
          <w:rStyle w:val="EndnoteReference"/>
          <w:rFonts w:ascii="Times New Roman" w:hAnsi="Times New Roman" w:cs="Times New Roman"/>
          <w:sz w:val="24"/>
          <w:szCs w:val="24"/>
        </w:rPr>
        <w:endnoteReference w:id="3"/>
      </w:r>
      <w:r w:rsidR="004A5967">
        <w:rPr>
          <w:rFonts w:ascii="Times New Roman" w:hAnsi="Times New Roman" w:cs="Times New Roman"/>
          <w:sz w:val="24"/>
          <w:szCs w:val="24"/>
        </w:rPr>
        <w:t xml:space="preserve"> </w:t>
      </w:r>
      <w:r w:rsidR="004A5037" w:rsidRPr="004A50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55312" w14:textId="1A25A308" w:rsidR="00462773" w:rsidRPr="00383C60" w:rsidRDefault="00462773" w:rsidP="00462773">
      <w:pPr>
        <w:jc w:val="both"/>
        <w:rPr>
          <w:rFonts w:ascii="Times New Roman" w:hAnsi="Times New Roman" w:cs="Times New Roman"/>
          <w:sz w:val="24"/>
          <w:szCs w:val="24"/>
        </w:rPr>
      </w:pPr>
      <w:r w:rsidRPr="00A95AF8">
        <w:rPr>
          <w:rFonts w:ascii="Times New Roman" w:hAnsi="Times New Roman" w:cs="Times New Roman"/>
          <w:sz w:val="24"/>
          <w:szCs w:val="24"/>
        </w:rPr>
        <w:t xml:space="preserve">WHO </w:t>
      </w:r>
      <w:r w:rsidR="0070211F">
        <w:rPr>
          <w:rFonts w:ascii="Times New Roman" w:hAnsi="Times New Roman" w:cs="Times New Roman"/>
          <w:sz w:val="24"/>
          <w:szCs w:val="24"/>
        </w:rPr>
        <w:t>supports</w:t>
      </w:r>
      <w:r w:rsidR="00525DAD" w:rsidRPr="00A95AF8">
        <w:rPr>
          <w:rFonts w:ascii="Times New Roman" w:hAnsi="Times New Roman" w:cs="Times New Roman"/>
          <w:sz w:val="24"/>
          <w:szCs w:val="24"/>
        </w:rPr>
        <w:t xml:space="preserve"> </w:t>
      </w:r>
      <w:r w:rsidR="0070211F">
        <w:rPr>
          <w:rFonts w:ascii="Times New Roman" w:hAnsi="Times New Roman" w:cs="Times New Roman"/>
          <w:sz w:val="24"/>
          <w:szCs w:val="24"/>
        </w:rPr>
        <w:t xml:space="preserve">the adoption of </w:t>
      </w:r>
      <w:r w:rsidR="008D6563">
        <w:rPr>
          <w:rFonts w:ascii="Times New Roman" w:hAnsi="Times New Roman" w:cs="Times New Roman"/>
          <w:sz w:val="24"/>
          <w:szCs w:val="24"/>
        </w:rPr>
        <w:t>f</w:t>
      </w:r>
      <w:r w:rsidR="008D6563" w:rsidRPr="00A95AF8">
        <w:rPr>
          <w:rFonts w:ascii="Times New Roman" w:hAnsi="Times New Roman" w:cs="Times New Roman"/>
          <w:sz w:val="24"/>
          <w:szCs w:val="24"/>
        </w:rPr>
        <w:t xml:space="preserve">ront-of-pack nutrition labelling </w:t>
      </w:r>
      <w:r w:rsidR="008D6563">
        <w:rPr>
          <w:rFonts w:ascii="Times New Roman" w:hAnsi="Times New Roman" w:cs="Times New Roman"/>
          <w:sz w:val="24"/>
          <w:szCs w:val="24"/>
        </w:rPr>
        <w:t>(</w:t>
      </w:r>
      <w:r w:rsidR="00525DAD">
        <w:rPr>
          <w:rFonts w:ascii="Times New Roman" w:hAnsi="Times New Roman" w:cs="Times New Roman"/>
          <w:sz w:val="24"/>
          <w:szCs w:val="24"/>
        </w:rPr>
        <w:t>FoPNL</w:t>
      </w:r>
      <w:r w:rsidR="008D6563">
        <w:rPr>
          <w:rFonts w:ascii="Times New Roman" w:hAnsi="Times New Roman" w:cs="Times New Roman"/>
          <w:sz w:val="24"/>
          <w:szCs w:val="24"/>
        </w:rPr>
        <w:t>)</w:t>
      </w:r>
      <w:r w:rsidR="00525DAD">
        <w:rPr>
          <w:rFonts w:ascii="Times New Roman" w:hAnsi="Times New Roman" w:cs="Times New Roman"/>
          <w:sz w:val="24"/>
          <w:szCs w:val="24"/>
        </w:rPr>
        <w:t xml:space="preserve"> </w:t>
      </w:r>
      <w:r w:rsidR="0065744C">
        <w:rPr>
          <w:rFonts w:ascii="Times New Roman" w:hAnsi="Times New Roman" w:cs="Times New Roman"/>
          <w:sz w:val="24"/>
          <w:szCs w:val="24"/>
        </w:rPr>
        <w:t>to</w:t>
      </w:r>
      <w:r w:rsidR="0070211F">
        <w:rPr>
          <w:rFonts w:ascii="Times New Roman" w:hAnsi="Times New Roman" w:cs="Times New Roman"/>
          <w:sz w:val="24"/>
          <w:szCs w:val="24"/>
        </w:rPr>
        <w:t xml:space="preserve"> promote</w:t>
      </w:r>
      <w:r w:rsidR="00A059AA" w:rsidRPr="00A059AA">
        <w:rPr>
          <w:rFonts w:ascii="Times New Roman" w:hAnsi="Times New Roman" w:cs="Times New Roman"/>
          <w:sz w:val="24"/>
          <w:szCs w:val="24"/>
        </w:rPr>
        <w:t xml:space="preserve"> consumer understanding and </w:t>
      </w:r>
      <w:r w:rsidR="0065744C">
        <w:rPr>
          <w:rFonts w:ascii="Times New Roman" w:hAnsi="Times New Roman" w:cs="Times New Roman"/>
          <w:sz w:val="24"/>
          <w:szCs w:val="24"/>
        </w:rPr>
        <w:t xml:space="preserve">healthier </w:t>
      </w:r>
      <w:r>
        <w:rPr>
          <w:rFonts w:ascii="Times New Roman" w:hAnsi="Times New Roman" w:cs="Times New Roman"/>
          <w:sz w:val="24"/>
          <w:szCs w:val="24"/>
        </w:rPr>
        <w:t xml:space="preserve">food </w:t>
      </w:r>
      <w:r w:rsidR="00A059AA" w:rsidRPr="00A059AA">
        <w:rPr>
          <w:rFonts w:ascii="Times New Roman" w:hAnsi="Times New Roman" w:cs="Times New Roman"/>
          <w:sz w:val="24"/>
          <w:szCs w:val="24"/>
        </w:rPr>
        <w:t>choice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A95AF8">
        <w:rPr>
          <w:rFonts w:ascii="Times New Roman" w:hAnsi="Times New Roman" w:cs="Times New Roman"/>
          <w:sz w:val="24"/>
          <w:szCs w:val="24"/>
        </w:rPr>
        <w:t>as part of effective nutrition strategies</w:t>
      </w:r>
      <w:r w:rsidR="00525DAD">
        <w:rPr>
          <w:rFonts w:ascii="Times New Roman" w:hAnsi="Times New Roman" w:cs="Times New Roman"/>
          <w:sz w:val="24"/>
          <w:szCs w:val="24"/>
        </w:rPr>
        <w:t>.</w:t>
      </w:r>
      <w:r w:rsidR="00525DAD">
        <w:rPr>
          <w:rStyle w:val="EndnoteReference"/>
          <w:rFonts w:ascii="Times New Roman" w:hAnsi="Times New Roman" w:cs="Times New Roman"/>
          <w:sz w:val="24"/>
          <w:szCs w:val="24"/>
        </w:rPr>
        <w:endnoteReference w:id="4"/>
      </w:r>
      <w:r w:rsidR="00A95AF8">
        <w:rPr>
          <w:rFonts w:ascii="Times New Roman" w:hAnsi="Times New Roman" w:cs="Times New Roman"/>
          <w:sz w:val="24"/>
          <w:szCs w:val="24"/>
        </w:rPr>
        <w:t xml:space="preserve"> </w:t>
      </w:r>
      <w:r w:rsidR="00525DAD">
        <w:rPr>
          <w:rFonts w:ascii="Times New Roman" w:hAnsi="Times New Roman" w:cs="Times New Roman"/>
          <w:sz w:val="24"/>
          <w:szCs w:val="24"/>
        </w:rPr>
        <w:t>Despite this endorsement</w:t>
      </w:r>
      <w:r w:rsidR="004847C8">
        <w:rPr>
          <w:rFonts w:ascii="Times New Roman" w:hAnsi="Times New Roman" w:cs="Times New Roman"/>
          <w:sz w:val="24"/>
          <w:szCs w:val="24"/>
        </w:rPr>
        <w:t>,</w:t>
      </w:r>
      <w:r w:rsidR="0065744C">
        <w:rPr>
          <w:rFonts w:ascii="Times New Roman" w:hAnsi="Times New Roman" w:cs="Times New Roman"/>
          <w:sz w:val="24"/>
          <w:szCs w:val="24"/>
        </w:rPr>
        <w:t xml:space="preserve"> or </w:t>
      </w:r>
      <w:r w:rsidR="00525DAD">
        <w:rPr>
          <w:rFonts w:ascii="Times New Roman" w:hAnsi="Times New Roman" w:cs="Times New Roman"/>
          <w:sz w:val="24"/>
          <w:szCs w:val="24"/>
        </w:rPr>
        <w:t>perhaps because of it</w:t>
      </w:r>
      <w:r w:rsidR="004847C8">
        <w:rPr>
          <w:rFonts w:ascii="Times New Roman" w:hAnsi="Times New Roman" w:cs="Times New Roman"/>
          <w:sz w:val="24"/>
          <w:szCs w:val="24"/>
        </w:rPr>
        <w:t>,</w:t>
      </w:r>
      <w:r w:rsidR="0065744C">
        <w:rPr>
          <w:rFonts w:ascii="Times New Roman" w:hAnsi="Times New Roman" w:cs="Times New Roman"/>
          <w:sz w:val="24"/>
          <w:szCs w:val="24"/>
        </w:rPr>
        <w:t xml:space="preserve"> the </w:t>
      </w:r>
      <w:r w:rsidR="0073463A">
        <w:rPr>
          <w:rFonts w:ascii="Times New Roman" w:hAnsi="Times New Roman" w:cs="Times New Roman"/>
          <w:sz w:val="24"/>
          <w:szCs w:val="24"/>
        </w:rPr>
        <w:t xml:space="preserve">food industry </w:t>
      </w:r>
      <w:r>
        <w:rPr>
          <w:rFonts w:ascii="Times New Roman" w:hAnsi="Times New Roman" w:cs="Times New Roman"/>
          <w:sz w:val="24"/>
          <w:szCs w:val="24"/>
        </w:rPr>
        <w:t xml:space="preserve">has mobilised vast </w:t>
      </w:r>
      <w:r w:rsidR="00CF4B57">
        <w:rPr>
          <w:rFonts w:ascii="Times New Roman" w:hAnsi="Times New Roman" w:cs="Times New Roman"/>
          <w:sz w:val="24"/>
          <w:szCs w:val="24"/>
        </w:rPr>
        <w:t xml:space="preserve">resources to oppose </w:t>
      </w:r>
      <w:r w:rsidR="003D6B4D">
        <w:rPr>
          <w:rFonts w:ascii="Times New Roman" w:hAnsi="Times New Roman" w:cs="Times New Roman"/>
          <w:sz w:val="24"/>
          <w:szCs w:val="24"/>
        </w:rPr>
        <w:t xml:space="preserve">the adoption of mandatory, colour-coded, interpretive </w:t>
      </w:r>
      <w:r w:rsidR="00CF4B57">
        <w:rPr>
          <w:rFonts w:ascii="Times New Roman" w:hAnsi="Times New Roman" w:cs="Times New Roman"/>
          <w:sz w:val="24"/>
          <w:szCs w:val="24"/>
        </w:rPr>
        <w:t xml:space="preserve">FoPNL. </w:t>
      </w:r>
      <w:r>
        <w:rPr>
          <w:rFonts w:ascii="Times New Roman" w:hAnsi="Times New Roman" w:cs="Times New Roman"/>
          <w:sz w:val="24"/>
          <w:szCs w:val="24"/>
        </w:rPr>
        <w:t xml:space="preserve">In the EU, </w:t>
      </w:r>
      <w:r w:rsidR="00A95AF8">
        <w:rPr>
          <w:rFonts w:ascii="Times New Roman" w:hAnsi="Times New Roman" w:cs="Times New Roman"/>
          <w:sz w:val="24"/>
          <w:szCs w:val="24"/>
        </w:rPr>
        <w:t xml:space="preserve">efforts have </w:t>
      </w:r>
      <w:r w:rsidR="00D37807" w:rsidRPr="00383C60">
        <w:rPr>
          <w:rFonts w:ascii="Times New Roman" w:hAnsi="Times New Roman" w:cs="Times New Roman"/>
          <w:sz w:val="24"/>
          <w:szCs w:val="24"/>
        </w:rPr>
        <w:t xml:space="preserve">focused on the </w:t>
      </w:r>
      <w:r w:rsidR="004942E9" w:rsidRPr="00383C60">
        <w:rPr>
          <w:rFonts w:ascii="Times New Roman" w:hAnsi="Times New Roman" w:cs="Times New Roman"/>
          <w:sz w:val="24"/>
          <w:szCs w:val="24"/>
        </w:rPr>
        <w:t>Nutri-Score</w:t>
      </w:r>
      <w:r w:rsidR="00A6369E" w:rsidRPr="00383C60">
        <w:rPr>
          <w:rStyle w:val="EndnoteReference"/>
          <w:rFonts w:ascii="Times New Roman" w:hAnsi="Times New Roman" w:cs="Times New Roman"/>
          <w:sz w:val="24"/>
          <w:szCs w:val="24"/>
        </w:rPr>
        <w:endnoteReference w:id="5"/>
      </w:r>
      <w:r w:rsidR="00AA4C4D" w:rsidRPr="00383C60">
        <w:rPr>
          <w:rFonts w:ascii="Times New Roman" w:hAnsi="Times New Roman" w:cs="Times New Roman"/>
          <w:sz w:val="24"/>
          <w:szCs w:val="24"/>
        </w:rPr>
        <w:t xml:space="preserve">, </w:t>
      </w:r>
      <w:r w:rsidR="00383C60" w:rsidRPr="00383C60">
        <w:rPr>
          <w:rFonts w:ascii="Times New Roman" w:hAnsi="Times New Roman" w:cs="Times New Roman"/>
          <w:sz w:val="24"/>
          <w:szCs w:val="24"/>
        </w:rPr>
        <w:t xml:space="preserve">a labelling </w:t>
      </w:r>
      <w:r w:rsidR="00B8247F">
        <w:rPr>
          <w:rFonts w:ascii="Times New Roman" w:hAnsi="Times New Roman" w:cs="Times New Roman"/>
          <w:sz w:val="24"/>
          <w:szCs w:val="24"/>
        </w:rPr>
        <w:t xml:space="preserve">scheme </w:t>
      </w:r>
      <w:r w:rsidR="00383C60" w:rsidRPr="00383C60">
        <w:rPr>
          <w:rFonts w:ascii="Times New Roman" w:hAnsi="Times New Roman" w:cs="Times New Roman"/>
          <w:sz w:val="24"/>
          <w:szCs w:val="24"/>
        </w:rPr>
        <w:t>based on an algorithm which ranks food from A/dark green to denote the healthiest nutrient profiles in food products, to E/dark orange for the unhealthiest. Nutri-score</w:t>
      </w:r>
      <w:r w:rsidR="00A95AF8" w:rsidRPr="00383C60">
        <w:rPr>
          <w:rFonts w:ascii="Times New Roman" w:hAnsi="Times New Roman" w:cs="Times New Roman"/>
          <w:sz w:val="24"/>
          <w:szCs w:val="24"/>
        </w:rPr>
        <w:t xml:space="preserve"> </w:t>
      </w:r>
      <w:r w:rsidR="003D6B4D" w:rsidRPr="00383C60">
        <w:rPr>
          <w:rFonts w:ascii="Times New Roman" w:hAnsi="Times New Roman" w:cs="Times New Roman"/>
          <w:sz w:val="24"/>
          <w:szCs w:val="24"/>
        </w:rPr>
        <w:t xml:space="preserve">is already used </w:t>
      </w:r>
      <w:r w:rsidR="00AA4C4D" w:rsidRPr="00383C60">
        <w:rPr>
          <w:rFonts w:ascii="Times New Roman" w:hAnsi="Times New Roman" w:cs="Times New Roman"/>
          <w:sz w:val="24"/>
          <w:szCs w:val="24"/>
        </w:rPr>
        <w:t xml:space="preserve">in six EU Member States and is arguably the strongest contender for </w:t>
      </w:r>
      <w:r w:rsidR="00A95AF8" w:rsidRPr="00383C60">
        <w:rPr>
          <w:rFonts w:ascii="Times New Roman" w:hAnsi="Times New Roman" w:cs="Times New Roman"/>
          <w:sz w:val="24"/>
          <w:szCs w:val="24"/>
        </w:rPr>
        <w:t>the</w:t>
      </w:r>
      <w:r w:rsidR="00AA4C4D" w:rsidRPr="00383C60">
        <w:rPr>
          <w:rFonts w:ascii="Times New Roman" w:hAnsi="Times New Roman" w:cs="Times New Roman"/>
          <w:sz w:val="24"/>
          <w:szCs w:val="24"/>
        </w:rPr>
        <w:t xml:space="preserve"> </w:t>
      </w:r>
      <w:r w:rsidR="00383C60">
        <w:rPr>
          <w:rFonts w:ascii="Times New Roman" w:hAnsi="Times New Roman" w:cs="Times New Roman"/>
          <w:sz w:val="24"/>
          <w:szCs w:val="24"/>
        </w:rPr>
        <w:t xml:space="preserve">proposed </w:t>
      </w:r>
      <w:r w:rsidR="00AA4C4D" w:rsidRPr="00383C60">
        <w:rPr>
          <w:rFonts w:ascii="Times New Roman" w:hAnsi="Times New Roman" w:cs="Times New Roman"/>
          <w:sz w:val="24"/>
          <w:szCs w:val="24"/>
        </w:rPr>
        <w:t>harmonised, EU-wide FoPNL scheme</w:t>
      </w:r>
      <w:r w:rsidR="00383C60">
        <w:rPr>
          <w:rFonts w:ascii="Times New Roman" w:hAnsi="Times New Roman" w:cs="Times New Roman"/>
          <w:sz w:val="24"/>
          <w:szCs w:val="24"/>
        </w:rPr>
        <w:t xml:space="preserve"> in</w:t>
      </w:r>
      <w:r w:rsidR="00A95AF8" w:rsidRPr="00383C60">
        <w:rPr>
          <w:rFonts w:ascii="Times New Roman" w:hAnsi="Times New Roman" w:cs="Times New Roman"/>
          <w:sz w:val="24"/>
          <w:szCs w:val="24"/>
        </w:rPr>
        <w:t xml:space="preserve"> the European Commission</w:t>
      </w:r>
      <w:r w:rsidR="00AA4C4D" w:rsidRPr="00383C60">
        <w:rPr>
          <w:rFonts w:ascii="Times New Roman" w:hAnsi="Times New Roman" w:cs="Times New Roman"/>
          <w:sz w:val="24"/>
          <w:szCs w:val="24"/>
        </w:rPr>
        <w:t>.</w:t>
      </w:r>
      <w:r w:rsidR="0070211F" w:rsidRPr="00383C60">
        <w:rPr>
          <w:rStyle w:val="EndnoteReference"/>
          <w:rFonts w:ascii="Times New Roman" w:hAnsi="Times New Roman" w:cs="Times New Roman"/>
          <w:sz w:val="24"/>
          <w:szCs w:val="24"/>
        </w:rPr>
        <w:endnoteReference w:id="6"/>
      </w:r>
      <w:r w:rsidR="00AA4C4D" w:rsidRPr="00383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CFF3D" w14:textId="7C38B27D" w:rsidR="007945D5" w:rsidRDefault="00AA4C4D" w:rsidP="003E7E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3D6B4D">
        <w:rPr>
          <w:rFonts w:ascii="Times New Roman" w:hAnsi="Times New Roman" w:cs="Times New Roman"/>
          <w:sz w:val="24"/>
          <w:szCs w:val="24"/>
        </w:rPr>
        <w:t>a</w:t>
      </w:r>
      <w:r w:rsidR="009A08C0">
        <w:rPr>
          <w:rFonts w:ascii="Times New Roman" w:hAnsi="Times New Roman" w:cs="Times New Roman"/>
          <w:sz w:val="24"/>
          <w:szCs w:val="24"/>
        </w:rPr>
        <w:t xml:space="preserve"> recent article</w:t>
      </w:r>
      <w:r w:rsidR="00DF7749">
        <w:rPr>
          <w:rFonts w:ascii="Times New Roman" w:hAnsi="Times New Roman" w:cs="Times New Roman"/>
          <w:sz w:val="24"/>
          <w:szCs w:val="24"/>
        </w:rPr>
        <w:t xml:space="preserve">, </w:t>
      </w:r>
      <w:r w:rsidRPr="0099751E">
        <w:rPr>
          <w:rFonts w:ascii="Times New Roman" w:hAnsi="Times New Roman" w:cs="Times New Roman"/>
          <w:sz w:val="24"/>
          <w:szCs w:val="24"/>
        </w:rPr>
        <w:t xml:space="preserve">Peters and Verhagen </w:t>
      </w:r>
      <w:r>
        <w:rPr>
          <w:rFonts w:ascii="Times New Roman" w:hAnsi="Times New Roman" w:cs="Times New Roman"/>
          <w:sz w:val="24"/>
          <w:szCs w:val="24"/>
        </w:rPr>
        <w:t>attempt</w:t>
      </w:r>
      <w:r w:rsidR="0073463A">
        <w:rPr>
          <w:rFonts w:ascii="Times New Roman" w:hAnsi="Times New Roman" w:cs="Times New Roman"/>
          <w:sz w:val="24"/>
          <w:szCs w:val="24"/>
        </w:rPr>
        <w:t xml:space="preserve"> to </w:t>
      </w:r>
      <w:r w:rsidR="000114D2" w:rsidRPr="0099751E">
        <w:rPr>
          <w:rFonts w:ascii="Times New Roman" w:hAnsi="Times New Roman" w:cs="Times New Roman"/>
          <w:sz w:val="24"/>
          <w:szCs w:val="24"/>
        </w:rPr>
        <w:t>discredit the extensive body of scientific research underpinning the Nutri-Score</w:t>
      </w:r>
      <w:r w:rsidR="00DF7749">
        <w:rPr>
          <w:rFonts w:ascii="Times New Roman" w:hAnsi="Times New Roman" w:cs="Times New Roman"/>
          <w:sz w:val="24"/>
          <w:szCs w:val="24"/>
        </w:rPr>
        <w:t xml:space="preserve"> </w:t>
      </w:r>
      <w:r w:rsidR="00DF7749" w:rsidRPr="00DF7749">
        <w:rPr>
          <w:rFonts w:ascii="Times New Roman" w:hAnsi="Times New Roman" w:cs="Times New Roman"/>
          <w:sz w:val="24"/>
          <w:szCs w:val="24"/>
        </w:rPr>
        <w:t xml:space="preserve">(“Publication bias and Nutri-Score: A complete literature review of the substantiation of the effectiveness of the front-of-pack logo Nutri-Score”, </w:t>
      </w:r>
      <w:proofErr w:type="spellStart"/>
      <w:r w:rsidR="00DF7749" w:rsidRPr="00DF7749">
        <w:rPr>
          <w:rFonts w:ascii="Times New Roman" w:hAnsi="Times New Roman" w:cs="Times New Roman"/>
          <w:i/>
          <w:sz w:val="24"/>
          <w:szCs w:val="24"/>
        </w:rPr>
        <w:t>PharmaNutrition</w:t>
      </w:r>
      <w:proofErr w:type="spellEnd"/>
      <w:r w:rsidR="00DF7749" w:rsidRPr="00DF7749">
        <w:rPr>
          <w:rFonts w:ascii="Times New Roman" w:hAnsi="Times New Roman" w:cs="Times New Roman"/>
          <w:sz w:val="24"/>
          <w:szCs w:val="24"/>
        </w:rPr>
        <w:t xml:space="preserve">, </w:t>
      </w:r>
      <w:r w:rsidR="00DF7749" w:rsidRPr="004D3750">
        <w:rPr>
          <w:rFonts w:ascii="Times New Roman" w:hAnsi="Times New Roman" w:cs="Times New Roman"/>
          <w:sz w:val="24"/>
          <w:szCs w:val="24"/>
        </w:rPr>
        <w:t xml:space="preserve">Volume 27, </w:t>
      </w:r>
      <w:r w:rsidR="004D3750" w:rsidRPr="00B820F1">
        <w:rPr>
          <w:rFonts w:ascii="Times New Roman" w:hAnsi="Times New Roman" w:cs="Times New Roman"/>
          <w:sz w:val="24"/>
          <w:szCs w:val="24"/>
        </w:rPr>
        <w:t xml:space="preserve">March </w:t>
      </w:r>
      <w:r w:rsidR="00DF7749" w:rsidRPr="004D3750">
        <w:rPr>
          <w:rFonts w:ascii="Times New Roman" w:hAnsi="Times New Roman" w:cs="Times New Roman"/>
          <w:sz w:val="24"/>
          <w:szCs w:val="24"/>
        </w:rPr>
        <w:t>2024</w:t>
      </w:r>
      <w:r w:rsidR="00DF7749" w:rsidRPr="00DF7749">
        <w:rPr>
          <w:rFonts w:ascii="Times New Roman" w:hAnsi="Times New Roman" w:cs="Times New Roman"/>
          <w:sz w:val="24"/>
          <w:szCs w:val="24"/>
        </w:rPr>
        <w:t>)</w:t>
      </w:r>
      <w:r w:rsidR="003D6B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Their piece is symptomatic of several</w:t>
      </w:r>
      <w:r w:rsidR="0070211F">
        <w:rPr>
          <w:rFonts w:ascii="Times New Roman" w:hAnsi="Times New Roman" w:cs="Times New Roman"/>
          <w:sz w:val="24"/>
          <w:szCs w:val="24"/>
        </w:rPr>
        <w:t xml:space="preserve"> of the</w:t>
      </w:r>
      <w:r>
        <w:rPr>
          <w:rFonts w:ascii="Times New Roman" w:hAnsi="Times New Roman" w:cs="Times New Roman"/>
          <w:sz w:val="24"/>
          <w:szCs w:val="24"/>
        </w:rPr>
        <w:t xml:space="preserve"> tactics</w:t>
      </w:r>
      <w:r w:rsidR="0070211F">
        <w:rPr>
          <w:rFonts w:ascii="Times New Roman" w:hAnsi="Times New Roman" w:cs="Times New Roman"/>
          <w:sz w:val="24"/>
          <w:szCs w:val="24"/>
        </w:rPr>
        <w:t xml:space="preserve"> </w:t>
      </w:r>
      <w:r w:rsidR="00732BEC">
        <w:rPr>
          <w:rFonts w:ascii="Times New Roman" w:hAnsi="Times New Roman" w:cs="Times New Roman"/>
          <w:sz w:val="24"/>
          <w:szCs w:val="24"/>
        </w:rPr>
        <w:t xml:space="preserve">large parts </w:t>
      </w:r>
      <w:r w:rsidR="0070211F">
        <w:rPr>
          <w:rFonts w:ascii="Times New Roman" w:hAnsi="Times New Roman" w:cs="Times New Roman"/>
          <w:sz w:val="24"/>
          <w:szCs w:val="24"/>
        </w:rPr>
        <w:t>the food industry</w:t>
      </w:r>
      <w:r>
        <w:rPr>
          <w:rFonts w:ascii="Times New Roman" w:hAnsi="Times New Roman" w:cs="Times New Roman"/>
          <w:sz w:val="24"/>
          <w:szCs w:val="24"/>
        </w:rPr>
        <w:t xml:space="preserve"> employ</w:t>
      </w:r>
      <w:r w:rsidR="0070211F">
        <w:rPr>
          <w:rFonts w:ascii="Times New Roman" w:hAnsi="Times New Roman" w:cs="Times New Roman"/>
          <w:sz w:val="24"/>
          <w:szCs w:val="24"/>
        </w:rPr>
        <w:t xml:space="preserve"> when</w:t>
      </w:r>
      <w:r>
        <w:rPr>
          <w:rFonts w:ascii="Times New Roman" w:hAnsi="Times New Roman" w:cs="Times New Roman"/>
          <w:sz w:val="24"/>
          <w:szCs w:val="24"/>
        </w:rPr>
        <w:t xml:space="preserve"> seeking to derail ongoing regulatory processes intended to promote healthier diets.</w:t>
      </w:r>
      <w:r w:rsidR="00A95AF8">
        <w:rPr>
          <w:rFonts w:ascii="Times New Roman" w:hAnsi="Times New Roman" w:cs="Times New Roman"/>
          <w:sz w:val="24"/>
          <w:szCs w:val="24"/>
        </w:rPr>
        <w:t xml:space="preserve"> We </w:t>
      </w:r>
      <w:r w:rsidR="008D6563">
        <w:rPr>
          <w:rFonts w:ascii="Times New Roman" w:hAnsi="Times New Roman" w:cs="Times New Roman"/>
          <w:sz w:val="24"/>
          <w:szCs w:val="24"/>
        </w:rPr>
        <w:t xml:space="preserve">use this example to </w:t>
      </w:r>
      <w:r w:rsidR="00443373">
        <w:rPr>
          <w:rFonts w:ascii="Times New Roman" w:hAnsi="Times New Roman" w:cs="Times New Roman"/>
          <w:sz w:val="24"/>
          <w:szCs w:val="24"/>
        </w:rPr>
        <w:t>briefly discuss</w:t>
      </w:r>
      <w:r w:rsidR="008D6563">
        <w:rPr>
          <w:rFonts w:ascii="Times New Roman" w:hAnsi="Times New Roman" w:cs="Times New Roman"/>
          <w:sz w:val="24"/>
          <w:szCs w:val="24"/>
        </w:rPr>
        <w:t xml:space="preserve"> and illustrate</w:t>
      </w:r>
      <w:r w:rsidR="00443373">
        <w:rPr>
          <w:rFonts w:ascii="Times New Roman" w:hAnsi="Times New Roman" w:cs="Times New Roman"/>
          <w:sz w:val="24"/>
          <w:szCs w:val="24"/>
        </w:rPr>
        <w:t xml:space="preserve"> </w:t>
      </w:r>
      <w:r w:rsidR="007671A3">
        <w:rPr>
          <w:rFonts w:ascii="Times New Roman" w:hAnsi="Times New Roman" w:cs="Times New Roman"/>
          <w:sz w:val="24"/>
          <w:szCs w:val="24"/>
        </w:rPr>
        <w:t xml:space="preserve">three </w:t>
      </w:r>
      <w:r w:rsidR="003A3E80">
        <w:rPr>
          <w:rFonts w:ascii="Times New Roman" w:hAnsi="Times New Roman" w:cs="Times New Roman"/>
          <w:sz w:val="24"/>
          <w:szCs w:val="24"/>
        </w:rPr>
        <w:t>of these tactics here</w:t>
      </w:r>
      <w:r w:rsidR="00A95AF8">
        <w:rPr>
          <w:rFonts w:ascii="Times New Roman" w:hAnsi="Times New Roman" w:cs="Times New Roman"/>
          <w:sz w:val="24"/>
          <w:szCs w:val="24"/>
        </w:rPr>
        <w:t>.</w:t>
      </w:r>
    </w:p>
    <w:p w14:paraId="6052EF88" w14:textId="0F10DA0B" w:rsidR="0099751E" w:rsidRPr="00F35C91" w:rsidRDefault="00CD391B" w:rsidP="0099751E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Attack legitimate science</w:t>
      </w:r>
      <w:r w:rsidR="002D1217">
        <w:rPr>
          <w:rFonts w:ascii="Times New Roman" w:hAnsi="Times New Roman" w:cs="Times New Roman"/>
          <w:sz w:val="24"/>
          <w:szCs w:val="24"/>
          <w:u w:val="single"/>
        </w:rPr>
        <w:t xml:space="preserve"> through unscientific</w:t>
      </w:r>
      <w:r w:rsidR="0099751E" w:rsidRPr="00CD391B">
        <w:rPr>
          <w:rFonts w:ascii="Times New Roman" w:hAnsi="Times New Roman" w:cs="Times New Roman"/>
          <w:sz w:val="24"/>
          <w:szCs w:val="24"/>
          <w:u w:val="single"/>
        </w:rPr>
        <w:t xml:space="preserve"> methodolog</w:t>
      </w:r>
      <w:r w:rsidR="002D1217">
        <w:rPr>
          <w:rFonts w:ascii="Times New Roman" w:hAnsi="Times New Roman" w:cs="Times New Roman"/>
          <w:sz w:val="24"/>
          <w:szCs w:val="24"/>
          <w:u w:val="single"/>
        </w:rPr>
        <w:t>ies</w:t>
      </w:r>
    </w:p>
    <w:p w14:paraId="2082EB22" w14:textId="5C824FAC" w:rsidR="00F87830" w:rsidRDefault="0093551C" w:rsidP="001C29F4">
      <w:pPr>
        <w:jc w:val="both"/>
        <w:rPr>
          <w:rFonts w:ascii="Times New Roman" w:hAnsi="Times New Roman" w:cs="Times New Roman"/>
          <w:sz w:val="24"/>
          <w:szCs w:val="24"/>
        </w:rPr>
      </w:pPr>
      <w:r w:rsidRPr="0099751E">
        <w:rPr>
          <w:rFonts w:ascii="Times New Roman" w:hAnsi="Times New Roman" w:cs="Times New Roman"/>
          <w:sz w:val="24"/>
          <w:szCs w:val="24"/>
        </w:rPr>
        <w:t xml:space="preserve">In their paper, Peters and Verhagen claim to have demonstrated, based on a so-called </w:t>
      </w:r>
      <w:r w:rsidR="0070211F">
        <w:rPr>
          <w:rFonts w:ascii="Times New Roman" w:hAnsi="Times New Roman" w:cs="Times New Roman"/>
          <w:sz w:val="24"/>
          <w:szCs w:val="24"/>
        </w:rPr>
        <w:t>“</w:t>
      </w:r>
      <w:r w:rsidRPr="0099751E">
        <w:rPr>
          <w:rFonts w:ascii="Times New Roman" w:hAnsi="Times New Roman" w:cs="Times New Roman"/>
          <w:sz w:val="24"/>
          <w:szCs w:val="24"/>
        </w:rPr>
        <w:t>complete literature review</w:t>
      </w:r>
      <w:r w:rsidR="0070211F">
        <w:rPr>
          <w:rFonts w:ascii="Times New Roman" w:hAnsi="Times New Roman" w:cs="Times New Roman"/>
          <w:sz w:val="24"/>
          <w:szCs w:val="24"/>
        </w:rPr>
        <w:t>”</w:t>
      </w:r>
      <w:r w:rsidRPr="0099751E">
        <w:rPr>
          <w:rFonts w:ascii="Times New Roman" w:hAnsi="Times New Roman" w:cs="Times New Roman"/>
          <w:sz w:val="24"/>
          <w:szCs w:val="24"/>
        </w:rPr>
        <w:t xml:space="preserve">, that </w:t>
      </w:r>
      <w:r w:rsidR="0070211F">
        <w:rPr>
          <w:rFonts w:ascii="Times New Roman" w:hAnsi="Times New Roman" w:cs="Times New Roman"/>
          <w:sz w:val="24"/>
          <w:szCs w:val="24"/>
        </w:rPr>
        <w:t>“</w:t>
      </w:r>
      <w:r w:rsidRPr="0099751E">
        <w:rPr>
          <w:rFonts w:ascii="Times New Roman" w:hAnsi="Times New Roman" w:cs="Times New Roman"/>
          <w:sz w:val="24"/>
          <w:szCs w:val="24"/>
        </w:rPr>
        <w:t>there is insufficient scientific evidence to support the use of Nutri-Score as an effective public health tool</w:t>
      </w:r>
      <w:r w:rsidR="0070211F">
        <w:rPr>
          <w:rFonts w:ascii="Times New Roman" w:hAnsi="Times New Roman" w:cs="Times New Roman"/>
          <w:sz w:val="24"/>
          <w:szCs w:val="24"/>
        </w:rPr>
        <w:t>”</w:t>
      </w:r>
      <w:r w:rsidR="009D00CD">
        <w:rPr>
          <w:rFonts w:ascii="Times New Roman" w:hAnsi="Times New Roman" w:cs="Times New Roman"/>
          <w:sz w:val="24"/>
          <w:szCs w:val="24"/>
        </w:rPr>
        <w:t>.</w:t>
      </w:r>
      <w:r w:rsidRPr="0099751E">
        <w:rPr>
          <w:rFonts w:ascii="Times New Roman" w:hAnsi="Times New Roman" w:cs="Times New Roman"/>
          <w:sz w:val="24"/>
          <w:szCs w:val="24"/>
        </w:rPr>
        <w:t xml:space="preserve"> </w:t>
      </w:r>
      <w:r w:rsidR="001C29F4">
        <w:rPr>
          <w:rFonts w:ascii="Times New Roman" w:hAnsi="Times New Roman" w:cs="Times New Roman"/>
          <w:sz w:val="24"/>
          <w:szCs w:val="24"/>
        </w:rPr>
        <w:t xml:space="preserve">However, </w:t>
      </w:r>
      <w:r w:rsidR="00F87830" w:rsidRPr="0099751E">
        <w:rPr>
          <w:rFonts w:ascii="Times New Roman" w:hAnsi="Times New Roman" w:cs="Times New Roman"/>
          <w:sz w:val="24"/>
          <w:szCs w:val="24"/>
        </w:rPr>
        <w:t>t</w:t>
      </w:r>
      <w:r w:rsidR="001C29F4">
        <w:rPr>
          <w:rFonts w:ascii="Times New Roman" w:hAnsi="Times New Roman" w:cs="Times New Roman"/>
          <w:sz w:val="24"/>
          <w:szCs w:val="24"/>
        </w:rPr>
        <w:t>he</w:t>
      </w:r>
      <w:r w:rsidR="00AA4C4D">
        <w:rPr>
          <w:rFonts w:ascii="Times New Roman" w:hAnsi="Times New Roman" w:cs="Times New Roman"/>
          <w:sz w:val="24"/>
          <w:szCs w:val="24"/>
        </w:rPr>
        <w:t>ir</w:t>
      </w:r>
      <w:r w:rsidR="001C29F4">
        <w:rPr>
          <w:rFonts w:ascii="Times New Roman" w:hAnsi="Times New Roman" w:cs="Times New Roman"/>
          <w:sz w:val="24"/>
          <w:szCs w:val="24"/>
        </w:rPr>
        <w:t xml:space="preserve"> methodology</w:t>
      </w:r>
      <w:r w:rsidR="00AA4C4D">
        <w:rPr>
          <w:rFonts w:ascii="Times New Roman" w:hAnsi="Times New Roman" w:cs="Times New Roman"/>
          <w:sz w:val="24"/>
          <w:szCs w:val="24"/>
        </w:rPr>
        <w:t xml:space="preserve"> </w:t>
      </w:r>
      <w:r w:rsidR="00383C60">
        <w:rPr>
          <w:rFonts w:ascii="Times New Roman" w:hAnsi="Times New Roman" w:cs="Times New Roman"/>
          <w:sz w:val="24"/>
          <w:szCs w:val="24"/>
        </w:rPr>
        <w:t>and analysis are</w:t>
      </w:r>
      <w:r w:rsidR="00FC3E54">
        <w:rPr>
          <w:rFonts w:ascii="Times New Roman" w:hAnsi="Times New Roman" w:cs="Times New Roman"/>
          <w:sz w:val="24"/>
          <w:szCs w:val="24"/>
        </w:rPr>
        <w:t xml:space="preserve"> not based on</w:t>
      </w:r>
      <w:r w:rsidR="00AA4C4D">
        <w:rPr>
          <w:rFonts w:ascii="Times New Roman" w:hAnsi="Times New Roman" w:cs="Times New Roman"/>
          <w:sz w:val="24"/>
          <w:szCs w:val="24"/>
        </w:rPr>
        <w:t xml:space="preserve"> scientific, objective criteria</w:t>
      </w:r>
      <w:r w:rsidR="00FC3E54">
        <w:rPr>
          <w:rFonts w:ascii="Times New Roman" w:hAnsi="Times New Roman" w:cs="Times New Roman"/>
          <w:sz w:val="24"/>
          <w:szCs w:val="24"/>
        </w:rPr>
        <w:t>,</w:t>
      </w:r>
      <w:r w:rsidR="00AA4C4D">
        <w:rPr>
          <w:rFonts w:ascii="Times New Roman" w:hAnsi="Times New Roman" w:cs="Times New Roman"/>
          <w:sz w:val="24"/>
          <w:szCs w:val="24"/>
        </w:rPr>
        <w:t xml:space="preserve"> in sharp contrast to the body of research they challenge</w:t>
      </w:r>
      <w:r w:rsidR="00383C60">
        <w:rPr>
          <w:rStyle w:val="EndnoteReference"/>
          <w:rFonts w:ascii="Times New Roman" w:hAnsi="Times New Roman" w:cs="Times New Roman"/>
          <w:sz w:val="24"/>
          <w:szCs w:val="24"/>
        </w:rPr>
        <w:endnoteReference w:id="7"/>
      </w:r>
      <w:r w:rsidR="001C29F4">
        <w:rPr>
          <w:rFonts w:ascii="Times New Roman" w:hAnsi="Times New Roman" w:cs="Times New Roman"/>
          <w:sz w:val="24"/>
          <w:szCs w:val="24"/>
        </w:rPr>
        <w:t>.</w:t>
      </w:r>
    </w:p>
    <w:p w14:paraId="7BA92B14" w14:textId="7541A037" w:rsidR="00FC3E54" w:rsidRDefault="00383C60" w:rsidP="001C29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671A3">
        <w:rPr>
          <w:rFonts w:ascii="Times New Roman" w:hAnsi="Times New Roman" w:cs="Times New Roman"/>
          <w:sz w:val="24"/>
          <w:szCs w:val="24"/>
        </w:rPr>
        <w:t xml:space="preserve">he two authors have </w:t>
      </w:r>
      <w:r w:rsidR="003A3E80">
        <w:rPr>
          <w:rFonts w:ascii="Times New Roman" w:hAnsi="Times New Roman" w:cs="Times New Roman"/>
          <w:sz w:val="24"/>
          <w:szCs w:val="24"/>
        </w:rPr>
        <w:t>included</w:t>
      </w:r>
      <w:r w:rsidR="00B8247F">
        <w:rPr>
          <w:rFonts w:ascii="Times New Roman" w:hAnsi="Times New Roman" w:cs="Times New Roman"/>
          <w:sz w:val="24"/>
          <w:szCs w:val="24"/>
        </w:rPr>
        <w:t>,</w:t>
      </w:r>
      <w:r w:rsidR="003A3E80">
        <w:rPr>
          <w:rFonts w:ascii="Times New Roman" w:hAnsi="Times New Roman" w:cs="Times New Roman"/>
          <w:sz w:val="24"/>
          <w:szCs w:val="24"/>
        </w:rPr>
        <w:t xml:space="preserve"> in their review</w:t>
      </w:r>
      <w:r w:rsidR="00B8247F">
        <w:rPr>
          <w:rFonts w:ascii="Times New Roman" w:hAnsi="Times New Roman" w:cs="Times New Roman"/>
          <w:sz w:val="24"/>
          <w:szCs w:val="24"/>
        </w:rPr>
        <w:t>,</w:t>
      </w:r>
      <w:r w:rsidR="003A3E80" w:rsidRPr="002D1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publications that </w:t>
      </w:r>
      <w:r w:rsidR="007671A3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>, for example,</w:t>
      </w:r>
      <w:r w:rsidR="00FC3E54" w:rsidRPr="002D1217">
        <w:rPr>
          <w:rFonts w:ascii="Times New Roman" w:hAnsi="Times New Roman" w:cs="Times New Roman"/>
          <w:sz w:val="24"/>
          <w:szCs w:val="24"/>
        </w:rPr>
        <w:t xml:space="preserve"> counted twice and</w:t>
      </w:r>
      <w:r w:rsidR="00FC3E54">
        <w:rPr>
          <w:rFonts w:ascii="Times New Roman" w:hAnsi="Times New Roman" w:cs="Times New Roman"/>
          <w:sz w:val="24"/>
          <w:szCs w:val="24"/>
        </w:rPr>
        <w:t xml:space="preserve"> are</w:t>
      </w:r>
      <w:r w:rsidR="00FC3E54" w:rsidRPr="002D1217">
        <w:rPr>
          <w:rFonts w:ascii="Times New Roman" w:hAnsi="Times New Roman" w:cs="Times New Roman"/>
          <w:sz w:val="24"/>
          <w:szCs w:val="24"/>
        </w:rPr>
        <w:t xml:space="preserve">, at times, classified differently. For example, the paper by </w:t>
      </w:r>
      <w:proofErr w:type="spellStart"/>
      <w:r w:rsidR="00FC3E54" w:rsidRPr="002D1217">
        <w:rPr>
          <w:rFonts w:ascii="Times New Roman" w:hAnsi="Times New Roman" w:cs="Times New Roman"/>
          <w:sz w:val="24"/>
          <w:szCs w:val="24"/>
        </w:rPr>
        <w:t>Bonna</w:t>
      </w:r>
      <w:r w:rsidR="00FC3E54" w:rsidRPr="00FC3E54">
        <w:rPr>
          <w:rFonts w:ascii="Times New Roman" w:hAnsi="Times New Roman" w:cs="Times New Roman"/>
          <w:sz w:val="24"/>
          <w:szCs w:val="24"/>
        </w:rPr>
        <w:t>cio</w:t>
      </w:r>
      <w:proofErr w:type="spellEnd"/>
      <w:r w:rsidR="00FC3E54" w:rsidRPr="00FC3E54">
        <w:rPr>
          <w:rFonts w:ascii="Times New Roman" w:hAnsi="Times New Roman" w:cs="Times New Roman"/>
          <w:sz w:val="24"/>
          <w:szCs w:val="24"/>
        </w:rPr>
        <w:t xml:space="preserve"> et al</w:t>
      </w:r>
      <w:r w:rsidR="008D6563">
        <w:rPr>
          <w:rFonts w:ascii="Times New Roman" w:hAnsi="Times New Roman" w:cs="Times New Roman"/>
          <w:sz w:val="24"/>
          <w:szCs w:val="24"/>
        </w:rPr>
        <w:t>.</w:t>
      </w:r>
      <w:r w:rsidR="00FC3E54" w:rsidRPr="002D1217">
        <w:rPr>
          <w:rFonts w:ascii="Times New Roman" w:hAnsi="Times New Roman" w:cs="Times New Roman"/>
          <w:sz w:val="24"/>
          <w:szCs w:val="24"/>
        </w:rPr>
        <w:t xml:space="preserve"> is </w:t>
      </w:r>
      <w:r w:rsidR="00FC3E54">
        <w:rPr>
          <w:rFonts w:ascii="Times New Roman" w:hAnsi="Times New Roman" w:cs="Times New Roman"/>
          <w:sz w:val="24"/>
          <w:szCs w:val="24"/>
        </w:rPr>
        <w:t xml:space="preserve">first </w:t>
      </w:r>
      <w:r w:rsidR="00FC3E54" w:rsidRPr="002D1217">
        <w:rPr>
          <w:rFonts w:ascii="Times New Roman" w:hAnsi="Times New Roman" w:cs="Times New Roman"/>
          <w:sz w:val="24"/>
          <w:szCs w:val="24"/>
        </w:rPr>
        <w:t>cited as favourable</w:t>
      </w:r>
      <w:r w:rsidR="00FC3E54">
        <w:rPr>
          <w:rFonts w:ascii="Times New Roman" w:hAnsi="Times New Roman" w:cs="Times New Roman"/>
          <w:sz w:val="24"/>
          <w:szCs w:val="24"/>
        </w:rPr>
        <w:t>, before being cited again</w:t>
      </w:r>
      <w:r w:rsidR="00FC3E54" w:rsidRPr="002D1217">
        <w:rPr>
          <w:rFonts w:ascii="Times New Roman" w:hAnsi="Times New Roman" w:cs="Times New Roman"/>
          <w:sz w:val="24"/>
          <w:szCs w:val="24"/>
        </w:rPr>
        <w:t xml:space="preserve"> </w:t>
      </w:r>
      <w:r w:rsidR="00FC3E54">
        <w:rPr>
          <w:rFonts w:ascii="Times New Roman" w:hAnsi="Times New Roman" w:cs="Times New Roman"/>
          <w:sz w:val="24"/>
          <w:szCs w:val="24"/>
        </w:rPr>
        <w:t xml:space="preserve">but </w:t>
      </w:r>
      <w:r w:rsidR="00FC3E54" w:rsidRPr="002D1217">
        <w:rPr>
          <w:rFonts w:ascii="Times New Roman" w:hAnsi="Times New Roman" w:cs="Times New Roman"/>
          <w:sz w:val="24"/>
          <w:szCs w:val="24"/>
        </w:rPr>
        <w:t xml:space="preserve">as neutral. </w:t>
      </w:r>
      <w:r w:rsidR="001C29F4" w:rsidRPr="002D1217">
        <w:rPr>
          <w:rFonts w:ascii="Times New Roman" w:hAnsi="Times New Roman" w:cs="Times New Roman"/>
          <w:sz w:val="24"/>
          <w:szCs w:val="24"/>
        </w:rPr>
        <w:t>The authors have</w:t>
      </w:r>
      <w:r w:rsidR="00FC3E54">
        <w:rPr>
          <w:rFonts w:ascii="Times New Roman" w:hAnsi="Times New Roman" w:cs="Times New Roman"/>
          <w:sz w:val="24"/>
          <w:szCs w:val="24"/>
        </w:rPr>
        <w:t xml:space="preserve"> also</w:t>
      </w:r>
      <w:r w:rsidR="001C29F4" w:rsidRPr="002D1217">
        <w:rPr>
          <w:rFonts w:ascii="Times New Roman" w:hAnsi="Times New Roman" w:cs="Times New Roman"/>
          <w:sz w:val="24"/>
          <w:szCs w:val="24"/>
        </w:rPr>
        <w:t xml:space="preserve"> </w:t>
      </w:r>
      <w:r w:rsidR="001C29F4" w:rsidRPr="00BB6485">
        <w:rPr>
          <w:rFonts w:ascii="Times New Roman" w:hAnsi="Times New Roman" w:cs="Times New Roman"/>
          <w:sz w:val="24"/>
          <w:szCs w:val="24"/>
        </w:rPr>
        <w:t xml:space="preserve">misclassified </w:t>
      </w:r>
      <w:r w:rsidR="00BB6485" w:rsidRPr="00BB6485">
        <w:rPr>
          <w:rFonts w:ascii="Times New Roman" w:hAnsi="Times New Roman" w:cs="Times New Roman"/>
          <w:sz w:val="24"/>
          <w:szCs w:val="24"/>
        </w:rPr>
        <w:t xml:space="preserve">several </w:t>
      </w:r>
      <w:r w:rsidR="00BB6485">
        <w:rPr>
          <w:rFonts w:ascii="Times New Roman" w:hAnsi="Times New Roman" w:cs="Times New Roman"/>
          <w:sz w:val="24"/>
          <w:szCs w:val="24"/>
        </w:rPr>
        <w:t xml:space="preserve">of the </w:t>
      </w:r>
      <w:r w:rsidR="001C29F4" w:rsidRPr="00BB6485">
        <w:rPr>
          <w:rFonts w:ascii="Times New Roman" w:hAnsi="Times New Roman" w:cs="Times New Roman"/>
          <w:sz w:val="24"/>
          <w:szCs w:val="24"/>
        </w:rPr>
        <w:t>papers</w:t>
      </w:r>
      <w:r w:rsidR="00BB6485">
        <w:rPr>
          <w:rFonts w:ascii="Times New Roman" w:hAnsi="Times New Roman" w:cs="Times New Roman"/>
          <w:sz w:val="24"/>
          <w:szCs w:val="24"/>
        </w:rPr>
        <w:t xml:space="preserve"> they have identified</w:t>
      </w:r>
      <w:r w:rsidR="001C29F4" w:rsidRPr="00BB6485">
        <w:rPr>
          <w:rFonts w:ascii="Times New Roman" w:hAnsi="Times New Roman" w:cs="Times New Roman"/>
          <w:sz w:val="24"/>
          <w:szCs w:val="24"/>
        </w:rPr>
        <w:t xml:space="preserve">. </w:t>
      </w:r>
      <w:r w:rsidR="00BB6485" w:rsidRPr="00BB6485">
        <w:rPr>
          <w:rFonts w:ascii="Times New Roman" w:hAnsi="Times New Roman" w:cs="Times New Roman"/>
          <w:sz w:val="24"/>
          <w:szCs w:val="24"/>
        </w:rPr>
        <w:t xml:space="preserve">At least 12 </w:t>
      </w:r>
      <w:r w:rsidR="001C29F4" w:rsidRPr="00BB6485">
        <w:rPr>
          <w:rFonts w:ascii="Times New Roman" w:hAnsi="Times New Roman" w:cs="Times New Roman"/>
          <w:sz w:val="24"/>
          <w:szCs w:val="24"/>
        </w:rPr>
        <w:t>are listed as unfavourable or neutral, whilst they are in fact favourable</w:t>
      </w:r>
      <w:r>
        <w:rPr>
          <w:rFonts w:ascii="Times New Roman" w:hAnsi="Times New Roman" w:cs="Times New Roman"/>
          <w:sz w:val="24"/>
          <w:szCs w:val="24"/>
        </w:rPr>
        <w:t xml:space="preserve"> to Nutri-Score</w:t>
      </w:r>
      <w:r w:rsidR="001C29F4" w:rsidRPr="00BB6485">
        <w:rPr>
          <w:rFonts w:ascii="Times New Roman" w:hAnsi="Times New Roman" w:cs="Times New Roman"/>
          <w:sz w:val="24"/>
          <w:szCs w:val="24"/>
        </w:rPr>
        <w:t>.</w:t>
      </w:r>
      <w:r w:rsidR="001C29F4" w:rsidRPr="002D1217">
        <w:rPr>
          <w:rFonts w:ascii="Times New Roman" w:hAnsi="Times New Roman" w:cs="Times New Roman"/>
          <w:sz w:val="24"/>
          <w:szCs w:val="24"/>
        </w:rPr>
        <w:t xml:space="preserve"> This is particularly true of the extensive review</w:t>
      </w:r>
      <w:r w:rsidR="00FC3E54">
        <w:rPr>
          <w:rFonts w:ascii="Times New Roman" w:hAnsi="Times New Roman" w:cs="Times New Roman"/>
          <w:sz w:val="24"/>
          <w:szCs w:val="24"/>
        </w:rPr>
        <w:t xml:space="preserve"> by </w:t>
      </w:r>
      <w:r w:rsidR="001C29F4" w:rsidRPr="002D1217">
        <w:rPr>
          <w:rFonts w:ascii="Times New Roman" w:hAnsi="Times New Roman" w:cs="Times New Roman"/>
          <w:sz w:val="24"/>
          <w:szCs w:val="24"/>
        </w:rPr>
        <w:t xml:space="preserve">Besançon </w:t>
      </w:r>
      <w:r w:rsidR="001C29F4" w:rsidRPr="00FC3E54">
        <w:rPr>
          <w:rFonts w:ascii="Times New Roman" w:hAnsi="Times New Roman" w:cs="Times New Roman"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.,</w:t>
      </w:r>
      <w:r w:rsidR="00AA4C4D">
        <w:rPr>
          <w:rFonts w:ascii="Times New Roman" w:hAnsi="Times New Roman" w:cs="Times New Roman"/>
          <w:sz w:val="24"/>
          <w:szCs w:val="24"/>
        </w:rPr>
        <w:t xml:space="preserve"> which</w:t>
      </w:r>
      <w:r w:rsidR="001C29F4" w:rsidRPr="002D1217">
        <w:rPr>
          <w:rFonts w:ascii="Times New Roman" w:hAnsi="Times New Roman" w:cs="Times New Roman"/>
          <w:sz w:val="24"/>
          <w:szCs w:val="24"/>
        </w:rPr>
        <w:t xml:space="preserve"> concluded that 83% of the papers </w:t>
      </w:r>
      <w:r>
        <w:rPr>
          <w:rFonts w:ascii="Times New Roman" w:hAnsi="Times New Roman" w:cs="Times New Roman"/>
          <w:sz w:val="24"/>
          <w:szCs w:val="24"/>
        </w:rPr>
        <w:t>researching</w:t>
      </w:r>
      <w:r w:rsidR="001C29F4" w:rsidRPr="002D1217">
        <w:rPr>
          <w:rFonts w:ascii="Times New Roman" w:hAnsi="Times New Roman" w:cs="Times New Roman"/>
          <w:sz w:val="24"/>
          <w:szCs w:val="24"/>
        </w:rPr>
        <w:t xml:space="preserve"> Nutri-Score were favourable</w:t>
      </w:r>
      <w:r>
        <w:rPr>
          <w:rFonts w:ascii="Times New Roman" w:hAnsi="Times New Roman" w:cs="Times New Roman"/>
          <w:sz w:val="24"/>
          <w:szCs w:val="24"/>
        </w:rPr>
        <w:t xml:space="preserve"> to that labelling</w:t>
      </w:r>
      <w:r w:rsidR="001C29F4" w:rsidRPr="002D1217">
        <w:rPr>
          <w:rFonts w:ascii="Times New Roman" w:hAnsi="Times New Roman" w:cs="Times New Roman"/>
          <w:sz w:val="24"/>
          <w:szCs w:val="24"/>
        </w:rPr>
        <w:t xml:space="preserve">, highlighting its better performance compared to other front-of-pack nutrition labels. </w:t>
      </w:r>
      <w:r w:rsidR="00A6369E">
        <w:rPr>
          <w:rFonts w:ascii="Times New Roman" w:hAnsi="Times New Roman" w:cs="Times New Roman"/>
          <w:sz w:val="24"/>
          <w:szCs w:val="24"/>
        </w:rPr>
        <w:t>I</w:t>
      </w:r>
      <w:r w:rsidR="00FC3E54">
        <w:rPr>
          <w:rFonts w:ascii="Times New Roman" w:hAnsi="Times New Roman" w:cs="Times New Roman"/>
          <w:sz w:val="24"/>
          <w:szCs w:val="24"/>
        </w:rPr>
        <w:t>t</w:t>
      </w:r>
      <w:r w:rsidR="00FC3E54" w:rsidRPr="002D1217">
        <w:rPr>
          <w:rFonts w:ascii="Times New Roman" w:hAnsi="Times New Roman" w:cs="Times New Roman"/>
          <w:sz w:val="24"/>
          <w:szCs w:val="24"/>
        </w:rPr>
        <w:t xml:space="preserve"> is somewhat disingenuous on Peters and Verhagen’s part to argue that </w:t>
      </w:r>
      <w:r w:rsidR="00A6369E">
        <w:rPr>
          <w:rFonts w:ascii="Times New Roman" w:hAnsi="Times New Roman" w:cs="Times New Roman"/>
          <w:sz w:val="24"/>
          <w:szCs w:val="24"/>
        </w:rPr>
        <w:t>this study</w:t>
      </w:r>
      <w:r w:rsidR="00FC3E54" w:rsidRPr="002D1217">
        <w:rPr>
          <w:rFonts w:ascii="Times New Roman" w:hAnsi="Times New Roman" w:cs="Times New Roman"/>
          <w:sz w:val="24"/>
          <w:szCs w:val="24"/>
        </w:rPr>
        <w:t xml:space="preserve"> failed to include 40 </w:t>
      </w:r>
      <w:r w:rsidR="00FC3E54">
        <w:rPr>
          <w:rFonts w:ascii="Times New Roman" w:hAnsi="Times New Roman" w:cs="Times New Roman"/>
          <w:sz w:val="24"/>
          <w:szCs w:val="24"/>
        </w:rPr>
        <w:t xml:space="preserve">unfavourable </w:t>
      </w:r>
      <w:r w:rsidR="00FC3E54" w:rsidRPr="002D1217">
        <w:rPr>
          <w:rFonts w:ascii="Times New Roman" w:hAnsi="Times New Roman" w:cs="Times New Roman"/>
          <w:sz w:val="24"/>
          <w:szCs w:val="24"/>
        </w:rPr>
        <w:t>publications to the Nutri-Score</w:t>
      </w:r>
      <w:r w:rsidR="00A6369E">
        <w:rPr>
          <w:rFonts w:ascii="Times New Roman" w:hAnsi="Times New Roman" w:cs="Times New Roman"/>
          <w:sz w:val="24"/>
          <w:szCs w:val="24"/>
        </w:rPr>
        <w:t>, whilst</w:t>
      </w:r>
      <w:r w:rsidR="00FC3E54" w:rsidRPr="002D1217">
        <w:rPr>
          <w:rFonts w:ascii="Times New Roman" w:hAnsi="Times New Roman" w:cs="Times New Roman"/>
          <w:sz w:val="24"/>
          <w:szCs w:val="24"/>
        </w:rPr>
        <w:t xml:space="preserve"> 39 of the</w:t>
      </w:r>
      <w:r w:rsidR="00A6369E">
        <w:rPr>
          <w:rFonts w:ascii="Times New Roman" w:hAnsi="Times New Roman" w:cs="Times New Roman"/>
          <w:sz w:val="24"/>
          <w:szCs w:val="24"/>
        </w:rPr>
        <w:t>m</w:t>
      </w:r>
      <w:r w:rsidR="00FC3E54" w:rsidRPr="002D1217">
        <w:rPr>
          <w:rFonts w:ascii="Times New Roman" w:hAnsi="Times New Roman" w:cs="Times New Roman"/>
          <w:sz w:val="24"/>
          <w:szCs w:val="24"/>
        </w:rPr>
        <w:t xml:space="preserve"> were published after the search period </w:t>
      </w:r>
      <w:r w:rsidR="00A6369E">
        <w:rPr>
          <w:rFonts w:ascii="Times New Roman" w:hAnsi="Times New Roman" w:cs="Times New Roman"/>
          <w:sz w:val="24"/>
          <w:szCs w:val="24"/>
        </w:rPr>
        <w:t>for</w:t>
      </w:r>
      <w:r w:rsidR="00FC3E54" w:rsidRPr="002D1217">
        <w:rPr>
          <w:rFonts w:ascii="Times New Roman" w:hAnsi="Times New Roman" w:cs="Times New Roman"/>
          <w:sz w:val="24"/>
          <w:szCs w:val="24"/>
        </w:rPr>
        <w:t xml:space="preserve"> this study had concluded</w:t>
      </w:r>
      <w:r w:rsidR="003A3E80">
        <w:rPr>
          <w:rFonts w:ascii="Times New Roman" w:hAnsi="Times New Roman" w:cs="Times New Roman"/>
          <w:sz w:val="24"/>
          <w:szCs w:val="24"/>
        </w:rPr>
        <w:t>,</w:t>
      </w:r>
      <w:r w:rsidR="00A6369E">
        <w:rPr>
          <w:rFonts w:ascii="Times New Roman" w:hAnsi="Times New Roman" w:cs="Times New Roman"/>
          <w:sz w:val="24"/>
          <w:szCs w:val="24"/>
        </w:rPr>
        <w:t xml:space="preserve"> and</w:t>
      </w:r>
      <w:r w:rsidR="00FC3E54" w:rsidRPr="002D1217">
        <w:rPr>
          <w:rFonts w:ascii="Times New Roman" w:hAnsi="Times New Roman" w:cs="Times New Roman"/>
          <w:sz w:val="24"/>
          <w:szCs w:val="24"/>
        </w:rPr>
        <w:t xml:space="preserve"> the 40</w:t>
      </w:r>
      <w:r w:rsidR="00FC3E54" w:rsidRPr="002D12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C3E54" w:rsidRPr="002D1217">
        <w:rPr>
          <w:rFonts w:ascii="Times New Roman" w:hAnsi="Times New Roman" w:cs="Times New Roman"/>
          <w:sz w:val="24"/>
          <w:szCs w:val="24"/>
        </w:rPr>
        <w:t xml:space="preserve"> did not evaluate the Nutri-Score label as displayed on front-of-pack labels and therefore did not meet the inclusion criteria. </w:t>
      </w:r>
    </w:p>
    <w:p w14:paraId="5EF412DB" w14:textId="30EC1F7B" w:rsidR="003A3E80" w:rsidRDefault="001C29F4" w:rsidP="0099751E">
      <w:pPr>
        <w:jc w:val="both"/>
        <w:rPr>
          <w:rFonts w:ascii="Times New Roman" w:hAnsi="Times New Roman" w:cs="Times New Roman"/>
          <w:sz w:val="24"/>
          <w:szCs w:val="24"/>
        </w:rPr>
      </w:pPr>
      <w:r w:rsidRPr="002D1217">
        <w:rPr>
          <w:rFonts w:ascii="Times New Roman" w:hAnsi="Times New Roman" w:cs="Times New Roman"/>
          <w:sz w:val="24"/>
          <w:szCs w:val="24"/>
        </w:rPr>
        <w:t>The authors also fail to identify the selection criteria they have used to determine how a paper should be classified</w:t>
      </w:r>
      <w:r w:rsidR="00A612A9">
        <w:rPr>
          <w:rFonts w:ascii="Times New Roman" w:hAnsi="Times New Roman" w:cs="Times New Roman"/>
          <w:sz w:val="24"/>
          <w:szCs w:val="24"/>
        </w:rPr>
        <w:t xml:space="preserve"> </w:t>
      </w:r>
      <w:r w:rsidR="00FC3E54">
        <w:rPr>
          <w:rFonts w:ascii="Times New Roman" w:hAnsi="Times New Roman" w:cs="Times New Roman"/>
          <w:sz w:val="24"/>
          <w:szCs w:val="24"/>
        </w:rPr>
        <w:t xml:space="preserve">as </w:t>
      </w:r>
      <w:r w:rsidRPr="002D1217">
        <w:rPr>
          <w:rFonts w:ascii="Times New Roman" w:hAnsi="Times New Roman" w:cs="Times New Roman"/>
          <w:sz w:val="24"/>
          <w:szCs w:val="24"/>
        </w:rPr>
        <w:t xml:space="preserve">favourable, neutral or unfavourable to the Nutri-Score. </w:t>
      </w:r>
      <w:r w:rsidR="003A3E80">
        <w:rPr>
          <w:rFonts w:ascii="Times New Roman" w:hAnsi="Times New Roman" w:cs="Times New Roman"/>
          <w:sz w:val="24"/>
          <w:szCs w:val="24"/>
        </w:rPr>
        <w:t>This i</w:t>
      </w:r>
      <w:r w:rsidR="006D1081">
        <w:rPr>
          <w:rFonts w:ascii="Times New Roman" w:hAnsi="Times New Roman" w:cs="Times New Roman"/>
          <w:sz w:val="24"/>
          <w:szCs w:val="24"/>
        </w:rPr>
        <w:t>s a serious methodological flaw</w:t>
      </w:r>
      <w:r w:rsidR="00383C60">
        <w:rPr>
          <w:rFonts w:ascii="Times New Roman" w:hAnsi="Times New Roman" w:cs="Times New Roman"/>
          <w:sz w:val="24"/>
          <w:szCs w:val="24"/>
        </w:rPr>
        <w:t>,</w:t>
      </w:r>
      <w:r w:rsidR="006D1081">
        <w:rPr>
          <w:rFonts w:ascii="Times New Roman" w:hAnsi="Times New Roman" w:cs="Times New Roman"/>
          <w:sz w:val="24"/>
          <w:szCs w:val="24"/>
        </w:rPr>
        <w:t xml:space="preserve"> </w:t>
      </w:r>
      <w:r w:rsidR="00C82DF4">
        <w:rPr>
          <w:rFonts w:ascii="Times New Roman" w:hAnsi="Times New Roman" w:cs="Times New Roman"/>
          <w:sz w:val="24"/>
          <w:szCs w:val="24"/>
        </w:rPr>
        <w:t>which prevents the</w:t>
      </w:r>
      <w:r w:rsidR="003A3E80">
        <w:rPr>
          <w:rFonts w:ascii="Times New Roman" w:hAnsi="Times New Roman" w:cs="Times New Roman"/>
          <w:sz w:val="24"/>
          <w:szCs w:val="24"/>
        </w:rPr>
        <w:t xml:space="preserve"> replicability of their study. </w:t>
      </w:r>
      <w:r w:rsidRPr="002D1217">
        <w:rPr>
          <w:rFonts w:ascii="Times New Roman" w:hAnsi="Times New Roman" w:cs="Times New Roman"/>
          <w:sz w:val="24"/>
          <w:szCs w:val="24"/>
        </w:rPr>
        <w:t xml:space="preserve">Several favourable papers seem to have been excluded from their analysis, without any explanation. </w:t>
      </w:r>
      <w:r w:rsidR="00A6369E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3A3E80">
        <w:rPr>
          <w:rFonts w:ascii="Times New Roman" w:hAnsi="Times New Roman" w:cs="Times New Roman"/>
          <w:sz w:val="24"/>
          <w:szCs w:val="24"/>
        </w:rPr>
        <w:t xml:space="preserve">we </w:t>
      </w:r>
      <w:r w:rsidR="003A3E80">
        <w:rPr>
          <w:rFonts w:ascii="Times New Roman" w:hAnsi="Times New Roman" w:cs="Times New Roman"/>
          <w:sz w:val="24"/>
          <w:szCs w:val="24"/>
        </w:rPr>
        <w:lastRenderedPageBreak/>
        <w:t xml:space="preserve">identified </w:t>
      </w:r>
      <w:r w:rsidR="00A6369E">
        <w:rPr>
          <w:rFonts w:ascii="Times New Roman" w:hAnsi="Times New Roman" w:cs="Times New Roman"/>
          <w:sz w:val="24"/>
          <w:szCs w:val="24"/>
        </w:rPr>
        <w:t>a</w:t>
      </w:r>
      <w:r w:rsidRPr="002D1217">
        <w:rPr>
          <w:rFonts w:ascii="Times New Roman" w:hAnsi="Times New Roman" w:cs="Times New Roman"/>
          <w:sz w:val="24"/>
          <w:szCs w:val="24"/>
        </w:rPr>
        <w:t xml:space="preserve"> </w:t>
      </w:r>
      <w:r w:rsidR="00A6369E">
        <w:rPr>
          <w:rFonts w:ascii="Times New Roman" w:hAnsi="Times New Roman" w:cs="Times New Roman"/>
          <w:sz w:val="24"/>
          <w:szCs w:val="24"/>
        </w:rPr>
        <w:t xml:space="preserve">2023 </w:t>
      </w:r>
      <w:r w:rsidRPr="002D1217">
        <w:rPr>
          <w:rFonts w:ascii="Times New Roman" w:hAnsi="Times New Roman" w:cs="Times New Roman"/>
          <w:sz w:val="24"/>
          <w:szCs w:val="24"/>
        </w:rPr>
        <w:t>paper published by Batista et al</w:t>
      </w:r>
      <w:r w:rsidR="00B8247F">
        <w:rPr>
          <w:rFonts w:ascii="Times New Roman" w:hAnsi="Times New Roman" w:cs="Times New Roman"/>
          <w:sz w:val="24"/>
          <w:szCs w:val="24"/>
        </w:rPr>
        <w:t>.</w:t>
      </w:r>
      <w:r w:rsidR="003A3E80">
        <w:rPr>
          <w:rFonts w:ascii="Times New Roman" w:hAnsi="Times New Roman" w:cs="Times New Roman"/>
          <w:sz w:val="24"/>
          <w:szCs w:val="24"/>
        </w:rPr>
        <w:t xml:space="preserve"> that</w:t>
      </w:r>
      <w:r w:rsidRPr="002D1217">
        <w:rPr>
          <w:rFonts w:ascii="Times New Roman" w:hAnsi="Times New Roman" w:cs="Times New Roman"/>
          <w:sz w:val="24"/>
          <w:szCs w:val="24"/>
        </w:rPr>
        <w:t xml:space="preserve"> concluded that “interpretive schemes (such as warning lab</w:t>
      </w:r>
      <w:r w:rsidR="00B84A1E">
        <w:rPr>
          <w:rFonts w:ascii="Times New Roman" w:hAnsi="Times New Roman" w:cs="Times New Roman"/>
          <w:sz w:val="24"/>
          <w:szCs w:val="24"/>
        </w:rPr>
        <w:t>e</w:t>
      </w:r>
      <w:r w:rsidRPr="002D1217">
        <w:rPr>
          <w:rFonts w:ascii="Times New Roman" w:hAnsi="Times New Roman" w:cs="Times New Roman"/>
          <w:sz w:val="24"/>
          <w:szCs w:val="24"/>
        </w:rPr>
        <w:t>ls, multiple traffic lights and Nutri-Score</w:t>
      </w:r>
      <w:r w:rsidR="00443373">
        <w:rPr>
          <w:rFonts w:ascii="Times New Roman" w:hAnsi="Times New Roman" w:cs="Times New Roman"/>
          <w:sz w:val="24"/>
          <w:szCs w:val="24"/>
        </w:rPr>
        <w:t>)</w:t>
      </w:r>
      <w:r w:rsidRPr="002D1217">
        <w:rPr>
          <w:rFonts w:ascii="Times New Roman" w:hAnsi="Times New Roman" w:cs="Times New Roman"/>
          <w:sz w:val="24"/>
          <w:szCs w:val="24"/>
        </w:rPr>
        <w:t xml:space="preserve"> </w:t>
      </w:r>
      <w:r w:rsidR="007063D0">
        <w:rPr>
          <w:rFonts w:ascii="Times New Roman" w:hAnsi="Times New Roman" w:cs="Times New Roman"/>
          <w:sz w:val="24"/>
          <w:szCs w:val="24"/>
        </w:rPr>
        <w:t>appear to lead to better consumer understanding and support healthier food purchases</w:t>
      </w:r>
      <w:r w:rsidRPr="002D1217">
        <w:rPr>
          <w:rFonts w:ascii="Times New Roman" w:hAnsi="Times New Roman" w:cs="Times New Roman"/>
          <w:sz w:val="24"/>
          <w:szCs w:val="24"/>
        </w:rPr>
        <w:t>”</w:t>
      </w:r>
      <w:r w:rsidR="007063D0">
        <w:rPr>
          <w:rFonts w:ascii="Times New Roman" w:hAnsi="Times New Roman" w:cs="Times New Roman"/>
          <w:sz w:val="24"/>
          <w:szCs w:val="24"/>
        </w:rPr>
        <w:t>.</w:t>
      </w:r>
      <w:r w:rsidRPr="002D12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F84D0" w14:textId="6DDD2444" w:rsidR="00C87934" w:rsidRDefault="00B8247F" w:rsidP="00C879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</w:t>
      </w:r>
      <w:r w:rsidR="00C87934">
        <w:rPr>
          <w:rFonts w:ascii="Times New Roman" w:hAnsi="Times New Roman" w:cs="Times New Roman"/>
          <w:sz w:val="24"/>
          <w:szCs w:val="24"/>
        </w:rPr>
        <w:t xml:space="preserve"> their </w:t>
      </w:r>
      <w:r w:rsidR="001174F4">
        <w:rPr>
          <w:rFonts w:ascii="Times New Roman" w:hAnsi="Times New Roman" w:cs="Times New Roman"/>
          <w:sz w:val="24"/>
          <w:szCs w:val="24"/>
        </w:rPr>
        <w:t xml:space="preserve">biased </w:t>
      </w:r>
      <w:r w:rsidR="00C87934">
        <w:rPr>
          <w:rFonts w:ascii="Times New Roman" w:hAnsi="Times New Roman" w:cs="Times New Roman"/>
          <w:sz w:val="24"/>
          <w:szCs w:val="24"/>
        </w:rPr>
        <w:t xml:space="preserve">methodology, Peters and Verhagen conclude </w:t>
      </w:r>
      <w:r w:rsidR="00C87934" w:rsidRPr="009D00CD">
        <w:rPr>
          <w:rFonts w:ascii="Times New Roman" w:hAnsi="Times New Roman" w:cs="Times New Roman"/>
          <w:sz w:val="24"/>
          <w:szCs w:val="24"/>
        </w:rPr>
        <w:t>that</w:t>
      </w:r>
      <w:r w:rsidR="009D00CD" w:rsidRPr="009D00CD">
        <w:rPr>
          <w:rFonts w:ascii="Times New Roman" w:hAnsi="Times New Roman" w:cs="Times New Roman"/>
          <w:sz w:val="24"/>
          <w:szCs w:val="24"/>
        </w:rPr>
        <w:t xml:space="preserve"> “more research is needed to substantiate or disprove the effectiveness of Nutri-Score”. </w:t>
      </w:r>
      <w:r w:rsidR="00C82DF4">
        <w:rPr>
          <w:rFonts w:ascii="Times New Roman" w:hAnsi="Times New Roman" w:cs="Times New Roman"/>
          <w:sz w:val="24"/>
          <w:szCs w:val="24"/>
        </w:rPr>
        <w:t>This is a well-established tactic</w:t>
      </w:r>
      <w:r w:rsidR="00A6530F">
        <w:rPr>
          <w:rFonts w:ascii="Times New Roman" w:hAnsi="Times New Roman" w:cs="Times New Roman"/>
          <w:sz w:val="24"/>
          <w:szCs w:val="24"/>
        </w:rPr>
        <w:t xml:space="preserve">: irrespective of how </w:t>
      </w:r>
      <w:r w:rsidR="009D00CD" w:rsidRPr="009D00CD">
        <w:rPr>
          <w:rFonts w:ascii="Times New Roman" w:hAnsi="Times New Roman" w:cs="Times New Roman"/>
          <w:sz w:val="24"/>
          <w:szCs w:val="24"/>
        </w:rPr>
        <w:t>much evidence there is, “merchants of doubt”</w:t>
      </w:r>
      <w:r w:rsidR="009D00CD" w:rsidRPr="009D00CD">
        <w:rPr>
          <w:rStyle w:val="EndnoteReference"/>
          <w:rFonts w:ascii="Times New Roman" w:hAnsi="Times New Roman" w:cs="Times New Roman"/>
          <w:sz w:val="24"/>
          <w:szCs w:val="24"/>
        </w:rPr>
        <w:endnoteReference w:id="8"/>
      </w:r>
      <w:r w:rsidR="00383C60">
        <w:rPr>
          <w:rFonts w:ascii="Times New Roman" w:hAnsi="Times New Roman" w:cs="Times New Roman"/>
          <w:sz w:val="24"/>
          <w:szCs w:val="24"/>
        </w:rPr>
        <w:t xml:space="preserve">, </w:t>
      </w:r>
      <w:r w:rsidR="009D00CD" w:rsidRPr="009D00CD">
        <w:rPr>
          <w:rFonts w:ascii="Times New Roman" w:hAnsi="Times New Roman" w:cs="Times New Roman"/>
          <w:sz w:val="24"/>
          <w:szCs w:val="24"/>
        </w:rPr>
        <w:t xml:space="preserve">will </w:t>
      </w:r>
      <w:r w:rsidR="00A6530F">
        <w:rPr>
          <w:rFonts w:ascii="Times New Roman" w:hAnsi="Times New Roman" w:cs="Times New Roman"/>
          <w:sz w:val="24"/>
          <w:szCs w:val="24"/>
        </w:rPr>
        <w:t xml:space="preserve">always </w:t>
      </w:r>
      <w:r w:rsidR="009D00CD" w:rsidRPr="009D00CD">
        <w:rPr>
          <w:rFonts w:ascii="Times New Roman" w:hAnsi="Times New Roman" w:cs="Times New Roman"/>
          <w:sz w:val="24"/>
          <w:szCs w:val="24"/>
        </w:rPr>
        <w:t xml:space="preserve">call for more </w:t>
      </w:r>
      <w:proofErr w:type="gramStart"/>
      <w:r w:rsidR="004847C8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="004847C8">
        <w:rPr>
          <w:rFonts w:ascii="Times New Roman" w:hAnsi="Times New Roman" w:cs="Times New Roman"/>
          <w:sz w:val="24"/>
          <w:szCs w:val="24"/>
        </w:rPr>
        <w:t xml:space="preserve"> delay, dispute and, u</w:t>
      </w:r>
      <w:r w:rsidR="00443373">
        <w:rPr>
          <w:rFonts w:ascii="Times New Roman" w:hAnsi="Times New Roman" w:cs="Times New Roman"/>
          <w:sz w:val="24"/>
          <w:szCs w:val="24"/>
        </w:rPr>
        <w:t>ltimat</w:t>
      </w:r>
      <w:r w:rsidR="004847C8">
        <w:rPr>
          <w:rFonts w:ascii="Times New Roman" w:hAnsi="Times New Roman" w:cs="Times New Roman"/>
          <w:sz w:val="24"/>
          <w:szCs w:val="24"/>
        </w:rPr>
        <w:t>ely,</w:t>
      </w:r>
      <w:r w:rsidR="00443373">
        <w:rPr>
          <w:rFonts w:ascii="Times New Roman" w:hAnsi="Times New Roman" w:cs="Times New Roman"/>
          <w:sz w:val="24"/>
          <w:szCs w:val="24"/>
        </w:rPr>
        <w:t xml:space="preserve"> derail </w:t>
      </w:r>
      <w:r w:rsidR="009D00CD" w:rsidRPr="009D00CD">
        <w:rPr>
          <w:rFonts w:ascii="Times New Roman" w:hAnsi="Times New Roman" w:cs="Times New Roman"/>
          <w:sz w:val="24"/>
          <w:szCs w:val="24"/>
        </w:rPr>
        <w:t>regulatory processes</w:t>
      </w:r>
      <w:r w:rsidR="00C87934" w:rsidRPr="009D00CD">
        <w:rPr>
          <w:rFonts w:ascii="Times New Roman" w:hAnsi="Times New Roman" w:cs="Times New Roman"/>
          <w:sz w:val="24"/>
          <w:szCs w:val="24"/>
        </w:rPr>
        <w:t>.</w:t>
      </w:r>
      <w:r w:rsidR="00383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C0EFE" w14:textId="55DF3890" w:rsidR="0099751E" w:rsidRPr="00862E3C" w:rsidRDefault="001174F4" w:rsidP="0099751E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</w:t>
      </w:r>
      <w:r w:rsidR="003178BB">
        <w:rPr>
          <w:rFonts w:ascii="Times New Roman" w:hAnsi="Times New Roman" w:cs="Times New Roman"/>
          <w:sz w:val="24"/>
          <w:szCs w:val="24"/>
          <w:u w:val="single"/>
        </w:rPr>
        <w:t>ail to acknowledge</w:t>
      </w:r>
      <w:r w:rsidR="004627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6530F">
        <w:rPr>
          <w:rFonts w:ascii="Times New Roman" w:hAnsi="Times New Roman" w:cs="Times New Roman"/>
          <w:sz w:val="24"/>
          <w:szCs w:val="24"/>
          <w:u w:val="single"/>
        </w:rPr>
        <w:t xml:space="preserve">the </w:t>
      </w:r>
      <w:r w:rsidR="00462773">
        <w:rPr>
          <w:rFonts w:ascii="Times New Roman" w:hAnsi="Times New Roman" w:cs="Times New Roman"/>
          <w:sz w:val="24"/>
          <w:szCs w:val="24"/>
          <w:u w:val="single"/>
        </w:rPr>
        <w:t>conflicts of</w:t>
      </w:r>
      <w:r w:rsidR="002D12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9751E" w:rsidRPr="00862E3C">
        <w:rPr>
          <w:rFonts w:ascii="Times New Roman" w:hAnsi="Times New Roman" w:cs="Times New Roman"/>
          <w:sz w:val="24"/>
          <w:szCs w:val="24"/>
          <w:u w:val="single"/>
        </w:rPr>
        <w:t>interest</w:t>
      </w:r>
      <w:r w:rsidR="002D1217">
        <w:rPr>
          <w:rFonts w:ascii="Times New Roman" w:hAnsi="Times New Roman" w:cs="Times New Roman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stemming from existing ties with the food industry</w:t>
      </w:r>
    </w:p>
    <w:p w14:paraId="0E9EE9D5" w14:textId="36D6856C" w:rsidR="00C87934" w:rsidRDefault="00C22C66" w:rsidP="00AF6F17">
      <w:pPr>
        <w:jc w:val="both"/>
        <w:rPr>
          <w:rFonts w:ascii="Times New Roman" w:hAnsi="Times New Roman" w:cs="Times New Roman"/>
          <w:sz w:val="24"/>
          <w:szCs w:val="24"/>
        </w:rPr>
      </w:pPr>
      <w:r w:rsidRPr="0099751E">
        <w:rPr>
          <w:rFonts w:ascii="Times New Roman" w:hAnsi="Times New Roman" w:cs="Times New Roman"/>
          <w:sz w:val="24"/>
          <w:szCs w:val="24"/>
        </w:rPr>
        <w:t>Peters and Verhagen</w:t>
      </w:r>
      <w:r w:rsidR="008C63E4" w:rsidRPr="0099751E">
        <w:rPr>
          <w:rFonts w:ascii="Times New Roman" w:hAnsi="Times New Roman" w:cs="Times New Roman"/>
          <w:sz w:val="24"/>
          <w:szCs w:val="24"/>
        </w:rPr>
        <w:t xml:space="preserve"> </w:t>
      </w:r>
      <w:r w:rsidR="004847C8">
        <w:rPr>
          <w:rFonts w:ascii="Times New Roman" w:hAnsi="Times New Roman" w:cs="Times New Roman"/>
          <w:sz w:val="24"/>
          <w:szCs w:val="24"/>
        </w:rPr>
        <w:t>work with</w:t>
      </w:r>
      <w:r w:rsidR="008C63E4" w:rsidRPr="0099751E">
        <w:rPr>
          <w:rFonts w:ascii="Times New Roman" w:hAnsi="Times New Roman" w:cs="Times New Roman"/>
          <w:sz w:val="24"/>
          <w:szCs w:val="24"/>
        </w:rPr>
        <w:t xml:space="preserve"> actors in the food industry that have consistently voiced their vigorous opposition to the Nutri-Score.</w:t>
      </w:r>
      <w:r w:rsidR="002002F2">
        <w:rPr>
          <w:rFonts w:ascii="Times New Roman" w:hAnsi="Times New Roman" w:cs="Times New Roman"/>
          <w:sz w:val="24"/>
          <w:szCs w:val="24"/>
        </w:rPr>
        <w:t xml:space="preserve"> Peters </w:t>
      </w:r>
      <w:r w:rsidR="004375F0">
        <w:rPr>
          <w:rFonts w:ascii="Times New Roman" w:hAnsi="Times New Roman" w:cs="Times New Roman"/>
          <w:sz w:val="24"/>
          <w:szCs w:val="24"/>
        </w:rPr>
        <w:t>works for</w:t>
      </w:r>
      <w:r w:rsidR="002002F2">
        <w:rPr>
          <w:rFonts w:ascii="Times New Roman" w:hAnsi="Times New Roman" w:cs="Times New Roman"/>
          <w:sz w:val="24"/>
          <w:szCs w:val="24"/>
        </w:rPr>
        <w:t xml:space="preserve"> the Dutch Dairy Association</w:t>
      </w:r>
      <w:r w:rsidR="00902D9B">
        <w:rPr>
          <w:rFonts w:ascii="Times New Roman" w:hAnsi="Times New Roman" w:cs="Times New Roman"/>
          <w:sz w:val="24"/>
          <w:szCs w:val="24"/>
        </w:rPr>
        <w:t>, a lobby group of the dairy industry</w:t>
      </w:r>
      <w:r w:rsidR="002002F2">
        <w:rPr>
          <w:rFonts w:ascii="Times New Roman" w:hAnsi="Times New Roman" w:cs="Times New Roman"/>
          <w:sz w:val="24"/>
          <w:szCs w:val="24"/>
        </w:rPr>
        <w:t xml:space="preserve"> “involved in the national discussion in the Netherlands about front-of-pack logos”</w:t>
      </w:r>
      <w:r w:rsidR="00443373">
        <w:rPr>
          <w:rFonts w:ascii="Times New Roman" w:hAnsi="Times New Roman" w:cs="Times New Roman"/>
          <w:sz w:val="24"/>
          <w:szCs w:val="24"/>
        </w:rPr>
        <w:t xml:space="preserve">. </w:t>
      </w:r>
      <w:r w:rsidR="00AF6F17">
        <w:rPr>
          <w:rFonts w:ascii="Times New Roman" w:hAnsi="Times New Roman" w:cs="Times New Roman"/>
          <w:sz w:val="24"/>
          <w:szCs w:val="24"/>
        </w:rPr>
        <w:t>V</w:t>
      </w:r>
      <w:r w:rsidR="002002F2">
        <w:rPr>
          <w:rFonts w:ascii="Times New Roman" w:hAnsi="Times New Roman" w:cs="Times New Roman"/>
          <w:sz w:val="24"/>
          <w:szCs w:val="24"/>
        </w:rPr>
        <w:t xml:space="preserve">erhagen is the owner of a food </w:t>
      </w:r>
      <w:r w:rsidR="00AF6F17">
        <w:rPr>
          <w:rFonts w:ascii="Times New Roman" w:hAnsi="Times New Roman" w:cs="Times New Roman"/>
          <w:sz w:val="24"/>
          <w:szCs w:val="24"/>
        </w:rPr>
        <w:t xml:space="preserve">safety and nutrition </w:t>
      </w:r>
      <w:r w:rsidR="002002F2">
        <w:rPr>
          <w:rFonts w:ascii="Times New Roman" w:hAnsi="Times New Roman" w:cs="Times New Roman"/>
          <w:sz w:val="24"/>
          <w:szCs w:val="24"/>
        </w:rPr>
        <w:t xml:space="preserve">consultancy </w:t>
      </w:r>
      <w:r w:rsidR="00AF6F17">
        <w:rPr>
          <w:rFonts w:ascii="Times New Roman" w:hAnsi="Times New Roman" w:cs="Times New Roman"/>
          <w:sz w:val="24"/>
          <w:szCs w:val="24"/>
        </w:rPr>
        <w:t>whose clients include</w:t>
      </w:r>
      <w:r w:rsidR="002002F2">
        <w:rPr>
          <w:rFonts w:ascii="Times New Roman" w:hAnsi="Times New Roman" w:cs="Times New Roman"/>
          <w:sz w:val="24"/>
          <w:szCs w:val="24"/>
        </w:rPr>
        <w:t xml:space="preserve"> the European Sugar Manufacturers Association</w:t>
      </w:r>
      <w:r w:rsidR="0051055A">
        <w:rPr>
          <w:rFonts w:ascii="Times New Roman" w:hAnsi="Times New Roman" w:cs="Times New Roman"/>
          <w:sz w:val="24"/>
          <w:szCs w:val="24"/>
        </w:rPr>
        <w:t xml:space="preserve"> and</w:t>
      </w:r>
      <w:r w:rsidR="002002F2">
        <w:rPr>
          <w:rFonts w:ascii="Times New Roman" w:hAnsi="Times New Roman" w:cs="Times New Roman"/>
          <w:sz w:val="24"/>
          <w:szCs w:val="24"/>
        </w:rPr>
        <w:t xml:space="preserve"> </w:t>
      </w:r>
      <w:r w:rsidR="004623AA">
        <w:rPr>
          <w:rFonts w:ascii="Times New Roman" w:hAnsi="Times New Roman" w:cs="Times New Roman"/>
          <w:sz w:val="24"/>
          <w:szCs w:val="24"/>
        </w:rPr>
        <w:t xml:space="preserve">the </w:t>
      </w:r>
      <w:r w:rsidR="0051055A">
        <w:rPr>
          <w:rFonts w:ascii="Times New Roman" w:hAnsi="Times New Roman" w:cs="Times New Roman"/>
          <w:sz w:val="24"/>
          <w:szCs w:val="24"/>
        </w:rPr>
        <w:t>Interna</w:t>
      </w:r>
      <w:r w:rsidR="004847C8">
        <w:rPr>
          <w:rFonts w:ascii="Times New Roman" w:hAnsi="Times New Roman" w:cs="Times New Roman"/>
          <w:sz w:val="24"/>
          <w:szCs w:val="24"/>
        </w:rPr>
        <w:t>tional Life Sciences Institute,</w:t>
      </w:r>
      <w:r w:rsidR="0051055A">
        <w:rPr>
          <w:rFonts w:ascii="Times New Roman" w:hAnsi="Times New Roman" w:cs="Times New Roman"/>
          <w:sz w:val="24"/>
          <w:szCs w:val="24"/>
        </w:rPr>
        <w:t xml:space="preserve"> a</w:t>
      </w:r>
      <w:r w:rsidR="008A042E">
        <w:rPr>
          <w:rFonts w:ascii="Times New Roman" w:hAnsi="Times New Roman" w:cs="Times New Roman"/>
          <w:sz w:val="24"/>
          <w:szCs w:val="24"/>
        </w:rPr>
        <w:t xml:space="preserve"> </w:t>
      </w:r>
      <w:r w:rsidR="00A6530F">
        <w:rPr>
          <w:rFonts w:ascii="Times New Roman" w:hAnsi="Times New Roman" w:cs="Times New Roman"/>
          <w:sz w:val="24"/>
          <w:szCs w:val="24"/>
        </w:rPr>
        <w:t xml:space="preserve">prominent </w:t>
      </w:r>
      <w:r w:rsidR="0051055A">
        <w:rPr>
          <w:rFonts w:ascii="Times New Roman" w:hAnsi="Times New Roman" w:cs="Times New Roman"/>
          <w:sz w:val="24"/>
          <w:szCs w:val="24"/>
        </w:rPr>
        <w:t>front group</w:t>
      </w:r>
      <w:r w:rsidR="008A042E">
        <w:rPr>
          <w:rFonts w:ascii="Times New Roman" w:hAnsi="Times New Roman" w:cs="Times New Roman"/>
          <w:sz w:val="24"/>
          <w:szCs w:val="24"/>
        </w:rPr>
        <w:t xml:space="preserve"> of the food industry</w:t>
      </w:r>
      <w:r w:rsidR="002002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F7EF70" w14:textId="6A31C013" w:rsidR="00326DEC" w:rsidRDefault="00B8247F" w:rsidP="00326D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Considering</w:t>
      </w:r>
      <w:r w:rsidR="002002F2">
        <w:rPr>
          <w:rFonts w:ascii="Times New Roman" w:hAnsi="Times New Roman" w:cs="Times New Roman"/>
          <w:sz w:val="24"/>
          <w:szCs w:val="24"/>
        </w:rPr>
        <w:t xml:space="preserve"> such affiliations, it is extraordinary that they </w:t>
      </w:r>
      <w:r w:rsidR="004375F0">
        <w:rPr>
          <w:rFonts w:ascii="Times New Roman" w:hAnsi="Times New Roman" w:cs="Times New Roman"/>
          <w:sz w:val="24"/>
          <w:szCs w:val="24"/>
        </w:rPr>
        <w:t>state</w:t>
      </w:r>
      <w:r w:rsidR="002002F2">
        <w:rPr>
          <w:rFonts w:ascii="Times New Roman" w:hAnsi="Times New Roman" w:cs="Times New Roman"/>
          <w:sz w:val="24"/>
          <w:szCs w:val="24"/>
        </w:rPr>
        <w:t xml:space="preserve"> that “the research was conducted in the absence of any commercial or financial relationships that could be construed as a potential conflict of interests”. </w:t>
      </w:r>
      <w:r w:rsidR="00326DEC">
        <w:rPr>
          <w:rFonts w:ascii="Times New Roman" w:hAnsi="Times New Roman" w:cs="Times New Roman"/>
          <w:sz w:val="24"/>
          <w:szCs w:val="24"/>
        </w:rPr>
        <w:t>This should not detract from the obvious</w:t>
      </w:r>
      <w:r w:rsidR="00510A78">
        <w:rPr>
          <w:rFonts w:ascii="Times New Roman" w:hAnsi="Times New Roman" w:cs="Times New Roman"/>
          <w:sz w:val="24"/>
          <w:szCs w:val="24"/>
        </w:rPr>
        <w:t>: 1)</w:t>
      </w:r>
      <w:r w:rsidR="0051055A">
        <w:rPr>
          <w:rFonts w:ascii="Times New Roman" w:hAnsi="Times New Roman" w:cs="Times New Roman"/>
          <w:sz w:val="24"/>
          <w:szCs w:val="24"/>
        </w:rPr>
        <w:t xml:space="preserve"> conflict </w:t>
      </w:r>
      <w:r w:rsidR="00C87934">
        <w:rPr>
          <w:rFonts w:ascii="Times New Roman" w:hAnsi="Times New Roman" w:cs="Times New Roman"/>
          <w:sz w:val="24"/>
          <w:szCs w:val="24"/>
        </w:rPr>
        <w:t xml:space="preserve">of interest </w:t>
      </w:r>
      <w:r w:rsidR="0051055A">
        <w:rPr>
          <w:rFonts w:ascii="Times New Roman" w:hAnsi="Times New Roman" w:cs="Times New Roman"/>
          <w:sz w:val="24"/>
          <w:szCs w:val="24"/>
        </w:rPr>
        <w:t>do</w:t>
      </w:r>
      <w:r w:rsidR="00443373">
        <w:rPr>
          <w:rFonts w:ascii="Times New Roman" w:hAnsi="Times New Roman" w:cs="Times New Roman"/>
          <w:sz w:val="24"/>
          <w:szCs w:val="24"/>
        </w:rPr>
        <w:t>es</w:t>
      </w:r>
      <w:r w:rsidR="0051055A">
        <w:rPr>
          <w:rFonts w:ascii="Times New Roman" w:hAnsi="Times New Roman" w:cs="Times New Roman"/>
          <w:sz w:val="24"/>
          <w:szCs w:val="24"/>
        </w:rPr>
        <w:t xml:space="preserve"> exist</w:t>
      </w:r>
      <w:r w:rsidR="00510A78">
        <w:rPr>
          <w:rFonts w:ascii="Times New Roman" w:hAnsi="Times New Roman" w:cs="Times New Roman"/>
          <w:sz w:val="24"/>
          <w:szCs w:val="24"/>
        </w:rPr>
        <w:t>;</w:t>
      </w:r>
      <w:r w:rsidR="0051055A">
        <w:rPr>
          <w:rFonts w:ascii="Times New Roman" w:hAnsi="Times New Roman" w:cs="Times New Roman"/>
          <w:sz w:val="24"/>
          <w:szCs w:val="24"/>
        </w:rPr>
        <w:t xml:space="preserve"> and </w:t>
      </w:r>
      <w:r w:rsidR="00510A78">
        <w:rPr>
          <w:rFonts w:ascii="Times New Roman" w:hAnsi="Times New Roman" w:cs="Times New Roman"/>
          <w:sz w:val="24"/>
          <w:szCs w:val="24"/>
        </w:rPr>
        <w:t>2)</w:t>
      </w:r>
      <w:r w:rsidR="0051055A">
        <w:rPr>
          <w:rFonts w:ascii="Times New Roman" w:hAnsi="Times New Roman" w:cs="Times New Roman"/>
          <w:sz w:val="24"/>
          <w:szCs w:val="24"/>
        </w:rPr>
        <w:t xml:space="preserve"> </w:t>
      </w:r>
      <w:r w:rsidR="00443373">
        <w:rPr>
          <w:rFonts w:ascii="Times New Roman" w:hAnsi="Times New Roman" w:cs="Times New Roman"/>
          <w:sz w:val="24"/>
          <w:szCs w:val="24"/>
        </w:rPr>
        <w:t>it is</w:t>
      </w:r>
      <w:r w:rsidR="0051055A">
        <w:rPr>
          <w:rFonts w:ascii="Times New Roman" w:hAnsi="Times New Roman" w:cs="Times New Roman"/>
          <w:sz w:val="24"/>
          <w:szCs w:val="24"/>
        </w:rPr>
        <w:t xml:space="preserve"> real</w:t>
      </w:r>
      <w:r w:rsidR="00FA2C7E">
        <w:rPr>
          <w:rFonts w:ascii="Times New Roman" w:hAnsi="Times New Roman" w:cs="Times New Roman"/>
          <w:sz w:val="24"/>
          <w:szCs w:val="24"/>
        </w:rPr>
        <w:t>,</w:t>
      </w:r>
      <w:r w:rsidR="0051055A">
        <w:rPr>
          <w:rFonts w:ascii="Times New Roman" w:hAnsi="Times New Roman" w:cs="Times New Roman"/>
          <w:sz w:val="24"/>
          <w:szCs w:val="24"/>
        </w:rPr>
        <w:t xml:space="preserve"> not merely “potential”</w:t>
      </w:r>
      <w:r w:rsidR="0088740B">
        <w:rPr>
          <w:rFonts w:ascii="Times New Roman" w:hAnsi="Times New Roman" w:cs="Times New Roman"/>
          <w:sz w:val="24"/>
          <w:szCs w:val="24"/>
        </w:rPr>
        <w:t>. T</w:t>
      </w:r>
      <w:r w:rsidR="00FA2C7E">
        <w:rPr>
          <w:rFonts w:ascii="Times New Roman" w:hAnsi="Times New Roman" w:cs="Times New Roman"/>
          <w:sz w:val="24"/>
          <w:szCs w:val="24"/>
        </w:rPr>
        <w:t>he</w:t>
      </w:r>
      <w:r w:rsidR="0088740B">
        <w:rPr>
          <w:rFonts w:ascii="Times New Roman" w:hAnsi="Times New Roman" w:cs="Times New Roman"/>
          <w:sz w:val="24"/>
          <w:szCs w:val="24"/>
        </w:rPr>
        <w:t>se</w:t>
      </w:r>
      <w:r w:rsidR="00FA2C7E">
        <w:rPr>
          <w:rFonts w:ascii="Times New Roman" w:hAnsi="Times New Roman" w:cs="Times New Roman"/>
          <w:sz w:val="24"/>
          <w:szCs w:val="24"/>
        </w:rPr>
        <w:t xml:space="preserve"> authors </w:t>
      </w:r>
      <w:r w:rsidR="0088740B">
        <w:rPr>
          <w:rFonts w:ascii="Times New Roman" w:hAnsi="Times New Roman" w:cs="Times New Roman"/>
          <w:sz w:val="24"/>
          <w:szCs w:val="24"/>
        </w:rPr>
        <w:t>never intended to serve</w:t>
      </w:r>
      <w:r w:rsidR="00FA2C7E">
        <w:rPr>
          <w:rFonts w:ascii="Times New Roman" w:hAnsi="Times New Roman" w:cs="Times New Roman"/>
          <w:sz w:val="24"/>
          <w:szCs w:val="24"/>
        </w:rPr>
        <w:t xml:space="preserve"> public health</w:t>
      </w:r>
      <w:r w:rsidR="007747CD">
        <w:rPr>
          <w:rFonts w:ascii="Times New Roman" w:hAnsi="Times New Roman" w:cs="Times New Roman"/>
          <w:sz w:val="24"/>
          <w:szCs w:val="24"/>
        </w:rPr>
        <w:t xml:space="preserve"> or other public interest</w:t>
      </w:r>
      <w:r w:rsidR="00FA2C7E">
        <w:rPr>
          <w:rFonts w:ascii="Times New Roman" w:hAnsi="Times New Roman" w:cs="Times New Roman"/>
          <w:sz w:val="24"/>
          <w:szCs w:val="24"/>
        </w:rPr>
        <w:t xml:space="preserve"> objectives</w:t>
      </w:r>
      <w:r w:rsidR="0088740B">
        <w:rPr>
          <w:rFonts w:ascii="Times New Roman" w:hAnsi="Times New Roman" w:cs="Times New Roman"/>
          <w:sz w:val="24"/>
          <w:szCs w:val="24"/>
        </w:rPr>
        <w:t>. R</w:t>
      </w:r>
      <w:r w:rsidR="007747CD">
        <w:rPr>
          <w:rFonts w:ascii="Times New Roman" w:hAnsi="Times New Roman" w:cs="Times New Roman"/>
          <w:sz w:val="24"/>
          <w:szCs w:val="24"/>
        </w:rPr>
        <w:t>ather</w:t>
      </w:r>
      <w:r w:rsidR="0088740B">
        <w:rPr>
          <w:rFonts w:ascii="Times New Roman" w:hAnsi="Times New Roman" w:cs="Times New Roman"/>
          <w:sz w:val="24"/>
          <w:szCs w:val="24"/>
        </w:rPr>
        <w:t>, they</w:t>
      </w:r>
      <w:r w:rsidR="007747CD">
        <w:rPr>
          <w:rFonts w:ascii="Times New Roman" w:hAnsi="Times New Roman" w:cs="Times New Roman"/>
          <w:sz w:val="24"/>
          <w:szCs w:val="24"/>
        </w:rPr>
        <w:t xml:space="preserve"> </w:t>
      </w:r>
      <w:r w:rsidR="004375F0">
        <w:rPr>
          <w:rFonts w:ascii="Times New Roman" w:hAnsi="Times New Roman" w:cs="Times New Roman"/>
          <w:sz w:val="24"/>
          <w:szCs w:val="24"/>
        </w:rPr>
        <w:t>work for</w:t>
      </w:r>
      <w:r w:rsidR="007747CD">
        <w:rPr>
          <w:rFonts w:ascii="Times New Roman" w:hAnsi="Times New Roman" w:cs="Times New Roman"/>
          <w:sz w:val="24"/>
          <w:szCs w:val="24"/>
        </w:rPr>
        <w:t xml:space="preserve"> powerful industry actors that systematically oppose the adoption of public health and consumer protection measures to serve their </w:t>
      </w:r>
      <w:r w:rsidR="00443373">
        <w:rPr>
          <w:rFonts w:ascii="Times New Roman" w:hAnsi="Times New Roman" w:cs="Times New Roman"/>
          <w:sz w:val="24"/>
          <w:szCs w:val="24"/>
        </w:rPr>
        <w:t xml:space="preserve">private, </w:t>
      </w:r>
      <w:r w:rsidR="007747CD">
        <w:rPr>
          <w:rFonts w:ascii="Times New Roman" w:hAnsi="Times New Roman" w:cs="Times New Roman"/>
          <w:sz w:val="24"/>
          <w:szCs w:val="24"/>
        </w:rPr>
        <w:t>short-term</w:t>
      </w:r>
      <w:r w:rsidR="00264CB4">
        <w:rPr>
          <w:rFonts w:ascii="Times New Roman" w:hAnsi="Times New Roman" w:cs="Times New Roman"/>
          <w:sz w:val="24"/>
          <w:szCs w:val="24"/>
        </w:rPr>
        <w:t>, financial interests</w:t>
      </w:r>
      <w:r w:rsidR="007747C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6BE7453" w14:textId="7DA28AB9" w:rsidR="00D97841" w:rsidRPr="0093378F" w:rsidRDefault="008A042E" w:rsidP="00326D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Moreover,</w:t>
      </w:r>
      <w:r w:rsidR="00D97841">
        <w:rPr>
          <w:rFonts w:ascii="Times New Roman" w:hAnsi="Times New Roman" w:cs="Times New Roman"/>
          <w:sz w:val="24"/>
          <w:szCs w:val="24"/>
        </w:rPr>
        <w:t xml:space="preserve"> </w:t>
      </w:r>
      <w:r w:rsidR="00D97841" w:rsidRPr="00D97841">
        <w:rPr>
          <w:rFonts w:ascii="Times New Roman" w:hAnsi="Times New Roman" w:cs="Times New Roman"/>
          <w:sz w:val="24"/>
          <w:szCs w:val="24"/>
        </w:rPr>
        <w:t>Peters and Verhagen</w:t>
      </w:r>
      <w:r w:rsidR="00D97841">
        <w:rPr>
          <w:rFonts w:ascii="Times New Roman" w:hAnsi="Times New Roman" w:cs="Times New Roman"/>
          <w:sz w:val="24"/>
          <w:szCs w:val="24"/>
        </w:rPr>
        <w:t xml:space="preserve"> omit to </w:t>
      </w:r>
      <w:r w:rsidR="00AE2A70">
        <w:rPr>
          <w:rFonts w:ascii="Times New Roman" w:hAnsi="Times New Roman" w:cs="Times New Roman"/>
          <w:sz w:val="24"/>
          <w:szCs w:val="24"/>
        </w:rPr>
        <w:t>identify</w:t>
      </w:r>
      <w:r w:rsidR="00D97841">
        <w:rPr>
          <w:rFonts w:ascii="Times New Roman" w:hAnsi="Times New Roman" w:cs="Times New Roman"/>
          <w:sz w:val="24"/>
          <w:szCs w:val="24"/>
        </w:rPr>
        <w:t xml:space="preserve"> conflicts of interest </w:t>
      </w:r>
      <w:r w:rsidR="00443373">
        <w:rPr>
          <w:rFonts w:ascii="Times New Roman" w:hAnsi="Times New Roman" w:cs="Times New Roman"/>
          <w:sz w:val="24"/>
          <w:szCs w:val="24"/>
        </w:rPr>
        <w:t>underpin</w:t>
      </w:r>
      <w:r w:rsidR="00FB3113">
        <w:rPr>
          <w:rFonts w:ascii="Times New Roman" w:hAnsi="Times New Roman" w:cs="Times New Roman"/>
          <w:sz w:val="24"/>
          <w:szCs w:val="24"/>
        </w:rPr>
        <w:t>ning</w:t>
      </w:r>
      <w:r w:rsidR="00AE2A70">
        <w:rPr>
          <w:rFonts w:ascii="Times New Roman" w:hAnsi="Times New Roman" w:cs="Times New Roman"/>
          <w:sz w:val="24"/>
          <w:szCs w:val="24"/>
        </w:rPr>
        <w:t xml:space="preserve"> some of</w:t>
      </w:r>
      <w:r w:rsidR="00443373">
        <w:rPr>
          <w:rFonts w:ascii="Times New Roman" w:hAnsi="Times New Roman" w:cs="Times New Roman"/>
          <w:sz w:val="24"/>
          <w:szCs w:val="24"/>
        </w:rPr>
        <w:t xml:space="preserve"> </w:t>
      </w:r>
      <w:r w:rsidR="00D97841">
        <w:rPr>
          <w:rFonts w:ascii="Times New Roman" w:hAnsi="Times New Roman" w:cs="Times New Roman"/>
          <w:sz w:val="24"/>
          <w:szCs w:val="24"/>
        </w:rPr>
        <w:t>the papers included in their review.</w:t>
      </w:r>
      <w:r w:rsidR="003048F7">
        <w:rPr>
          <w:rFonts w:ascii="Times New Roman" w:hAnsi="Times New Roman" w:cs="Times New Roman"/>
          <w:sz w:val="24"/>
          <w:szCs w:val="24"/>
        </w:rPr>
        <w:t xml:space="preserve"> In total, </w:t>
      </w:r>
      <w:r w:rsidR="00ED3248">
        <w:rPr>
          <w:rFonts w:ascii="Times New Roman" w:hAnsi="Times New Roman" w:cs="Times New Roman"/>
          <w:sz w:val="24"/>
          <w:szCs w:val="24"/>
        </w:rPr>
        <w:t>among the 37 pieces considered unfavourable to Nutri-Score,</w:t>
      </w:r>
      <w:r w:rsidR="003048F7">
        <w:rPr>
          <w:rFonts w:ascii="Times New Roman" w:hAnsi="Times New Roman" w:cs="Times New Roman"/>
          <w:sz w:val="24"/>
          <w:szCs w:val="24"/>
        </w:rPr>
        <w:t xml:space="preserve"> </w:t>
      </w:r>
      <w:r w:rsidR="00AE2A70">
        <w:rPr>
          <w:rFonts w:ascii="Times New Roman" w:hAnsi="Times New Roman" w:cs="Times New Roman"/>
          <w:sz w:val="24"/>
          <w:szCs w:val="24"/>
        </w:rPr>
        <w:t xml:space="preserve">we were able to identify </w:t>
      </w:r>
      <w:r w:rsidR="003048F7">
        <w:rPr>
          <w:rFonts w:ascii="Times New Roman" w:hAnsi="Times New Roman" w:cs="Times New Roman"/>
          <w:sz w:val="24"/>
          <w:szCs w:val="24"/>
        </w:rPr>
        <w:t>at least 1</w:t>
      </w:r>
      <w:r w:rsidR="00385E9B">
        <w:rPr>
          <w:rFonts w:ascii="Times New Roman" w:hAnsi="Times New Roman" w:cs="Times New Roman"/>
          <w:sz w:val="24"/>
          <w:szCs w:val="24"/>
        </w:rPr>
        <w:t>4</w:t>
      </w:r>
      <w:r w:rsidR="00A6530F">
        <w:rPr>
          <w:rFonts w:ascii="Times New Roman" w:hAnsi="Times New Roman" w:cs="Times New Roman"/>
          <w:sz w:val="24"/>
          <w:szCs w:val="24"/>
        </w:rPr>
        <w:t xml:space="preserve"> </w:t>
      </w:r>
      <w:r w:rsidR="00AE2A70">
        <w:rPr>
          <w:rFonts w:ascii="Times New Roman" w:hAnsi="Times New Roman" w:cs="Times New Roman"/>
          <w:sz w:val="24"/>
          <w:szCs w:val="24"/>
        </w:rPr>
        <w:t xml:space="preserve">that </w:t>
      </w:r>
      <w:r w:rsidR="00ED3248">
        <w:rPr>
          <w:rFonts w:ascii="Times New Roman" w:hAnsi="Times New Roman" w:cs="Times New Roman"/>
          <w:sz w:val="24"/>
          <w:szCs w:val="24"/>
        </w:rPr>
        <w:t>had</w:t>
      </w:r>
      <w:r w:rsidR="003048F7">
        <w:rPr>
          <w:rFonts w:ascii="Times New Roman" w:hAnsi="Times New Roman" w:cs="Times New Roman"/>
          <w:sz w:val="24"/>
          <w:szCs w:val="24"/>
        </w:rPr>
        <w:t xml:space="preserve"> </w:t>
      </w:r>
      <w:r w:rsidR="00ED3248">
        <w:rPr>
          <w:rFonts w:ascii="Times New Roman" w:hAnsi="Times New Roman" w:cs="Times New Roman"/>
          <w:sz w:val="24"/>
          <w:szCs w:val="24"/>
        </w:rPr>
        <w:t>some ties with the food industry through funding</w:t>
      </w:r>
      <w:r w:rsidR="00A6530F">
        <w:rPr>
          <w:rFonts w:ascii="Times New Roman" w:hAnsi="Times New Roman" w:cs="Times New Roman"/>
          <w:sz w:val="24"/>
          <w:szCs w:val="24"/>
        </w:rPr>
        <w:t xml:space="preserve"> or affiliation</w:t>
      </w:r>
      <w:r w:rsidR="003048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4DF5E1" w14:textId="5FB0D0C5" w:rsidR="0093378F" w:rsidRPr="00C87934" w:rsidRDefault="00264CB4" w:rsidP="00326DEC">
      <w:pPr>
        <w:jc w:val="both"/>
        <w:rPr>
          <w:rFonts w:ascii="Times New Roman" w:hAnsi="Times New Roman" w:cs="Times New Roman"/>
          <w:sz w:val="24"/>
          <w:szCs w:val="24"/>
        </w:rPr>
      </w:pPr>
      <w:r w:rsidRPr="00C87934">
        <w:rPr>
          <w:rFonts w:ascii="Times New Roman" w:hAnsi="Times New Roman" w:cs="Times New Roman"/>
          <w:sz w:val="24"/>
          <w:szCs w:val="24"/>
          <w:shd w:val="clear" w:color="auto" w:fill="FFFFFF"/>
        </w:rPr>
        <w:t>WHO and others</w:t>
      </w:r>
      <w:r w:rsidR="007747CD" w:rsidRPr="00C879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increasingly recognise </w:t>
      </w:r>
      <w:r w:rsidR="00D50F0D" w:rsidRPr="00C879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conflicts of interest should </w:t>
      </w:r>
      <w:r w:rsidR="004375F0" w:rsidRPr="00C879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 effectively managed and </w:t>
      </w:r>
      <w:r w:rsidR="00D50F0D" w:rsidRPr="00C87934">
        <w:rPr>
          <w:rFonts w:ascii="Times New Roman" w:hAnsi="Times New Roman" w:cs="Times New Roman"/>
          <w:sz w:val="24"/>
          <w:szCs w:val="24"/>
          <w:shd w:val="clear" w:color="auto" w:fill="FFFFFF"/>
        </w:rPr>
        <w:t>prevented.</w:t>
      </w:r>
      <w:r w:rsidR="00FA2C7E" w:rsidRPr="00C87934">
        <w:rPr>
          <w:rStyle w:val="EndnoteReference"/>
          <w:rFonts w:ascii="Times New Roman" w:hAnsi="Times New Roman" w:cs="Times New Roman"/>
          <w:sz w:val="24"/>
          <w:szCs w:val="24"/>
        </w:rPr>
        <w:endnoteReference w:id="9"/>
      </w:r>
      <w:r w:rsidR="007747CD" w:rsidRPr="00C879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recent announcement by Unicef </w:t>
      </w:r>
      <w:r w:rsidR="001608AA" w:rsidRPr="00C87934">
        <w:rPr>
          <w:rFonts w:ascii="Times New Roman" w:hAnsi="Times New Roman" w:cs="Times New Roman"/>
          <w:sz w:val="24"/>
          <w:szCs w:val="24"/>
          <w:shd w:val="clear" w:color="auto" w:fill="FFFFFF"/>
        </w:rPr>
        <w:t>that it will avoid all partnerships with ultra-processed food and beverage industries is welcome and shines a light o</w:t>
      </w:r>
      <w:r w:rsidR="0088740B" w:rsidRPr="00C87934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1608AA" w:rsidRPr="00C879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extent to which the</w:t>
      </w:r>
      <w:r w:rsidR="00B8247F">
        <w:rPr>
          <w:rFonts w:ascii="Times New Roman" w:hAnsi="Times New Roman" w:cs="Times New Roman"/>
          <w:sz w:val="24"/>
          <w:szCs w:val="24"/>
          <w:shd w:val="clear" w:color="auto" w:fill="FFFFFF"/>
        </w:rPr>
        <w:t>se</w:t>
      </w:r>
      <w:r w:rsidR="001608AA" w:rsidRPr="00C879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commercial determinants of health should be kept at arm’s length in policy processes</w:t>
      </w:r>
      <w:r w:rsidR="004847C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608AA" w:rsidRPr="00C879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 th</w:t>
      </w:r>
      <w:r w:rsidR="004375F0" w:rsidRPr="00C87934">
        <w:rPr>
          <w:rFonts w:ascii="Times New Roman" w:hAnsi="Times New Roman" w:cs="Times New Roman"/>
          <w:sz w:val="24"/>
          <w:szCs w:val="24"/>
          <w:shd w:val="clear" w:color="auto" w:fill="FFFFFF"/>
        </w:rPr>
        <w:t>at th</w:t>
      </w:r>
      <w:r w:rsidR="001608AA" w:rsidRPr="00C879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ese processes can </w:t>
      </w:r>
      <w:r w:rsidR="0088740B" w:rsidRPr="00C87934">
        <w:rPr>
          <w:rFonts w:ascii="Times New Roman" w:hAnsi="Times New Roman" w:cs="Times New Roman"/>
          <w:sz w:val="24"/>
          <w:szCs w:val="24"/>
          <w:shd w:val="clear" w:color="auto" w:fill="FFFFFF"/>
        </w:rPr>
        <w:t>remain independent from vested interests and genuinely serve the public</w:t>
      </w:r>
      <w:r w:rsidR="00FE17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interest</w:t>
      </w:r>
      <w:r w:rsidR="001608AA" w:rsidRPr="00C879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608AA" w:rsidRPr="00C87934">
        <w:rPr>
          <w:rStyle w:val="EndnoteReference"/>
          <w:rFonts w:ascii="Times New Roman" w:hAnsi="Times New Roman" w:cs="Times New Roman"/>
          <w:sz w:val="24"/>
          <w:szCs w:val="24"/>
          <w:shd w:val="clear" w:color="auto" w:fill="FFFFFF"/>
        </w:rPr>
        <w:endnoteReference w:id="10"/>
      </w:r>
      <w:r w:rsidR="007747CD" w:rsidRPr="00C879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0F0D" w:rsidRPr="00C879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BB7A936" w14:textId="02041E5F" w:rsidR="00902D9B" w:rsidRPr="00862E3C" w:rsidRDefault="009037CA" w:rsidP="00902D9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Denigrate</w:t>
      </w:r>
      <w:r w:rsidR="00902D9B" w:rsidRPr="00862E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the work of </w:t>
      </w:r>
      <w:r w:rsidR="00902D9B" w:rsidRPr="00862E3C">
        <w:rPr>
          <w:rFonts w:ascii="Times New Roman" w:hAnsi="Times New Roman" w:cs="Times New Roman"/>
          <w:sz w:val="24"/>
          <w:szCs w:val="24"/>
          <w:u w:val="single"/>
        </w:rPr>
        <w:t>scientists</w:t>
      </w:r>
      <w:r w:rsidR="00DF7749">
        <w:rPr>
          <w:rFonts w:ascii="Times New Roman" w:hAnsi="Times New Roman" w:cs="Times New Roman"/>
          <w:sz w:val="24"/>
          <w:szCs w:val="24"/>
          <w:u w:val="single"/>
        </w:rPr>
        <w:t xml:space="preserve"> working to promote public health</w:t>
      </w:r>
    </w:p>
    <w:p w14:paraId="0FE34D9E" w14:textId="7B74493B" w:rsidR="00902D9B" w:rsidRDefault="00902D9B" w:rsidP="00902D9B">
      <w:pPr>
        <w:jc w:val="both"/>
        <w:rPr>
          <w:rFonts w:ascii="Times New Roman" w:hAnsi="Times New Roman" w:cs="Times New Roman"/>
          <w:sz w:val="24"/>
          <w:szCs w:val="24"/>
        </w:rPr>
      </w:pPr>
      <w:r w:rsidRPr="0099751E">
        <w:rPr>
          <w:rFonts w:ascii="Times New Roman" w:hAnsi="Times New Roman" w:cs="Times New Roman"/>
          <w:sz w:val="24"/>
          <w:szCs w:val="24"/>
        </w:rPr>
        <w:t xml:space="preserve">Peters and </w:t>
      </w:r>
      <w:r w:rsidRPr="002D1217">
        <w:rPr>
          <w:rFonts w:ascii="Times New Roman" w:hAnsi="Times New Roman" w:cs="Times New Roman"/>
          <w:sz w:val="24"/>
          <w:szCs w:val="24"/>
        </w:rPr>
        <w:t>Verhagen</w:t>
      </w:r>
      <w:r>
        <w:rPr>
          <w:rFonts w:ascii="Times New Roman" w:hAnsi="Times New Roman" w:cs="Times New Roman"/>
          <w:sz w:val="24"/>
          <w:szCs w:val="24"/>
        </w:rPr>
        <w:t xml:space="preserve"> use their findings to</w:t>
      </w:r>
      <w:r w:rsidRPr="002D1217">
        <w:rPr>
          <w:rFonts w:ascii="Times New Roman" w:hAnsi="Times New Roman" w:cs="Times New Roman"/>
          <w:sz w:val="24"/>
          <w:szCs w:val="24"/>
        </w:rPr>
        <w:t xml:space="preserve"> claim that the </w:t>
      </w:r>
      <w:r>
        <w:rPr>
          <w:rFonts w:ascii="Times New Roman" w:hAnsi="Times New Roman" w:cs="Times New Roman"/>
          <w:sz w:val="24"/>
          <w:szCs w:val="24"/>
        </w:rPr>
        <w:t xml:space="preserve">science by </w:t>
      </w:r>
      <w:r w:rsidR="00C87934">
        <w:rPr>
          <w:rFonts w:ascii="Times New Roman" w:hAnsi="Times New Roman" w:cs="Times New Roman"/>
          <w:sz w:val="24"/>
          <w:szCs w:val="24"/>
        </w:rPr>
        <w:t>researchers</w:t>
      </w:r>
      <w:r w:rsidRPr="002D1217">
        <w:rPr>
          <w:rFonts w:ascii="Times New Roman" w:hAnsi="Times New Roman" w:cs="Times New Roman"/>
          <w:sz w:val="24"/>
          <w:szCs w:val="24"/>
        </w:rPr>
        <w:t xml:space="preserve"> who have devoted their </w:t>
      </w:r>
      <w:r>
        <w:rPr>
          <w:rFonts w:ascii="Times New Roman" w:hAnsi="Times New Roman" w:cs="Times New Roman"/>
          <w:sz w:val="24"/>
          <w:szCs w:val="24"/>
        </w:rPr>
        <w:t xml:space="preserve">professional </w:t>
      </w:r>
      <w:r w:rsidRPr="002D1217">
        <w:rPr>
          <w:rFonts w:ascii="Times New Roman" w:hAnsi="Times New Roman" w:cs="Times New Roman"/>
          <w:sz w:val="24"/>
          <w:szCs w:val="24"/>
        </w:rPr>
        <w:t>lives to public health</w:t>
      </w:r>
      <w:r w:rsidR="00FE17F7">
        <w:rPr>
          <w:rFonts w:ascii="Times New Roman" w:hAnsi="Times New Roman" w:cs="Times New Roman"/>
          <w:sz w:val="24"/>
          <w:szCs w:val="24"/>
        </w:rPr>
        <w:t xml:space="preserve"> </w:t>
      </w:r>
      <w:r w:rsidR="00FB311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and colleagues who publish with them</w:t>
      </w:r>
      <w:r w:rsidR="00FB3113">
        <w:rPr>
          <w:rFonts w:ascii="Times New Roman" w:hAnsi="Times New Roman" w:cs="Times New Roman"/>
          <w:sz w:val="24"/>
          <w:szCs w:val="24"/>
        </w:rPr>
        <w:t xml:space="preserve"> – </w:t>
      </w:r>
      <w:r w:rsidR="00C87934">
        <w:rPr>
          <w:rFonts w:ascii="Times New Roman" w:hAnsi="Times New Roman" w:cs="Times New Roman"/>
          <w:sz w:val="24"/>
          <w:szCs w:val="24"/>
        </w:rPr>
        <w:t>is biased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E17F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claim rests </w:t>
      </w:r>
      <w:r w:rsidR="00FE17F7">
        <w:rPr>
          <w:rFonts w:ascii="Times New Roman" w:hAnsi="Times New Roman" w:cs="Times New Roman"/>
          <w:sz w:val="24"/>
          <w:szCs w:val="24"/>
        </w:rPr>
        <w:t xml:space="preserve">merely </w:t>
      </w:r>
      <w:r>
        <w:rPr>
          <w:rFonts w:ascii="Times New Roman" w:hAnsi="Times New Roman" w:cs="Times New Roman"/>
          <w:sz w:val="24"/>
          <w:szCs w:val="24"/>
        </w:rPr>
        <w:t xml:space="preserve">on the fact that </w:t>
      </w:r>
      <w:r w:rsidRPr="002D1217">
        <w:rPr>
          <w:rFonts w:ascii="Times New Roman" w:hAnsi="Times New Roman" w:cs="Times New Roman"/>
          <w:sz w:val="24"/>
          <w:szCs w:val="24"/>
        </w:rPr>
        <w:t>the body of research</w:t>
      </w:r>
      <w:r w:rsidR="002B62AA">
        <w:rPr>
          <w:rFonts w:ascii="Times New Roman" w:hAnsi="Times New Roman" w:cs="Times New Roman"/>
          <w:sz w:val="24"/>
          <w:szCs w:val="24"/>
        </w:rPr>
        <w:t xml:space="preserve"> </w:t>
      </w:r>
      <w:r w:rsidR="00C87934">
        <w:rPr>
          <w:rFonts w:ascii="Times New Roman" w:hAnsi="Times New Roman" w:cs="Times New Roman"/>
          <w:sz w:val="24"/>
          <w:szCs w:val="24"/>
        </w:rPr>
        <w:t>the Nutri-Score team has</w:t>
      </w:r>
      <w:r w:rsidRPr="002D1217">
        <w:rPr>
          <w:rFonts w:ascii="Times New Roman" w:hAnsi="Times New Roman" w:cs="Times New Roman"/>
          <w:sz w:val="24"/>
          <w:szCs w:val="24"/>
        </w:rPr>
        <w:t xml:space="preserve"> produced to test </w:t>
      </w:r>
      <w:r w:rsidR="004847C8">
        <w:rPr>
          <w:rFonts w:ascii="Times New Roman" w:hAnsi="Times New Roman" w:cs="Times New Roman"/>
          <w:sz w:val="24"/>
          <w:szCs w:val="24"/>
        </w:rPr>
        <w:t xml:space="preserve">the </w:t>
      </w:r>
      <w:r w:rsidRPr="002D1217">
        <w:rPr>
          <w:rFonts w:ascii="Times New Roman" w:hAnsi="Times New Roman" w:cs="Times New Roman"/>
          <w:sz w:val="24"/>
          <w:szCs w:val="24"/>
        </w:rPr>
        <w:t>Nutri-Score validates the</w:t>
      </w:r>
      <w:r w:rsidR="00C87934">
        <w:rPr>
          <w:rFonts w:ascii="Times New Roman" w:hAnsi="Times New Roman" w:cs="Times New Roman"/>
          <w:sz w:val="24"/>
          <w:szCs w:val="24"/>
        </w:rPr>
        <w:t xml:space="preserve"> team’s</w:t>
      </w:r>
      <w:r w:rsidRPr="002D1217">
        <w:rPr>
          <w:rFonts w:ascii="Times New Roman" w:hAnsi="Times New Roman" w:cs="Times New Roman"/>
          <w:sz w:val="24"/>
          <w:szCs w:val="24"/>
        </w:rPr>
        <w:t xml:space="preserve"> initial findings </w:t>
      </w:r>
      <w:r w:rsidR="00FB3113">
        <w:rPr>
          <w:rFonts w:ascii="Times New Roman" w:hAnsi="Times New Roman" w:cs="Times New Roman"/>
          <w:sz w:val="24"/>
          <w:szCs w:val="24"/>
        </w:rPr>
        <w:t>–</w:t>
      </w:r>
      <w:r w:rsidR="00C87934">
        <w:rPr>
          <w:rFonts w:ascii="Times New Roman" w:hAnsi="Times New Roman" w:cs="Times New Roman"/>
          <w:sz w:val="24"/>
          <w:szCs w:val="24"/>
        </w:rPr>
        <w:t xml:space="preserve"> </w:t>
      </w:r>
      <w:r w:rsidRPr="002D1217">
        <w:rPr>
          <w:rFonts w:ascii="Times New Roman" w:hAnsi="Times New Roman" w:cs="Times New Roman"/>
          <w:sz w:val="24"/>
          <w:szCs w:val="24"/>
        </w:rPr>
        <w:t xml:space="preserve">that </w:t>
      </w:r>
      <w:r w:rsidR="00C87934">
        <w:rPr>
          <w:rFonts w:ascii="Times New Roman" w:hAnsi="Times New Roman" w:cs="Times New Roman"/>
          <w:sz w:val="24"/>
          <w:szCs w:val="24"/>
        </w:rPr>
        <w:t>Nutri-Score</w:t>
      </w:r>
      <w:r w:rsidRPr="002D1217">
        <w:rPr>
          <w:rFonts w:ascii="Times New Roman" w:hAnsi="Times New Roman" w:cs="Times New Roman"/>
          <w:sz w:val="24"/>
          <w:szCs w:val="24"/>
        </w:rPr>
        <w:t xml:space="preserve"> does indeed support healthier food choices and improve the nutritional quality of consumer food purchases. </w:t>
      </w:r>
      <w:r>
        <w:rPr>
          <w:rFonts w:ascii="Times New Roman" w:hAnsi="Times New Roman" w:cs="Times New Roman"/>
          <w:sz w:val="24"/>
          <w:szCs w:val="24"/>
        </w:rPr>
        <w:t>One could say that this is testament to the rigour of th</w:t>
      </w:r>
      <w:r w:rsidR="00C87934">
        <w:rPr>
          <w:rFonts w:ascii="Times New Roman" w:hAnsi="Times New Roman" w:cs="Times New Roman"/>
          <w:sz w:val="24"/>
          <w:szCs w:val="24"/>
        </w:rPr>
        <w:t>is</w:t>
      </w:r>
      <w:r w:rsidR="004847C8">
        <w:rPr>
          <w:rFonts w:ascii="Times New Roman" w:hAnsi="Times New Roman" w:cs="Times New Roman"/>
          <w:sz w:val="24"/>
          <w:szCs w:val="24"/>
        </w:rPr>
        <w:t xml:space="preserve"> work </w:t>
      </w:r>
      <w:r w:rsidR="00FB3113">
        <w:rPr>
          <w:rFonts w:ascii="Times New Roman" w:hAnsi="Times New Roman" w:cs="Times New Roman"/>
          <w:sz w:val="24"/>
          <w:szCs w:val="24"/>
        </w:rPr>
        <w:t xml:space="preserve">– one of the </w:t>
      </w:r>
      <w:r>
        <w:rPr>
          <w:rFonts w:ascii="Times New Roman" w:hAnsi="Times New Roman" w:cs="Times New Roman"/>
          <w:sz w:val="24"/>
          <w:szCs w:val="24"/>
        </w:rPr>
        <w:t>criteria that should always be at the heart of genuine scientific endeavours.</w:t>
      </w:r>
      <w:r w:rsidR="00FB3113">
        <w:rPr>
          <w:rFonts w:ascii="Times New Roman" w:hAnsi="Times New Roman" w:cs="Times New Roman"/>
          <w:sz w:val="24"/>
          <w:szCs w:val="24"/>
        </w:rPr>
        <w:t xml:space="preserve"> In effect, the initial findings were such that they have been able to withstand scrutiny and be re-affirmed by subsequent </w:t>
      </w:r>
      <w:r w:rsidR="00FB3113">
        <w:rPr>
          <w:rFonts w:ascii="Times New Roman" w:hAnsi="Times New Roman" w:cs="Times New Roman"/>
          <w:sz w:val="24"/>
          <w:szCs w:val="24"/>
        </w:rPr>
        <w:lastRenderedPageBreak/>
        <w:t xml:space="preserve">research undertaken both </w:t>
      </w:r>
      <w:r w:rsidR="00431B3B">
        <w:rPr>
          <w:rFonts w:ascii="Times New Roman" w:hAnsi="Times New Roman" w:cs="Times New Roman"/>
          <w:sz w:val="24"/>
          <w:szCs w:val="24"/>
        </w:rPr>
        <w:t xml:space="preserve">by </w:t>
      </w:r>
      <w:r w:rsidR="00FB3113">
        <w:rPr>
          <w:rFonts w:ascii="Times New Roman" w:hAnsi="Times New Roman" w:cs="Times New Roman"/>
          <w:sz w:val="24"/>
          <w:szCs w:val="24"/>
        </w:rPr>
        <w:t>the team that initially conceived and further developed Nutri-Score as well as many others.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56770" w14:textId="4FEDFC33" w:rsidR="00902D9B" w:rsidRDefault="00902D9B" w:rsidP="00902D9B">
      <w:pPr>
        <w:jc w:val="both"/>
        <w:rPr>
          <w:rFonts w:ascii="Times New Roman" w:hAnsi="Times New Roman" w:cs="Times New Roman"/>
          <w:sz w:val="24"/>
          <w:szCs w:val="24"/>
        </w:rPr>
      </w:pPr>
      <w:r w:rsidRPr="002D1217">
        <w:rPr>
          <w:rFonts w:ascii="Times New Roman" w:hAnsi="Times New Roman" w:cs="Times New Roman"/>
          <w:sz w:val="24"/>
          <w:szCs w:val="24"/>
        </w:rPr>
        <w:t xml:space="preserve">The ease with which </w:t>
      </w:r>
      <w:r w:rsidRPr="0099751E">
        <w:rPr>
          <w:rFonts w:ascii="Times New Roman" w:hAnsi="Times New Roman" w:cs="Times New Roman"/>
          <w:sz w:val="24"/>
          <w:szCs w:val="24"/>
        </w:rPr>
        <w:t xml:space="preserve">Peters and </w:t>
      </w:r>
      <w:r w:rsidRPr="002D1217">
        <w:rPr>
          <w:rFonts w:ascii="Times New Roman" w:hAnsi="Times New Roman" w:cs="Times New Roman"/>
          <w:sz w:val="24"/>
          <w:szCs w:val="24"/>
        </w:rPr>
        <w:t>Verhagen attempt to shift attention away from the</w:t>
      </w:r>
      <w:r w:rsidR="00C87934">
        <w:rPr>
          <w:rFonts w:ascii="Times New Roman" w:hAnsi="Times New Roman" w:cs="Times New Roman"/>
          <w:sz w:val="24"/>
          <w:szCs w:val="24"/>
        </w:rPr>
        <w:t>ir own conflicts of interest and bias in the discussion,</w:t>
      </w:r>
      <w:r w:rsidRPr="002D1217">
        <w:rPr>
          <w:rFonts w:ascii="Times New Roman" w:hAnsi="Times New Roman" w:cs="Times New Roman"/>
          <w:sz w:val="24"/>
          <w:szCs w:val="24"/>
        </w:rPr>
        <w:t xml:space="preserve"> to </w:t>
      </w:r>
      <w:r w:rsidR="00DC4DF5">
        <w:rPr>
          <w:rFonts w:ascii="Times New Roman" w:hAnsi="Times New Roman" w:cs="Times New Roman"/>
          <w:sz w:val="24"/>
          <w:szCs w:val="24"/>
        </w:rPr>
        <w:t>challenge</w:t>
      </w:r>
      <w:r w:rsidRPr="002D1217">
        <w:rPr>
          <w:rFonts w:ascii="Times New Roman" w:hAnsi="Times New Roman" w:cs="Times New Roman"/>
          <w:sz w:val="24"/>
          <w:szCs w:val="24"/>
        </w:rPr>
        <w:t xml:space="preserve"> the integrity of the research teams who</w:t>
      </w:r>
      <w:r>
        <w:rPr>
          <w:rFonts w:ascii="Times New Roman" w:hAnsi="Times New Roman" w:cs="Times New Roman"/>
          <w:sz w:val="24"/>
          <w:szCs w:val="24"/>
        </w:rPr>
        <w:t>se work supports</w:t>
      </w:r>
      <w:r w:rsidRPr="002D1217">
        <w:rPr>
          <w:rFonts w:ascii="Times New Roman" w:hAnsi="Times New Roman" w:cs="Times New Roman"/>
          <w:sz w:val="24"/>
          <w:szCs w:val="24"/>
        </w:rPr>
        <w:t xml:space="preserve"> the Nutri-Score</w:t>
      </w:r>
      <w:r w:rsidR="004847C8">
        <w:rPr>
          <w:rFonts w:ascii="Times New Roman" w:hAnsi="Times New Roman" w:cs="Times New Roman"/>
          <w:sz w:val="24"/>
          <w:szCs w:val="24"/>
        </w:rPr>
        <w:t>,</w:t>
      </w:r>
      <w:r w:rsidRPr="002D1217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2D1217">
        <w:rPr>
          <w:rFonts w:ascii="Times New Roman" w:hAnsi="Times New Roman" w:cs="Times New Roman"/>
          <w:sz w:val="24"/>
          <w:szCs w:val="24"/>
        </w:rPr>
        <w:t>extraordinary. Th</w:t>
      </w:r>
      <w:r>
        <w:rPr>
          <w:rFonts w:ascii="Times New Roman" w:hAnsi="Times New Roman" w:cs="Times New Roman"/>
          <w:sz w:val="24"/>
          <w:szCs w:val="24"/>
        </w:rPr>
        <w:t>e use of</w:t>
      </w:r>
      <w:r w:rsidRPr="002D1217">
        <w:rPr>
          <w:rFonts w:ascii="Times New Roman" w:hAnsi="Times New Roman" w:cs="Times New Roman"/>
          <w:sz w:val="24"/>
          <w:szCs w:val="24"/>
        </w:rPr>
        <w:t xml:space="preserve"> </w:t>
      </w:r>
      <w:r w:rsidRPr="0099751E">
        <w:rPr>
          <w:rFonts w:ascii="Times New Roman" w:hAnsi="Times New Roman" w:cs="Times New Roman"/>
          <w:sz w:val="24"/>
          <w:szCs w:val="24"/>
        </w:rPr>
        <w:t xml:space="preserve">denigrating language </w:t>
      </w:r>
      <w:r>
        <w:rPr>
          <w:rFonts w:ascii="Times New Roman" w:hAnsi="Times New Roman" w:cs="Times New Roman"/>
          <w:sz w:val="24"/>
          <w:szCs w:val="24"/>
        </w:rPr>
        <w:t>towards the scientists they</w:t>
      </w:r>
      <w:r w:rsidR="004847C8">
        <w:rPr>
          <w:rFonts w:ascii="Times New Roman" w:hAnsi="Times New Roman" w:cs="Times New Roman"/>
          <w:sz w:val="24"/>
          <w:szCs w:val="24"/>
        </w:rPr>
        <w:t xml:space="preserve"> target compounds our concerns.</w:t>
      </w:r>
    </w:p>
    <w:p w14:paraId="5D0054D3" w14:textId="22D21198" w:rsidR="004015C2" w:rsidRDefault="004015C2" w:rsidP="0099751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Conclusion</w:t>
      </w:r>
    </w:p>
    <w:p w14:paraId="6DD5A5BF" w14:textId="45C6EE9C" w:rsidR="00011083" w:rsidRDefault="002B62AA" w:rsidP="000110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A2C7E">
        <w:rPr>
          <w:rFonts w:ascii="Times New Roman" w:hAnsi="Times New Roman" w:cs="Times New Roman"/>
          <w:sz w:val="24"/>
          <w:szCs w:val="24"/>
        </w:rPr>
        <w:t xml:space="preserve">ore </w:t>
      </w:r>
      <w:r w:rsidR="00FE17F7">
        <w:rPr>
          <w:rFonts w:ascii="Times New Roman" w:hAnsi="Times New Roman" w:cs="Times New Roman"/>
          <w:sz w:val="24"/>
          <w:szCs w:val="24"/>
        </w:rPr>
        <w:t xml:space="preserve">recent </w:t>
      </w:r>
      <w:r w:rsidR="00FA2C7E">
        <w:rPr>
          <w:rFonts w:ascii="Times New Roman" w:hAnsi="Times New Roman" w:cs="Times New Roman"/>
          <w:sz w:val="24"/>
          <w:szCs w:val="24"/>
        </w:rPr>
        <w:t xml:space="preserve">research </w:t>
      </w:r>
      <w:r w:rsidR="00FB3113">
        <w:rPr>
          <w:rFonts w:ascii="Times New Roman" w:hAnsi="Times New Roman" w:cs="Times New Roman"/>
          <w:sz w:val="24"/>
          <w:szCs w:val="24"/>
        </w:rPr>
        <w:t>has found</w:t>
      </w:r>
      <w:r w:rsidR="00FA2C7E">
        <w:rPr>
          <w:rFonts w:ascii="Times New Roman" w:hAnsi="Times New Roman" w:cs="Times New Roman"/>
          <w:sz w:val="24"/>
          <w:szCs w:val="24"/>
        </w:rPr>
        <w:t xml:space="preserve"> that</w:t>
      </w:r>
      <w:r w:rsidR="00011083" w:rsidRPr="0099751E">
        <w:rPr>
          <w:rFonts w:ascii="Times New Roman" w:hAnsi="Times New Roman" w:cs="Times New Roman"/>
          <w:sz w:val="24"/>
          <w:szCs w:val="24"/>
        </w:rPr>
        <w:t xml:space="preserve"> the Nutri-Score </w:t>
      </w:r>
      <w:r w:rsidR="00FE17F7">
        <w:rPr>
          <w:rFonts w:ascii="Times New Roman" w:hAnsi="Times New Roman" w:cs="Times New Roman"/>
          <w:sz w:val="24"/>
          <w:szCs w:val="24"/>
        </w:rPr>
        <w:t>has</w:t>
      </w:r>
      <w:r w:rsidR="00011083" w:rsidRPr="0099751E">
        <w:rPr>
          <w:rFonts w:ascii="Times New Roman" w:hAnsi="Times New Roman" w:cs="Times New Roman"/>
          <w:sz w:val="24"/>
          <w:szCs w:val="24"/>
        </w:rPr>
        <w:t xml:space="preserve"> the highe</w:t>
      </w:r>
      <w:r w:rsidR="00FE17F7">
        <w:rPr>
          <w:rFonts w:ascii="Times New Roman" w:hAnsi="Times New Roman" w:cs="Times New Roman"/>
          <w:sz w:val="24"/>
          <w:szCs w:val="24"/>
        </w:rPr>
        <w:t>st</w:t>
      </w:r>
      <w:r w:rsidR="00011083" w:rsidRPr="0099751E">
        <w:rPr>
          <w:rFonts w:ascii="Times New Roman" w:hAnsi="Times New Roman" w:cs="Times New Roman"/>
          <w:sz w:val="24"/>
          <w:szCs w:val="24"/>
        </w:rPr>
        <w:t xml:space="preserve"> potential of all four labelling schemes under review</w:t>
      </w:r>
      <w:r w:rsidR="00BF4147">
        <w:rPr>
          <w:rFonts w:ascii="Times New Roman" w:hAnsi="Times New Roman" w:cs="Times New Roman"/>
          <w:sz w:val="24"/>
          <w:szCs w:val="24"/>
        </w:rPr>
        <w:t xml:space="preserve"> by the European Commission</w:t>
      </w:r>
      <w:r w:rsidR="00011083" w:rsidRPr="0099751E">
        <w:rPr>
          <w:rFonts w:ascii="Times New Roman" w:hAnsi="Times New Roman" w:cs="Times New Roman"/>
          <w:sz w:val="24"/>
          <w:szCs w:val="24"/>
        </w:rPr>
        <w:t xml:space="preserve"> for yielding positive health and economic outcomes</w:t>
      </w:r>
      <w:r w:rsidR="00011083">
        <w:rPr>
          <w:rFonts w:ascii="Times New Roman" w:hAnsi="Times New Roman" w:cs="Times New Roman"/>
          <w:sz w:val="24"/>
          <w:szCs w:val="24"/>
        </w:rPr>
        <w:t>.</w:t>
      </w:r>
      <w:r w:rsidR="00326DEC">
        <w:rPr>
          <w:rStyle w:val="EndnoteReference"/>
          <w:rFonts w:ascii="Times New Roman" w:hAnsi="Times New Roman" w:cs="Times New Roman"/>
          <w:sz w:val="24"/>
          <w:szCs w:val="24"/>
        </w:rPr>
        <w:endnoteReference w:id="11"/>
      </w:r>
      <w:r w:rsidR="000110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A0CEA" w14:textId="7BBCAA83" w:rsidR="004015C2" w:rsidRDefault="00BF4147" w:rsidP="002C0C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Notwithstanding</w:t>
      </w:r>
      <w:r w:rsidR="00011083">
        <w:rPr>
          <w:rFonts w:ascii="Times New Roman" w:hAnsi="Times New Roman" w:cs="Times New Roman"/>
          <w:sz w:val="24"/>
          <w:szCs w:val="24"/>
        </w:rPr>
        <w:t xml:space="preserve"> its obvious shortcomings, </w:t>
      </w:r>
      <w:r w:rsidR="004015C2">
        <w:rPr>
          <w:rFonts w:ascii="Times New Roman" w:hAnsi="Times New Roman" w:cs="Times New Roman"/>
          <w:sz w:val="24"/>
          <w:szCs w:val="24"/>
        </w:rPr>
        <w:t>Peters and Verhagen</w:t>
      </w:r>
      <w:r>
        <w:rPr>
          <w:rFonts w:ascii="Times New Roman" w:hAnsi="Times New Roman" w:cs="Times New Roman"/>
          <w:sz w:val="24"/>
          <w:szCs w:val="24"/>
        </w:rPr>
        <w:t>’s paper will</w:t>
      </w:r>
      <w:r w:rsidR="004015C2">
        <w:rPr>
          <w:rFonts w:ascii="Times New Roman" w:hAnsi="Times New Roman" w:cs="Times New Roman"/>
          <w:sz w:val="24"/>
          <w:szCs w:val="24"/>
        </w:rPr>
        <w:t xml:space="preserve"> fuel claims</w:t>
      </w:r>
      <w:r w:rsidR="00FE17F7">
        <w:rPr>
          <w:rFonts w:ascii="Times New Roman" w:hAnsi="Times New Roman" w:cs="Times New Roman"/>
          <w:sz w:val="24"/>
          <w:szCs w:val="24"/>
        </w:rPr>
        <w:t xml:space="preserve"> by industry and those involved with them</w:t>
      </w:r>
      <w:r w:rsidR="00011083">
        <w:rPr>
          <w:rFonts w:ascii="Times New Roman" w:hAnsi="Times New Roman" w:cs="Times New Roman"/>
          <w:sz w:val="24"/>
          <w:szCs w:val="24"/>
        </w:rPr>
        <w:t xml:space="preserve"> </w:t>
      </w:r>
      <w:r w:rsidR="00FA2C7E">
        <w:rPr>
          <w:rFonts w:ascii="Times New Roman" w:hAnsi="Times New Roman" w:cs="Times New Roman"/>
          <w:sz w:val="24"/>
          <w:szCs w:val="24"/>
        </w:rPr>
        <w:t>that “we need more evidence”</w:t>
      </w:r>
      <w:r w:rsidR="003D6B4D">
        <w:rPr>
          <w:rFonts w:ascii="Times New Roman" w:hAnsi="Times New Roman" w:cs="Times New Roman"/>
          <w:sz w:val="24"/>
          <w:szCs w:val="24"/>
        </w:rPr>
        <w:t>.</w:t>
      </w:r>
      <w:r w:rsidR="002B62AA">
        <w:rPr>
          <w:rFonts w:ascii="Times New Roman" w:hAnsi="Times New Roman" w:cs="Times New Roman"/>
          <w:sz w:val="24"/>
          <w:szCs w:val="24"/>
        </w:rPr>
        <w:t xml:space="preserve"> S</w:t>
      </w:r>
      <w:r w:rsidR="003D6B4D">
        <w:rPr>
          <w:rFonts w:ascii="Times New Roman" w:hAnsi="Times New Roman" w:cs="Times New Roman"/>
          <w:sz w:val="24"/>
          <w:szCs w:val="24"/>
        </w:rPr>
        <w:t xml:space="preserve">uch </w:t>
      </w:r>
      <w:r w:rsidR="00FE17F7">
        <w:rPr>
          <w:rFonts w:ascii="Times New Roman" w:hAnsi="Times New Roman" w:cs="Times New Roman"/>
          <w:sz w:val="24"/>
          <w:szCs w:val="24"/>
        </w:rPr>
        <w:t xml:space="preserve">a </w:t>
      </w:r>
      <w:r w:rsidR="004847C8">
        <w:rPr>
          <w:rFonts w:ascii="Times New Roman" w:hAnsi="Times New Roman" w:cs="Times New Roman"/>
          <w:sz w:val="24"/>
          <w:szCs w:val="24"/>
        </w:rPr>
        <w:t>publication</w:t>
      </w:r>
      <w:r w:rsidR="00572011">
        <w:rPr>
          <w:rFonts w:ascii="Times New Roman" w:hAnsi="Times New Roman" w:cs="Times New Roman"/>
          <w:sz w:val="24"/>
          <w:szCs w:val="24"/>
        </w:rPr>
        <w:t xml:space="preserve"> </w:t>
      </w:r>
      <w:r w:rsidR="003D6B4D">
        <w:rPr>
          <w:rFonts w:ascii="Times New Roman" w:hAnsi="Times New Roman" w:cs="Times New Roman"/>
          <w:sz w:val="24"/>
          <w:szCs w:val="24"/>
        </w:rPr>
        <w:t xml:space="preserve">should not </w:t>
      </w:r>
      <w:r w:rsidR="004375F0">
        <w:rPr>
          <w:rFonts w:ascii="Times New Roman" w:hAnsi="Times New Roman" w:cs="Times New Roman"/>
          <w:sz w:val="24"/>
          <w:szCs w:val="24"/>
        </w:rPr>
        <w:t>serve to</w:t>
      </w:r>
      <w:r w:rsidR="003D6B4D">
        <w:rPr>
          <w:rFonts w:ascii="Times New Roman" w:hAnsi="Times New Roman" w:cs="Times New Roman"/>
          <w:sz w:val="24"/>
          <w:szCs w:val="24"/>
        </w:rPr>
        <w:t xml:space="preserve"> </w:t>
      </w:r>
      <w:r w:rsidR="004375F0">
        <w:rPr>
          <w:rFonts w:ascii="Times New Roman" w:hAnsi="Times New Roman" w:cs="Times New Roman"/>
          <w:sz w:val="24"/>
          <w:szCs w:val="24"/>
        </w:rPr>
        <w:t>jeopardise legitimate policy processes and</w:t>
      </w:r>
      <w:r w:rsidR="003D6B4D">
        <w:rPr>
          <w:rFonts w:ascii="Times New Roman" w:hAnsi="Times New Roman" w:cs="Times New Roman"/>
          <w:sz w:val="24"/>
          <w:szCs w:val="24"/>
        </w:rPr>
        <w:t xml:space="preserve"> further</w:t>
      </w:r>
      <w:r w:rsidR="004375F0">
        <w:rPr>
          <w:rFonts w:ascii="Times New Roman" w:hAnsi="Times New Roman" w:cs="Times New Roman"/>
          <w:sz w:val="24"/>
          <w:szCs w:val="24"/>
        </w:rPr>
        <w:t xml:space="preserve"> delay</w:t>
      </w:r>
      <w:r w:rsidR="003D6B4D">
        <w:rPr>
          <w:rFonts w:ascii="Times New Roman" w:hAnsi="Times New Roman" w:cs="Times New Roman"/>
          <w:sz w:val="24"/>
          <w:szCs w:val="24"/>
        </w:rPr>
        <w:t xml:space="preserve"> </w:t>
      </w:r>
      <w:r w:rsidR="004015C2">
        <w:rPr>
          <w:rFonts w:ascii="Times New Roman" w:hAnsi="Times New Roman" w:cs="Times New Roman"/>
          <w:sz w:val="24"/>
          <w:szCs w:val="24"/>
        </w:rPr>
        <w:t xml:space="preserve">the </w:t>
      </w:r>
      <w:r w:rsidR="004375F0">
        <w:rPr>
          <w:rFonts w:ascii="Times New Roman" w:hAnsi="Times New Roman" w:cs="Times New Roman"/>
          <w:sz w:val="24"/>
          <w:szCs w:val="24"/>
        </w:rPr>
        <w:t xml:space="preserve">long overdue </w:t>
      </w:r>
      <w:r w:rsidR="004015C2">
        <w:rPr>
          <w:rFonts w:ascii="Times New Roman" w:hAnsi="Times New Roman" w:cs="Times New Roman"/>
          <w:sz w:val="24"/>
          <w:szCs w:val="24"/>
        </w:rPr>
        <w:t xml:space="preserve">proposal </w:t>
      </w:r>
      <w:r w:rsidR="004375F0">
        <w:rPr>
          <w:rFonts w:ascii="Times New Roman" w:hAnsi="Times New Roman" w:cs="Times New Roman"/>
          <w:sz w:val="24"/>
          <w:szCs w:val="24"/>
        </w:rPr>
        <w:t>of</w:t>
      </w:r>
      <w:r w:rsidR="004015C2">
        <w:rPr>
          <w:rFonts w:ascii="Times New Roman" w:hAnsi="Times New Roman" w:cs="Times New Roman"/>
          <w:sz w:val="24"/>
          <w:szCs w:val="24"/>
        </w:rPr>
        <w:t xml:space="preserve"> the European Commission for an EU-wide, harmonised FoPNL scheme. Populist, industry-led tropes</w:t>
      </w:r>
      <w:r w:rsidR="00C87934">
        <w:rPr>
          <w:rFonts w:ascii="Times New Roman" w:hAnsi="Times New Roman" w:cs="Times New Roman"/>
          <w:sz w:val="24"/>
          <w:szCs w:val="24"/>
        </w:rPr>
        <w:t>,</w:t>
      </w:r>
      <w:r w:rsidR="004015C2">
        <w:rPr>
          <w:rFonts w:ascii="Times New Roman" w:hAnsi="Times New Roman" w:cs="Times New Roman"/>
          <w:sz w:val="24"/>
          <w:szCs w:val="24"/>
        </w:rPr>
        <w:t xml:space="preserve"> should not be masquerading as scientific research intended to inform public health policy. </w:t>
      </w:r>
      <w:r w:rsidR="003D6B4D">
        <w:rPr>
          <w:rFonts w:ascii="Times New Roman" w:hAnsi="Times New Roman" w:cs="Times New Roman"/>
          <w:sz w:val="24"/>
          <w:szCs w:val="24"/>
        </w:rPr>
        <w:t>They are</w:t>
      </w:r>
      <w:r w:rsidR="004015C2">
        <w:rPr>
          <w:rFonts w:ascii="Times New Roman" w:hAnsi="Times New Roman" w:cs="Times New Roman"/>
          <w:sz w:val="24"/>
          <w:szCs w:val="24"/>
        </w:rPr>
        <w:t xml:space="preserve"> misleading and must be condemned as such.</w:t>
      </w:r>
    </w:p>
    <w:sectPr w:rsidR="004015C2" w:rsidSect="000A7FE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FFC6" w14:textId="77777777" w:rsidR="005E5562" w:rsidRDefault="005E5562" w:rsidP="003C6B6C">
      <w:pPr>
        <w:spacing w:after="0" w:line="240" w:lineRule="auto"/>
      </w:pPr>
      <w:r>
        <w:separator/>
      </w:r>
    </w:p>
  </w:endnote>
  <w:endnote w:type="continuationSeparator" w:id="0">
    <w:p w14:paraId="61217CD6" w14:textId="77777777" w:rsidR="005E5562" w:rsidRDefault="005E5562" w:rsidP="003C6B6C">
      <w:pPr>
        <w:spacing w:after="0" w:line="240" w:lineRule="auto"/>
      </w:pPr>
      <w:r>
        <w:continuationSeparator/>
      </w:r>
    </w:p>
  </w:endnote>
  <w:endnote w:id="1">
    <w:p w14:paraId="7F017324" w14:textId="1010CCFD" w:rsidR="0070211F" w:rsidRPr="00383C60" w:rsidRDefault="0070211F" w:rsidP="00D709A3">
      <w:pPr>
        <w:pStyle w:val="Heading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383C60">
        <w:rPr>
          <w:rStyle w:val="EndnoteReference"/>
          <w:b w:val="0"/>
          <w:bCs w:val="0"/>
          <w:sz w:val="20"/>
          <w:szCs w:val="20"/>
        </w:rPr>
        <w:endnoteRef/>
      </w:r>
      <w:r w:rsidRPr="00383C60">
        <w:rPr>
          <w:b w:val="0"/>
          <w:bCs w:val="0"/>
          <w:sz w:val="20"/>
          <w:szCs w:val="20"/>
        </w:rPr>
        <w:t xml:space="preserve"> For example, see Moodie,</w:t>
      </w:r>
      <w:r w:rsidR="00DF7749" w:rsidRPr="00383C60">
        <w:rPr>
          <w:b w:val="0"/>
          <w:bCs w:val="0"/>
          <w:sz w:val="20"/>
          <w:szCs w:val="20"/>
        </w:rPr>
        <w:t xml:space="preserve"> R</w:t>
      </w:r>
      <w:r w:rsidRPr="00383C60">
        <w:rPr>
          <w:b w:val="0"/>
          <w:bCs w:val="0"/>
          <w:sz w:val="20"/>
          <w:szCs w:val="20"/>
        </w:rPr>
        <w:t xml:space="preserve"> ‘</w:t>
      </w:r>
      <w:r w:rsidRPr="00383C60">
        <w:rPr>
          <w:b w:val="0"/>
          <w:bCs w:val="0"/>
          <w:color w:val="212121"/>
          <w:sz w:val="20"/>
          <w:szCs w:val="20"/>
        </w:rPr>
        <w:t xml:space="preserve">What Public Health Practitioners Need to Know About Unhealthy Industry Tactics’, </w:t>
      </w:r>
      <w:hyperlink r:id="rId1" w:history="1">
        <w:r w:rsidRPr="00383C60">
          <w:rPr>
            <w:rStyle w:val="Hyperlink"/>
            <w:b w:val="0"/>
            <w:bCs w:val="0"/>
            <w:i/>
            <w:color w:val="000000" w:themeColor="text1"/>
            <w:sz w:val="20"/>
            <w:szCs w:val="20"/>
            <w:u w:val="none"/>
          </w:rPr>
          <w:t>Am J Public Health</w:t>
        </w:r>
        <w:r w:rsidRPr="00383C60">
          <w:rPr>
            <w:rStyle w:val="Hyperlink"/>
            <w:b w:val="0"/>
            <w:bCs w:val="0"/>
            <w:color w:val="000000" w:themeColor="text1"/>
            <w:sz w:val="20"/>
            <w:szCs w:val="20"/>
            <w:u w:val="none"/>
          </w:rPr>
          <w:t>,</w:t>
        </w:r>
      </w:hyperlink>
      <w:r w:rsidRPr="00383C60">
        <w:rPr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 July</w:t>
      </w:r>
      <w:r w:rsidRPr="00383C60">
        <w:rPr>
          <w:b w:val="0"/>
          <w:bCs w:val="0"/>
          <w:color w:val="212121"/>
          <w:sz w:val="20"/>
          <w:szCs w:val="20"/>
          <w:shd w:val="clear" w:color="auto" w:fill="FFFFFF"/>
        </w:rPr>
        <w:t> 2017, 107(7): 1047–1049.</w:t>
      </w:r>
    </w:p>
  </w:endnote>
  <w:endnote w:id="2">
    <w:p w14:paraId="08FC4E54" w14:textId="264DC1CE" w:rsidR="004A5037" w:rsidRPr="00383C60" w:rsidRDefault="004A5037" w:rsidP="00D709A3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383C60">
        <w:rPr>
          <w:rStyle w:val="EndnoteReference"/>
          <w:b w:val="0"/>
          <w:bCs w:val="0"/>
          <w:sz w:val="20"/>
          <w:szCs w:val="20"/>
        </w:rPr>
        <w:endnoteRef/>
      </w:r>
      <w:r w:rsidRPr="00383C60">
        <w:rPr>
          <w:b w:val="0"/>
          <w:bCs w:val="0"/>
          <w:sz w:val="20"/>
          <w:szCs w:val="20"/>
        </w:rPr>
        <w:t xml:space="preserve"> </w:t>
      </w:r>
      <w:proofErr w:type="gramStart"/>
      <w:r w:rsidR="004C11F4" w:rsidRPr="00383C60">
        <w:rPr>
          <w:b w:val="0"/>
          <w:bCs w:val="0"/>
          <w:sz w:val="20"/>
          <w:szCs w:val="20"/>
        </w:rPr>
        <w:t>See in particular, Nestle</w:t>
      </w:r>
      <w:proofErr w:type="gramEnd"/>
      <w:r w:rsidR="004C11F4" w:rsidRPr="00383C60">
        <w:rPr>
          <w:b w:val="0"/>
          <w:bCs w:val="0"/>
          <w:sz w:val="20"/>
          <w:szCs w:val="20"/>
        </w:rPr>
        <w:t>,</w:t>
      </w:r>
      <w:r w:rsidR="00DF7749" w:rsidRPr="00383C60">
        <w:rPr>
          <w:b w:val="0"/>
          <w:bCs w:val="0"/>
          <w:sz w:val="20"/>
          <w:szCs w:val="20"/>
        </w:rPr>
        <w:t xml:space="preserve"> M</w:t>
      </w:r>
      <w:r w:rsidR="004C11F4" w:rsidRPr="00383C60">
        <w:rPr>
          <w:b w:val="0"/>
          <w:bCs w:val="0"/>
          <w:sz w:val="20"/>
          <w:szCs w:val="20"/>
        </w:rPr>
        <w:t xml:space="preserve"> </w:t>
      </w:r>
      <w:proofErr w:type="spellStart"/>
      <w:r w:rsidR="004C11F4" w:rsidRPr="00383C60">
        <w:rPr>
          <w:b w:val="0"/>
          <w:bCs w:val="0"/>
          <w:i/>
          <w:iCs/>
          <w:color w:val="000000"/>
          <w:sz w:val="20"/>
          <w:szCs w:val="20"/>
        </w:rPr>
        <w:t>Unsavory</w:t>
      </w:r>
      <w:proofErr w:type="spellEnd"/>
      <w:r w:rsidR="004C11F4" w:rsidRPr="00383C60">
        <w:rPr>
          <w:b w:val="0"/>
          <w:bCs w:val="0"/>
          <w:i/>
          <w:iCs/>
          <w:color w:val="000000"/>
          <w:sz w:val="20"/>
          <w:szCs w:val="20"/>
        </w:rPr>
        <w:t xml:space="preserve"> Truth: How Food Companies Skew the Science of What We Eat</w:t>
      </w:r>
      <w:r w:rsidR="004C11F4" w:rsidRPr="00383C60">
        <w:rPr>
          <w:b w:val="0"/>
          <w:bCs w:val="0"/>
          <w:sz w:val="20"/>
          <w:szCs w:val="20"/>
        </w:rPr>
        <w:t xml:space="preserve"> (Basic Books, 2018)</w:t>
      </w:r>
      <w:r w:rsidR="00DF7749" w:rsidRPr="00383C60">
        <w:rPr>
          <w:b w:val="0"/>
          <w:bCs w:val="0"/>
          <w:sz w:val="20"/>
          <w:szCs w:val="20"/>
        </w:rPr>
        <w:t>.</w:t>
      </w:r>
    </w:p>
  </w:endnote>
  <w:endnote w:id="3">
    <w:p w14:paraId="69584DFC" w14:textId="1FEB6E4C" w:rsidR="004A5967" w:rsidRPr="00383C60" w:rsidRDefault="004A5967" w:rsidP="00D709A3">
      <w:pPr>
        <w:pStyle w:val="EndnoteText"/>
        <w:jc w:val="both"/>
        <w:rPr>
          <w:rFonts w:ascii="Times New Roman" w:hAnsi="Times New Roman" w:cs="Times New Roman"/>
        </w:rPr>
      </w:pPr>
      <w:r w:rsidRPr="00383C60">
        <w:rPr>
          <w:rStyle w:val="EndnoteReference"/>
          <w:rFonts w:ascii="Times New Roman" w:hAnsi="Times New Roman" w:cs="Times New Roman"/>
        </w:rPr>
        <w:endnoteRef/>
      </w:r>
      <w:r w:rsidRPr="00383C60">
        <w:rPr>
          <w:rFonts w:ascii="Times New Roman" w:hAnsi="Times New Roman" w:cs="Times New Roman"/>
        </w:rPr>
        <w:t xml:space="preserve"> </w:t>
      </w:r>
      <w:r w:rsidR="00D709A3" w:rsidRPr="00383C60">
        <w:rPr>
          <w:rFonts w:ascii="Times New Roman" w:hAnsi="Times New Roman" w:cs="Times New Roman"/>
        </w:rPr>
        <w:t xml:space="preserve">Legg T, Hatchard J, Gilmore AB (2021) </w:t>
      </w:r>
      <w:r w:rsidR="00DF7749" w:rsidRPr="00383C60">
        <w:rPr>
          <w:rFonts w:ascii="Times New Roman" w:hAnsi="Times New Roman" w:cs="Times New Roman"/>
        </w:rPr>
        <w:t>‘</w:t>
      </w:r>
      <w:r w:rsidR="00D709A3" w:rsidRPr="00383C60">
        <w:rPr>
          <w:rFonts w:ascii="Times New Roman" w:hAnsi="Times New Roman" w:cs="Times New Roman"/>
        </w:rPr>
        <w:t>The Science for Profit Model—How and why corporations influence science and the use of science in policy and practice</w:t>
      </w:r>
      <w:r w:rsidR="00DF7749" w:rsidRPr="00383C60">
        <w:rPr>
          <w:rFonts w:ascii="Times New Roman" w:hAnsi="Times New Roman" w:cs="Times New Roman"/>
        </w:rPr>
        <w:t>’</w:t>
      </w:r>
      <w:r w:rsidR="00D709A3" w:rsidRPr="00383C60">
        <w:rPr>
          <w:rFonts w:ascii="Times New Roman" w:hAnsi="Times New Roman" w:cs="Times New Roman"/>
        </w:rPr>
        <w:t xml:space="preserve">. </w:t>
      </w:r>
      <w:r w:rsidR="00D709A3" w:rsidRPr="00383C60">
        <w:rPr>
          <w:rFonts w:ascii="Times New Roman" w:hAnsi="Times New Roman" w:cs="Times New Roman"/>
          <w:i/>
        </w:rPr>
        <w:t>PLOS ONE</w:t>
      </w:r>
      <w:r w:rsidR="00D709A3" w:rsidRPr="00383C60">
        <w:rPr>
          <w:rFonts w:ascii="Times New Roman" w:hAnsi="Times New Roman" w:cs="Times New Roman"/>
        </w:rPr>
        <w:t xml:space="preserve"> 16(6): e0253272.</w:t>
      </w:r>
    </w:p>
  </w:endnote>
  <w:endnote w:id="4">
    <w:p w14:paraId="4485B754" w14:textId="2D028FDB" w:rsidR="00525DAD" w:rsidRPr="00383C60" w:rsidRDefault="00525DAD" w:rsidP="00D709A3">
      <w:pPr>
        <w:pStyle w:val="EndnoteText"/>
        <w:jc w:val="both"/>
        <w:rPr>
          <w:rFonts w:ascii="Times New Roman" w:hAnsi="Times New Roman" w:cs="Times New Roman"/>
        </w:rPr>
      </w:pPr>
      <w:r w:rsidRPr="00383C60">
        <w:rPr>
          <w:rStyle w:val="EndnoteReference"/>
          <w:rFonts w:ascii="Times New Roman" w:hAnsi="Times New Roman" w:cs="Times New Roman"/>
        </w:rPr>
        <w:endnoteRef/>
      </w:r>
      <w:r w:rsidRPr="00383C60">
        <w:rPr>
          <w:rFonts w:ascii="Times New Roman" w:hAnsi="Times New Roman" w:cs="Times New Roman"/>
        </w:rPr>
        <w:t xml:space="preserve"> </w:t>
      </w:r>
      <w:r w:rsidR="00011083" w:rsidRPr="00383C60">
        <w:rPr>
          <w:rFonts w:ascii="Times New Roman" w:hAnsi="Times New Roman" w:cs="Times New Roman"/>
          <w:i/>
          <w:iCs/>
        </w:rPr>
        <w:t>Guiding principles and framework manual for front-of-pack labelling for promoting healthy diets</w:t>
      </w:r>
      <w:r w:rsidR="00011083" w:rsidRPr="00383C60">
        <w:rPr>
          <w:rFonts w:ascii="Times New Roman" w:hAnsi="Times New Roman" w:cs="Times New Roman"/>
        </w:rPr>
        <w:t xml:space="preserve"> (WHO: Geneva, 2019). </w:t>
      </w:r>
    </w:p>
  </w:endnote>
  <w:endnote w:id="5">
    <w:p w14:paraId="1272E5FC" w14:textId="4C4DE16C" w:rsidR="00A6369E" w:rsidRPr="00383C60" w:rsidRDefault="00A6369E" w:rsidP="00D709A3">
      <w:pPr>
        <w:pStyle w:val="EndnoteText"/>
        <w:jc w:val="both"/>
        <w:rPr>
          <w:rFonts w:ascii="Times New Roman" w:hAnsi="Times New Roman" w:cs="Times New Roman"/>
        </w:rPr>
      </w:pPr>
      <w:r w:rsidRPr="00383C60">
        <w:rPr>
          <w:rStyle w:val="EndnoteReference"/>
          <w:rFonts w:ascii="Times New Roman" w:hAnsi="Times New Roman" w:cs="Times New Roman"/>
        </w:rPr>
        <w:endnoteRef/>
      </w:r>
      <w:r w:rsidRPr="00383C60">
        <w:rPr>
          <w:rFonts w:ascii="Times New Roman" w:hAnsi="Times New Roman" w:cs="Times New Roman"/>
        </w:rPr>
        <w:t xml:space="preserve"> </w:t>
      </w:r>
      <w:r w:rsidR="00383C60">
        <w:rPr>
          <w:rFonts w:ascii="Times New Roman" w:hAnsi="Times New Roman" w:cs="Times New Roman"/>
        </w:rPr>
        <w:t xml:space="preserve">For more information on </w:t>
      </w:r>
      <w:r w:rsidRPr="00383C60">
        <w:rPr>
          <w:rFonts w:ascii="Times New Roman" w:hAnsi="Times New Roman" w:cs="Times New Roman"/>
        </w:rPr>
        <w:t xml:space="preserve">Nutri-Score, see the dedicated page of the French Public Health Agency (Santé </w:t>
      </w:r>
      <w:proofErr w:type="spellStart"/>
      <w:r w:rsidRPr="00383C60">
        <w:rPr>
          <w:rFonts w:ascii="Times New Roman" w:hAnsi="Times New Roman" w:cs="Times New Roman"/>
        </w:rPr>
        <w:t>Publique</w:t>
      </w:r>
      <w:proofErr w:type="spellEnd"/>
      <w:r w:rsidRPr="00383C60">
        <w:rPr>
          <w:rFonts w:ascii="Times New Roman" w:hAnsi="Times New Roman" w:cs="Times New Roman"/>
        </w:rPr>
        <w:t xml:space="preserve"> France): </w:t>
      </w:r>
      <w:hyperlink r:id="rId2" w:history="1">
        <w:r w:rsidRPr="00383C60">
          <w:rPr>
            <w:rStyle w:val="Hyperlink"/>
            <w:rFonts w:ascii="Times New Roman" w:hAnsi="Times New Roman" w:cs="Times New Roman"/>
          </w:rPr>
          <w:t>https://www.santepubliquefrance.fr/en/nutri-scorehttps://www.santepubliquefrance.fr/en/nutri-score</w:t>
        </w:r>
      </w:hyperlink>
      <w:r w:rsidR="004D3750" w:rsidRPr="00383C60">
        <w:rPr>
          <w:rStyle w:val="Hyperlink"/>
          <w:rFonts w:ascii="Times New Roman" w:hAnsi="Times New Roman" w:cs="Times New Roman"/>
        </w:rPr>
        <w:t>.</w:t>
      </w:r>
    </w:p>
  </w:endnote>
  <w:endnote w:id="6">
    <w:p w14:paraId="3AD09D88" w14:textId="5A8CDCBA" w:rsidR="0070211F" w:rsidRPr="00383C60" w:rsidRDefault="0070211F" w:rsidP="00D709A3">
      <w:pPr>
        <w:pStyle w:val="EndnoteText"/>
        <w:jc w:val="both"/>
        <w:rPr>
          <w:rFonts w:ascii="Times New Roman" w:hAnsi="Times New Roman" w:cs="Times New Roman"/>
        </w:rPr>
      </w:pPr>
      <w:r w:rsidRPr="00383C60">
        <w:rPr>
          <w:rStyle w:val="EndnoteReference"/>
          <w:rFonts w:ascii="Times New Roman" w:hAnsi="Times New Roman" w:cs="Times New Roman"/>
        </w:rPr>
        <w:endnoteRef/>
      </w:r>
      <w:r w:rsidRPr="00383C60">
        <w:rPr>
          <w:rFonts w:ascii="Times New Roman" w:hAnsi="Times New Roman" w:cs="Times New Roman"/>
        </w:rPr>
        <w:t xml:space="preserve"> On EU labelling policy, see Gokani,</w:t>
      </w:r>
      <w:r w:rsidR="00DF7749" w:rsidRPr="00383C60">
        <w:rPr>
          <w:rFonts w:ascii="Times New Roman" w:hAnsi="Times New Roman" w:cs="Times New Roman"/>
        </w:rPr>
        <w:t xml:space="preserve"> N</w:t>
      </w:r>
      <w:r w:rsidRPr="00383C60">
        <w:rPr>
          <w:rFonts w:ascii="Times New Roman" w:hAnsi="Times New Roman" w:cs="Times New Roman"/>
        </w:rPr>
        <w:t xml:space="preserve"> </w:t>
      </w:r>
      <w:r w:rsidRPr="00383C60">
        <w:rPr>
          <w:rFonts w:ascii="Times New Roman" w:hAnsi="Times New Roman" w:cs="Times New Roman"/>
          <w:color w:val="333333"/>
        </w:rPr>
        <w:t>‘</w:t>
      </w:r>
      <w:r w:rsidRPr="00383C60">
        <w:rPr>
          <w:rFonts w:ascii="Times New Roman" w:hAnsi="Times New Roman" w:cs="Times New Roman"/>
        </w:rPr>
        <w:t>Front-of-pack nutrition labelling: a tussle between EU food law and national measures’,</w:t>
      </w:r>
      <w:r w:rsidRPr="00383C60">
        <w:rPr>
          <w:rFonts w:ascii="Times New Roman" w:hAnsi="Times New Roman" w:cs="Times New Roman"/>
          <w:color w:val="333333"/>
        </w:rPr>
        <w:t xml:space="preserve"> </w:t>
      </w:r>
      <w:r w:rsidRPr="00383C60">
        <w:rPr>
          <w:rFonts w:ascii="Times New Roman" w:hAnsi="Times New Roman" w:cs="Times New Roman"/>
          <w:i/>
          <w:iCs/>
          <w:color w:val="333333"/>
        </w:rPr>
        <w:t>European Law Review</w:t>
      </w:r>
      <w:r w:rsidRPr="00383C60">
        <w:rPr>
          <w:rFonts w:ascii="Times New Roman" w:hAnsi="Times New Roman" w:cs="Times New Roman"/>
          <w:color w:val="333333"/>
        </w:rPr>
        <w:t>, 47 (2) (2022) 153-174.</w:t>
      </w:r>
    </w:p>
  </w:endnote>
  <w:endnote w:id="7">
    <w:p w14:paraId="0E3772A6" w14:textId="152FCB13" w:rsidR="00383C60" w:rsidRPr="00383C60" w:rsidRDefault="00383C60">
      <w:pPr>
        <w:pStyle w:val="EndnoteText"/>
        <w:rPr>
          <w:rFonts w:ascii="Times New Roman" w:hAnsi="Times New Roman" w:cs="Times New Roman"/>
        </w:rPr>
      </w:pPr>
      <w:r w:rsidRPr="00383C60">
        <w:rPr>
          <w:rStyle w:val="EndnoteReference"/>
          <w:rFonts w:ascii="Times New Roman" w:hAnsi="Times New Roman" w:cs="Times New Roman"/>
        </w:rPr>
        <w:endnoteRef/>
      </w:r>
      <w:r w:rsidRPr="00383C60">
        <w:rPr>
          <w:rFonts w:ascii="Times New Roman" w:hAnsi="Times New Roman" w:cs="Times New Roman"/>
        </w:rPr>
        <w:t xml:space="preserve"> For a detailed rebuttal of the claims made in that article, the experts who have developed and work to improve Nutri-Score have published a blog article: </w:t>
      </w:r>
      <w:hyperlink r:id="rId3" w:history="1">
        <w:r w:rsidRPr="00A3666F">
          <w:rPr>
            <w:rStyle w:val="Hyperlink"/>
            <w:rFonts w:ascii="Times New Roman" w:hAnsi="Times New Roman" w:cs="Times New Roman"/>
          </w:rPr>
          <w:t>https://nutriscore.blog/2024/02/19/rebuttal-of-the-claims-against-the-nutri-score-made-by-two-lobbyists-in-pharmanutrition-in-an-effort-to-discredit-academic-research/</w:t>
        </w:r>
      </w:hyperlink>
      <w:r>
        <w:rPr>
          <w:rFonts w:ascii="Times New Roman" w:hAnsi="Times New Roman" w:cs="Times New Roman"/>
        </w:rPr>
        <w:t xml:space="preserve"> </w:t>
      </w:r>
    </w:p>
  </w:endnote>
  <w:endnote w:id="8">
    <w:p w14:paraId="21BEED6C" w14:textId="320152A6" w:rsidR="009D00CD" w:rsidRPr="00383C60" w:rsidRDefault="009D00CD" w:rsidP="009D00CD">
      <w:pPr>
        <w:pStyle w:val="Heading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383C60">
        <w:rPr>
          <w:rStyle w:val="EndnoteReference"/>
          <w:b w:val="0"/>
          <w:bCs w:val="0"/>
          <w:sz w:val="20"/>
          <w:szCs w:val="20"/>
        </w:rPr>
        <w:endnoteRef/>
      </w:r>
      <w:r w:rsidRPr="00383C60">
        <w:rPr>
          <w:b w:val="0"/>
          <w:bCs w:val="0"/>
          <w:sz w:val="20"/>
          <w:szCs w:val="20"/>
        </w:rPr>
        <w:t xml:space="preserve"> </w:t>
      </w:r>
      <w:r w:rsidR="00B8247F" w:rsidRPr="000A7FE0">
        <w:rPr>
          <w:b w:val="0"/>
          <w:bCs w:val="0"/>
          <w:sz w:val="20"/>
          <w:szCs w:val="20"/>
        </w:rPr>
        <w:t xml:space="preserve">“Merchants of doubt” is a term used in the literature to characterise commercial actors and their </w:t>
      </w:r>
      <w:r w:rsidR="00B8247F">
        <w:rPr>
          <w:b w:val="0"/>
          <w:bCs w:val="0"/>
          <w:sz w:val="20"/>
          <w:szCs w:val="20"/>
        </w:rPr>
        <w:t>allies,</w:t>
      </w:r>
      <w:r w:rsidR="00B8247F" w:rsidRPr="000A7FE0">
        <w:rPr>
          <w:b w:val="0"/>
          <w:bCs w:val="0"/>
          <w:sz w:val="20"/>
          <w:szCs w:val="20"/>
        </w:rPr>
        <w:t xml:space="preserve"> and their influence on science.</w:t>
      </w:r>
      <w:r w:rsidR="00B8247F" w:rsidRPr="000A7FE0">
        <w:rPr>
          <w:b w:val="0"/>
          <w:bCs w:val="0"/>
          <w:sz w:val="20"/>
          <w:szCs w:val="20"/>
        </w:rPr>
        <w:t xml:space="preserve"> See, in particular, </w:t>
      </w:r>
      <w:r w:rsidRPr="00383C60">
        <w:rPr>
          <w:b w:val="0"/>
          <w:bCs w:val="0"/>
          <w:sz w:val="20"/>
          <w:szCs w:val="20"/>
        </w:rPr>
        <w:t>Oreskes</w:t>
      </w:r>
      <w:r w:rsidR="004D3750" w:rsidRPr="00383C60">
        <w:rPr>
          <w:b w:val="0"/>
          <w:bCs w:val="0"/>
          <w:sz w:val="20"/>
          <w:szCs w:val="20"/>
        </w:rPr>
        <w:t>, N</w:t>
      </w:r>
      <w:r w:rsidRPr="00383C60">
        <w:rPr>
          <w:b w:val="0"/>
          <w:bCs w:val="0"/>
          <w:sz w:val="20"/>
          <w:szCs w:val="20"/>
        </w:rPr>
        <w:t xml:space="preserve"> and Conway,</w:t>
      </w:r>
      <w:r w:rsidR="004D3750" w:rsidRPr="00383C60">
        <w:rPr>
          <w:b w:val="0"/>
          <w:bCs w:val="0"/>
          <w:sz w:val="20"/>
          <w:szCs w:val="20"/>
        </w:rPr>
        <w:t xml:space="preserve"> E</w:t>
      </w:r>
      <w:r w:rsidRPr="00383C60">
        <w:rPr>
          <w:b w:val="0"/>
          <w:bCs w:val="0"/>
          <w:sz w:val="20"/>
          <w:szCs w:val="20"/>
        </w:rPr>
        <w:t xml:space="preserve"> </w:t>
      </w:r>
      <w:r w:rsidRPr="00383C60">
        <w:rPr>
          <w:rStyle w:val="a-size-extra-large"/>
          <w:b w:val="0"/>
          <w:bCs w:val="0"/>
          <w:i/>
          <w:iCs/>
          <w:color w:val="0F1111"/>
          <w:sz w:val="20"/>
          <w:szCs w:val="20"/>
        </w:rPr>
        <w:t>Merchants of Doubt: How a Handful of Scientists Obscured the Truth on Issues from Tobacco Smoke to Global Warming</w:t>
      </w:r>
      <w:r w:rsidRPr="00383C60">
        <w:rPr>
          <w:rStyle w:val="a-size-extra-large"/>
          <w:b w:val="0"/>
          <w:bCs w:val="0"/>
          <w:color w:val="0F1111"/>
          <w:sz w:val="20"/>
          <w:szCs w:val="20"/>
        </w:rPr>
        <w:t xml:space="preserve"> (Bloomsbury Press, 2010).</w:t>
      </w:r>
    </w:p>
  </w:endnote>
  <w:endnote w:id="9">
    <w:p w14:paraId="3E7C9C37" w14:textId="1CFD5718" w:rsidR="00FA2C7E" w:rsidRPr="00383C60" w:rsidRDefault="00FA2C7E" w:rsidP="00D709A3">
      <w:pPr>
        <w:pStyle w:val="citation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383C60">
        <w:rPr>
          <w:rStyle w:val="EndnoteReference"/>
          <w:sz w:val="20"/>
          <w:szCs w:val="20"/>
        </w:rPr>
        <w:endnoteRef/>
      </w:r>
      <w:r w:rsidRPr="00383C60">
        <w:rPr>
          <w:sz w:val="20"/>
          <w:szCs w:val="20"/>
        </w:rPr>
        <w:t xml:space="preserve"> </w:t>
      </w:r>
      <w:r w:rsidRPr="00383C60">
        <w:rPr>
          <w:color w:val="333333"/>
          <w:sz w:val="20"/>
          <w:szCs w:val="20"/>
        </w:rPr>
        <w:t xml:space="preserve">WHO, </w:t>
      </w:r>
      <w:r w:rsidRPr="00383C60">
        <w:rPr>
          <w:i/>
          <w:iCs/>
          <w:color w:val="333333"/>
          <w:sz w:val="20"/>
          <w:szCs w:val="20"/>
        </w:rPr>
        <w:t>Draft Approach for the Prevention and Management of Conflicts of Interest in the Policy Development and Implementation of Nutrition Programmes at Country Level: Decis</w:t>
      </w:r>
      <w:r w:rsidR="00264CB4" w:rsidRPr="00383C60">
        <w:rPr>
          <w:i/>
          <w:iCs/>
          <w:color w:val="333333"/>
          <w:sz w:val="20"/>
          <w:szCs w:val="20"/>
        </w:rPr>
        <w:t>i</w:t>
      </w:r>
      <w:r w:rsidRPr="00383C60">
        <w:rPr>
          <w:i/>
          <w:iCs/>
          <w:color w:val="333333"/>
          <w:sz w:val="20"/>
          <w:szCs w:val="20"/>
        </w:rPr>
        <w:t>on Making Process and Tool</w:t>
      </w:r>
      <w:r w:rsidRPr="00383C60">
        <w:rPr>
          <w:color w:val="333333"/>
          <w:sz w:val="20"/>
          <w:szCs w:val="20"/>
        </w:rPr>
        <w:t xml:space="preserve"> (Geneva: WHO, 2017).</w:t>
      </w:r>
    </w:p>
  </w:endnote>
  <w:endnote w:id="10">
    <w:p w14:paraId="740BE8B8" w14:textId="60AF26BA" w:rsidR="001608AA" w:rsidRPr="00383C60" w:rsidRDefault="001608AA" w:rsidP="00D709A3">
      <w:pPr>
        <w:pStyle w:val="EndnoteText"/>
        <w:jc w:val="both"/>
        <w:rPr>
          <w:rFonts w:ascii="Times New Roman" w:hAnsi="Times New Roman" w:cs="Times New Roman"/>
        </w:rPr>
      </w:pPr>
      <w:r w:rsidRPr="00383C60">
        <w:rPr>
          <w:rStyle w:val="EndnoteReference"/>
          <w:rFonts w:ascii="Times New Roman" w:hAnsi="Times New Roman" w:cs="Times New Roman"/>
        </w:rPr>
        <w:endnoteRef/>
      </w:r>
      <w:r w:rsidRPr="00383C60">
        <w:rPr>
          <w:rFonts w:ascii="Times New Roman" w:hAnsi="Times New Roman" w:cs="Times New Roman"/>
        </w:rPr>
        <w:t xml:space="preserve"> </w:t>
      </w:r>
      <w:r w:rsidRPr="00383C60">
        <w:rPr>
          <w:rFonts w:ascii="Times New Roman" w:hAnsi="Times New Roman" w:cs="Times New Roman"/>
          <w:i/>
          <w:iCs/>
        </w:rPr>
        <w:t>Engaging with the food industry: UNICEF programme guidance</w:t>
      </w:r>
      <w:r w:rsidRPr="00383C60">
        <w:rPr>
          <w:rFonts w:ascii="Times New Roman" w:hAnsi="Times New Roman" w:cs="Times New Roman"/>
        </w:rPr>
        <w:t xml:space="preserve"> (UNICEF: New York, 2023). </w:t>
      </w:r>
    </w:p>
  </w:endnote>
  <w:endnote w:id="11">
    <w:p w14:paraId="5BBA6E79" w14:textId="6858F3BE" w:rsidR="00E86745" w:rsidRPr="00ED3248" w:rsidRDefault="00326DEC" w:rsidP="00590EBF">
      <w:pPr>
        <w:pStyle w:val="Heading1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383C60">
        <w:rPr>
          <w:rStyle w:val="EndnoteReference"/>
          <w:b w:val="0"/>
          <w:bCs w:val="0"/>
          <w:sz w:val="20"/>
          <w:szCs w:val="20"/>
        </w:rPr>
        <w:endnoteRef/>
      </w:r>
      <w:r w:rsidRPr="00383C60">
        <w:rPr>
          <w:b w:val="0"/>
          <w:bCs w:val="0"/>
          <w:sz w:val="20"/>
          <w:szCs w:val="20"/>
        </w:rPr>
        <w:t xml:space="preserve"> Deveaux</w:t>
      </w:r>
      <w:r w:rsidR="004D3750" w:rsidRPr="00383C60">
        <w:rPr>
          <w:b w:val="0"/>
          <w:bCs w:val="0"/>
          <w:sz w:val="20"/>
          <w:szCs w:val="20"/>
        </w:rPr>
        <w:t>, M</w:t>
      </w:r>
      <w:r w:rsidRPr="00383C60">
        <w:rPr>
          <w:b w:val="0"/>
          <w:bCs w:val="0"/>
          <w:sz w:val="20"/>
          <w:szCs w:val="20"/>
        </w:rPr>
        <w:t xml:space="preserve"> et al, ‘</w:t>
      </w:r>
      <w:r w:rsidRPr="00383C60">
        <w:rPr>
          <w:b w:val="0"/>
          <w:bCs w:val="0"/>
          <w:color w:val="212121"/>
          <w:sz w:val="20"/>
          <w:szCs w:val="20"/>
        </w:rPr>
        <w:t xml:space="preserve">Establishing an EU-wide front-of-pack nutrition label: Review of options and model-based evaluation’, </w:t>
      </w:r>
      <w:r w:rsidRPr="00383C60">
        <w:rPr>
          <w:b w:val="0"/>
          <w:bCs w:val="0"/>
          <w:i/>
          <w:iCs/>
          <w:color w:val="212121"/>
          <w:sz w:val="20"/>
          <w:szCs w:val="20"/>
          <w:shd w:val="clear" w:color="auto" w:fill="FFFFFF"/>
        </w:rPr>
        <w:t>Obesity Review</w:t>
      </w:r>
      <w:r w:rsidRPr="00383C60">
        <w:rPr>
          <w:b w:val="0"/>
          <w:bCs w:val="0"/>
          <w:color w:val="212121"/>
          <w:sz w:val="20"/>
          <w:szCs w:val="20"/>
          <w:shd w:val="clear" w:color="auto" w:fill="FFFFFF"/>
        </w:rPr>
        <w:t xml:space="preserve">, 7 February </w:t>
      </w:r>
      <w:proofErr w:type="gramStart"/>
      <w:r w:rsidRPr="00383C60">
        <w:rPr>
          <w:b w:val="0"/>
          <w:bCs w:val="0"/>
          <w:color w:val="212121"/>
          <w:sz w:val="20"/>
          <w:szCs w:val="20"/>
          <w:shd w:val="clear" w:color="auto" w:fill="FFFFFF"/>
        </w:rPr>
        <w:t>2024:e</w:t>
      </w:r>
      <w:proofErr w:type="gramEnd"/>
      <w:r w:rsidRPr="00383C60">
        <w:rPr>
          <w:b w:val="0"/>
          <w:bCs w:val="0"/>
          <w:color w:val="212121"/>
          <w:sz w:val="20"/>
          <w:szCs w:val="20"/>
          <w:shd w:val="clear" w:color="auto" w:fill="FFFFFF"/>
        </w:rPr>
        <w:t xml:space="preserve">13719. </w:t>
      </w:r>
      <w:proofErr w:type="spellStart"/>
      <w:r w:rsidRPr="00383C60">
        <w:rPr>
          <w:b w:val="0"/>
          <w:bCs w:val="0"/>
          <w:color w:val="212121"/>
          <w:sz w:val="20"/>
          <w:szCs w:val="20"/>
          <w:shd w:val="clear" w:color="auto" w:fill="FFFFFF"/>
        </w:rPr>
        <w:t>doi</w:t>
      </w:r>
      <w:proofErr w:type="spellEnd"/>
      <w:r w:rsidRPr="00383C60">
        <w:rPr>
          <w:b w:val="0"/>
          <w:bCs w:val="0"/>
          <w:color w:val="212121"/>
          <w:sz w:val="20"/>
          <w:szCs w:val="20"/>
          <w:shd w:val="clear" w:color="auto" w:fill="FFFFFF"/>
        </w:rPr>
        <w:t>: 10.1111/obr.13719.</w:t>
      </w:r>
      <w:r w:rsidRPr="0027484B">
        <w:rPr>
          <w:b w:val="0"/>
          <w:bCs w:val="0"/>
          <w:color w:val="212121"/>
          <w:sz w:val="20"/>
          <w:szCs w:val="20"/>
          <w:shd w:val="clear" w:color="auto" w:fill="FFFFFF"/>
        </w:rPr>
        <w:t xml:space="preserve"> </w:t>
      </w:r>
      <w:r w:rsidR="00E86745">
        <w:rPr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4714330"/>
      <w:docPartObj>
        <w:docPartGallery w:val="Page Numbers (Bottom of Page)"/>
        <w:docPartUnique/>
      </w:docPartObj>
    </w:sdtPr>
    <w:sdtEndPr/>
    <w:sdtContent>
      <w:p w14:paraId="4E71041B" w14:textId="5109A698" w:rsidR="00F8050B" w:rsidRDefault="00F8050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7C8" w:rsidRPr="004847C8">
          <w:rPr>
            <w:noProof/>
            <w:lang w:val="fr-FR"/>
          </w:rPr>
          <w:t>3</w:t>
        </w:r>
        <w:r>
          <w:fldChar w:fldCharType="end"/>
        </w:r>
      </w:p>
    </w:sdtContent>
  </w:sdt>
  <w:p w14:paraId="2A8932F0" w14:textId="77777777" w:rsidR="00F8050B" w:rsidRDefault="00F805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953A7" w14:textId="77777777" w:rsidR="005E5562" w:rsidRDefault="005E5562" w:rsidP="003C6B6C">
      <w:pPr>
        <w:spacing w:after="0" w:line="240" w:lineRule="auto"/>
      </w:pPr>
      <w:r>
        <w:separator/>
      </w:r>
    </w:p>
  </w:footnote>
  <w:footnote w:type="continuationSeparator" w:id="0">
    <w:p w14:paraId="4390FA27" w14:textId="77777777" w:rsidR="005E5562" w:rsidRDefault="005E5562" w:rsidP="003C6B6C">
      <w:pPr>
        <w:spacing w:after="0" w:line="240" w:lineRule="auto"/>
      </w:pPr>
      <w:r>
        <w:continuationSeparator/>
      </w:r>
    </w:p>
  </w:footnote>
  <w:footnote w:id="1">
    <w:p w14:paraId="2521B41C" w14:textId="77777777" w:rsidR="008900D8" w:rsidRPr="00B0374B" w:rsidRDefault="008900D8" w:rsidP="008900D8">
      <w:pPr>
        <w:rPr>
          <w:rFonts w:asciiTheme="majorHAnsi" w:hAnsiTheme="majorHAnsi" w:cstheme="majorHAnsi"/>
          <w:sz w:val="20"/>
          <w:lang w:val="en-AU"/>
        </w:rPr>
      </w:pPr>
      <w:r w:rsidRPr="00B0374B">
        <w:rPr>
          <w:rStyle w:val="FootnoteReference"/>
          <w:rFonts w:asciiTheme="majorHAnsi" w:hAnsiTheme="majorHAnsi" w:cstheme="majorHAnsi"/>
          <w:sz w:val="20"/>
        </w:rPr>
        <w:footnoteRef/>
      </w:r>
      <w:r w:rsidRPr="00B0374B">
        <w:rPr>
          <w:rFonts w:asciiTheme="majorHAnsi" w:hAnsiTheme="majorHAnsi" w:cstheme="majorHAnsi"/>
          <w:sz w:val="20"/>
          <w:lang w:val="en-AU"/>
        </w:rPr>
        <w:t xml:space="preserve"> Law &amp; Non-Communicable Disease Research Unit, School of Law and Social Justice, University of Liverpool, UK</w:t>
      </w:r>
    </w:p>
  </w:footnote>
  <w:footnote w:id="2">
    <w:p w14:paraId="190750C5" w14:textId="77777777" w:rsidR="008900D8" w:rsidRPr="00B0374B" w:rsidRDefault="008900D8" w:rsidP="008900D8">
      <w:pPr>
        <w:rPr>
          <w:rFonts w:asciiTheme="majorHAnsi" w:hAnsiTheme="majorHAnsi" w:cstheme="majorHAnsi"/>
          <w:sz w:val="20"/>
          <w:lang w:val="en-AU"/>
        </w:rPr>
      </w:pPr>
      <w:r w:rsidRPr="00B0374B">
        <w:rPr>
          <w:rStyle w:val="FootnoteReference"/>
          <w:rFonts w:asciiTheme="majorHAnsi" w:hAnsiTheme="majorHAnsi" w:cstheme="majorHAnsi"/>
          <w:sz w:val="20"/>
        </w:rPr>
        <w:footnoteRef/>
      </w:r>
      <w:r w:rsidRPr="00B0374B">
        <w:rPr>
          <w:rFonts w:asciiTheme="majorHAnsi" w:hAnsiTheme="majorHAnsi" w:cstheme="majorHAnsi"/>
          <w:sz w:val="20"/>
          <w:lang w:val="en-AU"/>
        </w:rPr>
        <w:t xml:space="preserve"> Law and Public Health Section, European Public Health Association</w:t>
      </w:r>
    </w:p>
  </w:footnote>
  <w:footnote w:id="3">
    <w:p w14:paraId="48B24AB1" w14:textId="77777777" w:rsidR="008900D8" w:rsidRPr="00B0374B" w:rsidRDefault="008900D8" w:rsidP="008900D8">
      <w:pPr>
        <w:rPr>
          <w:rFonts w:asciiTheme="majorHAnsi" w:hAnsiTheme="majorHAnsi" w:cstheme="majorHAnsi"/>
          <w:sz w:val="20"/>
          <w:lang w:val="en-AU"/>
        </w:rPr>
      </w:pPr>
      <w:r w:rsidRPr="00B0374B">
        <w:rPr>
          <w:rStyle w:val="FootnoteReference"/>
          <w:rFonts w:asciiTheme="majorHAnsi" w:hAnsiTheme="majorHAnsi" w:cstheme="majorHAnsi"/>
          <w:sz w:val="20"/>
        </w:rPr>
        <w:footnoteRef/>
      </w:r>
      <w:r w:rsidRPr="00B0374B">
        <w:rPr>
          <w:rFonts w:asciiTheme="majorHAnsi" w:hAnsiTheme="majorHAnsi" w:cstheme="majorHAnsi"/>
          <w:sz w:val="20"/>
          <w:lang w:val="en-AU"/>
        </w:rPr>
        <w:t xml:space="preserve"> School of Law, University of Essex, UK</w:t>
      </w:r>
    </w:p>
  </w:footnote>
  <w:footnote w:id="4">
    <w:p w14:paraId="7AE839D2" w14:textId="77777777" w:rsidR="008900D8" w:rsidRPr="000A7FE0" w:rsidRDefault="008900D8" w:rsidP="008900D8">
      <w:pPr>
        <w:rPr>
          <w:rFonts w:asciiTheme="majorHAnsi" w:hAnsiTheme="majorHAnsi" w:cstheme="majorHAnsi"/>
          <w:sz w:val="20"/>
          <w:lang w:val="fr-FR"/>
        </w:rPr>
      </w:pPr>
      <w:r w:rsidRPr="00B0374B">
        <w:rPr>
          <w:rStyle w:val="FootnoteReference"/>
          <w:rFonts w:asciiTheme="majorHAnsi" w:hAnsiTheme="majorHAnsi" w:cstheme="majorHAnsi"/>
          <w:sz w:val="20"/>
        </w:rPr>
        <w:footnoteRef/>
      </w:r>
      <w:r w:rsidRPr="000A7FE0">
        <w:rPr>
          <w:rFonts w:asciiTheme="majorHAnsi" w:hAnsiTheme="majorHAnsi" w:cstheme="majorHAnsi"/>
          <w:sz w:val="20"/>
          <w:lang w:val="fr-FR"/>
        </w:rPr>
        <w:t xml:space="preserve"> NGO Santé Diabète, Bamako, Mali </w:t>
      </w:r>
    </w:p>
  </w:footnote>
  <w:footnote w:id="5">
    <w:p w14:paraId="39FF1F1B" w14:textId="77777777" w:rsidR="008900D8" w:rsidRPr="000A7FE0" w:rsidRDefault="008900D8" w:rsidP="008900D8">
      <w:pPr>
        <w:rPr>
          <w:rFonts w:asciiTheme="majorHAnsi" w:hAnsiTheme="majorHAnsi" w:cstheme="majorHAnsi"/>
          <w:sz w:val="20"/>
          <w:lang w:val="fr-FR"/>
        </w:rPr>
      </w:pPr>
      <w:r w:rsidRPr="00B0374B">
        <w:rPr>
          <w:rStyle w:val="FootnoteReference"/>
          <w:rFonts w:asciiTheme="majorHAnsi" w:hAnsiTheme="majorHAnsi" w:cstheme="majorHAnsi"/>
          <w:sz w:val="20"/>
        </w:rPr>
        <w:footnoteRef/>
      </w:r>
      <w:r w:rsidRPr="000A7FE0">
        <w:rPr>
          <w:rFonts w:asciiTheme="majorHAnsi" w:hAnsiTheme="majorHAnsi" w:cstheme="majorHAnsi"/>
          <w:sz w:val="20"/>
          <w:lang w:val="fr-FR"/>
        </w:rPr>
        <w:t xml:space="preserve"> Conservatoire des Arts et Metiers (CNAM), Paris, France</w:t>
      </w:r>
    </w:p>
  </w:footnote>
  <w:footnote w:id="6">
    <w:p w14:paraId="0B59255B" w14:textId="77777777" w:rsidR="008900D8" w:rsidRPr="000A7FE0" w:rsidRDefault="008900D8" w:rsidP="008900D8">
      <w:pPr>
        <w:rPr>
          <w:rFonts w:asciiTheme="majorHAnsi" w:hAnsiTheme="majorHAnsi" w:cstheme="majorHAnsi"/>
          <w:sz w:val="20"/>
          <w:lang w:val="fr-FR"/>
        </w:rPr>
      </w:pPr>
      <w:r w:rsidRPr="000A7FE0">
        <w:rPr>
          <w:rFonts w:asciiTheme="majorHAnsi" w:hAnsiTheme="majorHAnsi" w:cstheme="majorHAnsi"/>
          <w:sz w:val="20"/>
          <w:vertAlign w:val="superscript"/>
          <w:lang w:val="fr-FR"/>
        </w:rPr>
        <w:t>6</w:t>
      </w:r>
      <w:r w:rsidRPr="000A7FE0">
        <w:rPr>
          <w:rFonts w:asciiTheme="majorHAnsi" w:hAnsiTheme="majorHAnsi" w:cstheme="majorHAnsi"/>
          <w:sz w:val="20"/>
          <w:lang w:val="fr-FR"/>
        </w:rPr>
        <w:t xml:space="preserve"> Univ Rennes, EHESP, CNRS, Inserm, Arènes—UMR 6051, RSMS (Recherche sur les Services et Management en Santé) - U 1309, Rennes, France</w:t>
      </w:r>
    </w:p>
  </w:footnote>
  <w:footnote w:id="7">
    <w:p w14:paraId="75FABFAA" w14:textId="77777777" w:rsidR="008900D8" w:rsidRPr="007A2E2D" w:rsidRDefault="008900D8" w:rsidP="008900D8">
      <w:pPr>
        <w:rPr>
          <w:lang w:val="en-AU"/>
        </w:rPr>
      </w:pPr>
      <w:r w:rsidRPr="00B0374B">
        <w:rPr>
          <w:rStyle w:val="FootnoteReference"/>
          <w:rFonts w:asciiTheme="majorHAnsi" w:hAnsiTheme="majorHAnsi" w:cstheme="majorHAnsi"/>
          <w:sz w:val="20"/>
        </w:rPr>
        <w:footnoteRef/>
      </w:r>
      <w:r w:rsidRPr="00B0374B">
        <w:rPr>
          <w:rFonts w:asciiTheme="majorHAnsi" w:hAnsiTheme="majorHAnsi" w:cstheme="majorHAnsi"/>
          <w:sz w:val="20"/>
          <w:lang w:val="en-AU"/>
        </w:rPr>
        <w:t xml:space="preserve"> Trinity Business School, Trinity College Dublin, Dublin, Ireland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1EE3"/>
    <w:multiLevelType w:val="hybridMultilevel"/>
    <w:tmpl w:val="ECB2F9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573C"/>
    <w:multiLevelType w:val="hybridMultilevel"/>
    <w:tmpl w:val="C0EE0C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372A"/>
    <w:multiLevelType w:val="hybridMultilevel"/>
    <w:tmpl w:val="AA1466AE"/>
    <w:lvl w:ilvl="0" w:tplc="4D2E3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F6A63"/>
    <w:multiLevelType w:val="hybridMultilevel"/>
    <w:tmpl w:val="CD0AB4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C0D0A"/>
    <w:multiLevelType w:val="hybridMultilevel"/>
    <w:tmpl w:val="F0080F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142B9"/>
    <w:multiLevelType w:val="hybridMultilevel"/>
    <w:tmpl w:val="9580D0A0"/>
    <w:lvl w:ilvl="0" w:tplc="1068A6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A74EF"/>
    <w:multiLevelType w:val="multilevel"/>
    <w:tmpl w:val="6FEC4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EB28AB"/>
    <w:multiLevelType w:val="hybridMultilevel"/>
    <w:tmpl w:val="C6D223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34B4F"/>
    <w:multiLevelType w:val="hybridMultilevel"/>
    <w:tmpl w:val="EDE03B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33878"/>
    <w:multiLevelType w:val="hybridMultilevel"/>
    <w:tmpl w:val="5A8AB8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7430">
    <w:abstractNumId w:val="5"/>
  </w:num>
  <w:num w:numId="2" w16cid:durableId="2082095100">
    <w:abstractNumId w:val="8"/>
  </w:num>
  <w:num w:numId="3" w16cid:durableId="1718705385">
    <w:abstractNumId w:val="2"/>
  </w:num>
  <w:num w:numId="4" w16cid:durableId="1086878319">
    <w:abstractNumId w:val="4"/>
  </w:num>
  <w:num w:numId="5" w16cid:durableId="381245761">
    <w:abstractNumId w:val="6"/>
  </w:num>
  <w:num w:numId="6" w16cid:durableId="1824421759">
    <w:abstractNumId w:val="3"/>
  </w:num>
  <w:num w:numId="7" w16cid:durableId="877164403">
    <w:abstractNumId w:val="0"/>
  </w:num>
  <w:num w:numId="8" w16cid:durableId="1068502822">
    <w:abstractNumId w:val="1"/>
  </w:num>
  <w:num w:numId="9" w16cid:durableId="164054457">
    <w:abstractNumId w:val="7"/>
  </w:num>
  <w:num w:numId="10" w16cid:durableId="1002391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29"/>
    <w:rsid w:val="00011083"/>
    <w:rsid w:val="000114D2"/>
    <w:rsid w:val="0001651F"/>
    <w:rsid w:val="00044DDD"/>
    <w:rsid w:val="0006151F"/>
    <w:rsid w:val="00094FE1"/>
    <w:rsid w:val="000A7FE0"/>
    <w:rsid w:val="000B17C7"/>
    <w:rsid w:val="001127B3"/>
    <w:rsid w:val="001174F4"/>
    <w:rsid w:val="00137CB9"/>
    <w:rsid w:val="00140B8B"/>
    <w:rsid w:val="001608AA"/>
    <w:rsid w:val="00162261"/>
    <w:rsid w:val="00180495"/>
    <w:rsid w:val="001830D9"/>
    <w:rsid w:val="00184053"/>
    <w:rsid w:val="001954CF"/>
    <w:rsid w:val="001B286D"/>
    <w:rsid w:val="001C29F4"/>
    <w:rsid w:val="001C5E5B"/>
    <w:rsid w:val="001D5E5C"/>
    <w:rsid w:val="001E6165"/>
    <w:rsid w:val="002002F2"/>
    <w:rsid w:val="002130E0"/>
    <w:rsid w:val="00225526"/>
    <w:rsid w:val="0023491D"/>
    <w:rsid w:val="00240A8C"/>
    <w:rsid w:val="002530E3"/>
    <w:rsid w:val="00264CB4"/>
    <w:rsid w:val="0027484B"/>
    <w:rsid w:val="00291C8A"/>
    <w:rsid w:val="00292D41"/>
    <w:rsid w:val="002A4784"/>
    <w:rsid w:val="002B62AA"/>
    <w:rsid w:val="002B63AA"/>
    <w:rsid w:val="002C0C86"/>
    <w:rsid w:val="002C53EC"/>
    <w:rsid w:val="002D1217"/>
    <w:rsid w:val="002E571F"/>
    <w:rsid w:val="002F713A"/>
    <w:rsid w:val="003048F7"/>
    <w:rsid w:val="003178BB"/>
    <w:rsid w:val="00322BCE"/>
    <w:rsid w:val="00324C79"/>
    <w:rsid w:val="00326DEC"/>
    <w:rsid w:val="00341163"/>
    <w:rsid w:val="00356831"/>
    <w:rsid w:val="00383C60"/>
    <w:rsid w:val="00385E9B"/>
    <w:rsid w:val="003A3E80"/>
    <w:rsid w:val="003B10A8"/>
    <w:rsid w:val="003B1356"/>
    <w:rsid w:val="003B5942"/>
    <w:rsid w:val="003C6B6C"/>
    <w:rsid w:val="003D6B4D"/>
    <w:rsid w:val="003E2FB2"/>
    <w:rsid w:val="003E48E2"/>
    <w:rsid w:val="003E7E34"/>
    <w:rsid w:val="003F5EBC"/>
    <w:rsid w:val="004001D2"/>
    <w:rsid w:val="004015C2"/>
    <w:rsid w:val="0042134E"/>
    <w:rsid w:val="00425E7B"/>
    <w:rsid w:val="00431B3B"/>
    <w:rsid w:val="004375F0"/>
    <w:rsid w:val="00443373"/>
    <w:rsid w:val="0044422B"/>
    <w:rsid w:val="004623AA"/>
    <w:rsid w:val="00462773"/>
    <w:rsid w:val="004750E0"/>
    <w:rsid w:val="00475E16"/>
    <w:rsid w:val="004847C8"/>
    <w:rsid w:val="004942E9"/>
    <w:rsid w:val="004A5037"/>
    <w:rsid w:val="004A5967"/>
    <w:rsid w:val="004B21E4"/>
    <w:rsid w:val="004B5259"/>
    <w:rsid w:val="004C03F9"/>
    <w:rsid w:val="004C11F4"/>
    <w:rsid w:val="004D06B8"/>
    <w:rsid w:val="004D3750"/>
    <w:rsid w:val="0050407D"/>
    <w:rsid w:val="0051055A"/>
    <w:rsid w:val="00510A78"/>
    <w:rsid w:val="0051636E"/>
    <w:rsid w:val="00525DAD"/>
    <w:rsid w:val="005321EB"/>
    <w:rsid w:val="00557B5E"/>
    <w:rsid w:val="00561580"/>
    <w:rsid w:val="00572011"/>
    <w:rsid w:val="00590EBF"/>
    <w:rsid w:val="005A4510"/>
    <w:rsid w:val="005B0AE8"/>
    <w:rsid w:val="005D4C06"/>
    <w:rsid w:val="005E3354"/>
    <w:rsid w:val="005E5562"/>
    <w:rsid w:val="005F01F4"/>
    <w:rsid w:val="00613796"/>
    <w:rsid w:val="0065744C"/>
    <w:rsid w:val="00684B0D"/>
    <w:rsid w:val="006869D9"/>
    <w:rsid w:val="006A1320"/>
    <w:rsid w:val="006A4629"/>
    <w:rsid w:val="006B78AC"/>
    <w:rsid w:val="006C58BA"/>
    <w:rsid w:val="006D1081"/>
    <w:rsid w:val="006E60FA"/>
    <w:rsid w:val="0070211F"/>
    <w:rsid w:val="007063D0"/>
    <w:rsid w:val="00712C1A"/>
    <w:rsid w:val="0071386A"/>
    <w:rsid w:val="00714171"/>
    <w:rsid w:val="00732BEC"/>
    <w:rsid w:val="0073463A"/>
    <w:rsid w:val="00751A9D"/>
    <w:rsid w:val="00753E1B"/>
    <w:rsid w:val="007618EE"/>
    <w:rsid w:val="00762949"/>
    <w:rsid w:val="00766E4C"/>
    <w:rsid w:val="007671A3"/>
    <w:rsid w:val="007747CD"/>
    <w:rsid w:val="007765BB"/>
    <w:rsid w:val="007772E4"/>
    <w:rsid w:val="00783A72"/>
    <w:rsid w:val="00786CC8"/>
    <w:rsid w:val="007945D5"/>
    <w:rsid w:val="00796968"/>
    <w:rsid w:val="007975F3"/>
    <w:rsid w:val="007A5E44"/>
    <w:rsid w:val="007B7761"/>
    <w:rsid w:val="00817AF1"/>
    <w:rsid w:val="008216C6"/>
    <w:rsid w:val="00827B24"/>
    <w:rsid w:val="0084560B"/>
    <w:rsid w:val="00862E3C"/>
    <w:rsid w:val="0087351F"/>
    <w:rsid w:val="00875C44"/>
    <w:rsid w:val="0088740B"/>
    <w:rsid w:val="008900D8"/>
    <w:rsid w:val="008A042E"/>
    <w:rsid w:val="008A0D0D"/>
    <w:rsid w:val="008C63E4"/>
    <w:rsid w:val="008D21EF"/>
    <w:rsid w:val="008D6563"/>
    <w:rsid w:val="008F6394"/>
    <w:rsid w:val="00902D9B"/>
    <w:rsid w:val="009037CA"/>
    <w:rsid w:val="009064D6"/>
    <w:rsid w:val="00907D10"/>
    <w:rsid w:val="00914216"/>
    <w:rsid w:val="0093378F"/>
    <w:rsid w:val="0093551C"/>
    <w:rsid w:val="00943B93"/>
    <w:rsid w:val="00956526"/>
    <w:rsid w:val="00966930"/>
    <w:rsid w:val="009903BF"/>
    <w:rsid w:val="00991228"/>
    <w:rsid w:val="0099426A"/>
    <w:rsid w:val="0099751E"/>
    <w:rsid w:val="009A08C0"/>
    <w:rsid w:val="009C510D"/>
    <w:rsid w:val="009D00CD"/>
    <w:rsid w:val="00A059AA"/>
    <w:rsid w:val="00A113F0"/>
    <w:rsid w:val="00A20202"/>
    <w:rsid w:val="00A21F87"/>
    <w:rsid w:val="00A26644"/>
    <w:rsid w:val="00A432F3"/>
    <w:rsid w:val="00A44078"/>
    <w:rsid w:val="00A54DB2"/>
    <w:rsid w:val="00A5725F"/>
    <w:rsid w:val="00A612A9"/>
    <w:rsid w:val="00A6369E"/>
    <w:rsid w:val="00A6530F"/>
    <w:rsid w:val="00A736A0"/>
    <w:rsid w:val="00A82639"/>
    <w:rsid w:val="00A95AF8"/>
    <w:rsid w:val="00AA4C4D"/>
    <w:rsid w:val="00AC5D23"/>
    <w:rsid w:val="00AD1D7E"/>
    <w:rsid w:val="00AE2A70"/>
    <w:rsid w:val="00AF6C22"/>
    <w:rsid w:val="00AF6F17"/>
    <w:rsid w:val="00B04827"/>
    <w:rsid w:val="00B07418"/>
    <w:rsid w:val="00B3096D"/>
    <w:rsid w:val="00B36129"/>
    <w:rsid w:val="00B67C00"/>
    <w:rsid w:val="00B80C3C"/>
    <w:rsid w:val="00B8247F"/>
    <w:rsid w:val="00B84A1E"/>
    <w:rsid w:val="00BB1312"/>
    <w:rsid w:val="00BB6485"/>
    <w:rsid w:val="00BB69E8"/>
    <w:rsid w:val="00BC44DB"/>
    <w:rsid w:val="00BD7055"/>
    <w:rsid w:val="00BF0CDD"/>
    <w:rsid w:val="00BF4147"/>
    <w:rsid w:val="00BF5D4D"/>
    <w:rsid w:val="00C22C66"/>
    <w:rsid w:val="00C36B43"/>
    <w:rsid w:val="00C707A0"/>
    <w:rsid w:val="00C70DFA"/>
    <w:rsid w:val="00C74AB9"/>
    <w:rsid w:val="00C82DF4"/>
    <w:rsid w:val="00C87934"/>
    <w:rsid w:val="00C92D67"/>
    <w:rsid w:val="00CD0070"/>
    <w:rsid w:val="00CD029E"/>
    <w:rsid w:val="00CD391B"/>
    <w:rsid w:val="00CF4121"/>
    <w:rsid w:val="00CF4B57"/>
    <w:rsid w:val="00D27F23"/>
    <w:rsid w:val="00D37807"/>
    <w:rsid w:val="00D50F0D"/>
    <w:rsid w:val="00D517CF"/>
    <w:rsid w:val="00D709A3"/>
    <w:rsid w:val="00D709D6"/>
    <w:rsid w:val="00D97841"/>
    <w:rsid w:val="00D97DDA"/>
    <w:rsid w:val="00DC350B"/>
    <w:rsid w:val="00DC4DF5"/>
    <w:rsid w:val="00DE2620"/>
    <w:rsid w:val="00DF7749"/>
    <w:rsid w:val="00E10E1C"/>
    <w:rsid w:val="00E13B83"/>
    <w:rsid w:val="00E14C1C"/>
    <w:rsid w:val="00E15CB7"/>
    <w:rsid w:val="00E37B88"/>
    <w:rsid w:val="00E41848"/>
    <w:rsid w:val="00E5553D"/>
    <w:rsid w:val="00E86745"/>
    <w:rsid w:val="00E93296"/>
    <w:rsid w:val="00ED3248"/>
    <w:rsid w:val="00ED34C3"/>
    <w:rsid w:val="00ED35BF"/>
    <w:rsid w:val="00EE3E50"/>
    <w:rsid w:val="00EF1793"/>
    <w:rsid w:val="00EF2DBE"/>
    <w:rsid w:val="00EF7B8E"/>
    <w:rsid w:val="00F340BB"/>
    <w:rsid w:val="00F351FC"/>
    <w:rsid w:val="00F35C91"/>
    <w:rsid w:val="00F35F52"/>
    <w:rsid w:val="00F41782"/>
    <w:rsid w:val="00F5314B"/>
    <w:rsid w:val="00F66095"/>
    <w:rsid w:val="00F666C0"/>
    <w:rsid w:val="00F67741"/>
    <w:rsid w:val="00F8050B"/>
    <w:rsid w:val="00F87830"/>
    <w:rsid w:val="00FA2C7E"/>
    <w:rsid w:val="00FB3113"/>
    <w:rsid w:val="00FC3E54"/>
    <w:rsid w:val="00FE17F7"/>
    <w:rsid w:val="00FE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0E7ED0"/>
  <w15:docId w15:val="{DAEE9BD2-EE80-409E-8D09-F3FEDAD9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06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0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C6B6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6B6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6B6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30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09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09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9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17C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063D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7063D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74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0F0D"/>
    <w:rPr>
      <w:i/>
      <w:iCs/>
    </w:rPr>
  </w:style>
  <w:style w:type="paragraph" w:customStyle="1" w:styleId="citation">
    <w:name w:val="citation"/>
    <w:basedOn w:val="Normal"/>
    <w:rsid w:val="00D5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rticletitle">
    <w:name w:val="article_title"/>
    <w:basedOn w:val="DefaultParagraphFont"/>
    <w:rsid w:val="00F340BB"/>
  </w:style>
  <w:style w:type="character" w:customStyle="1" w:styleId="a-size-extra-large">
    <w:name w:val="a-size-extra-large"/>
    <w:basedOn w:val="DefaultParagraphFont"/>
    <w:rsid w:val="00264CB4"/>
  </w:style>
  <w:style w:type="paragraph" w:styleId="BalloonText">
    <w:name w:val="Balloon Text"/>
    <w:basedOn w:val="Normal"/>
    <w:link w:val="BalloonTextChar"/>
    <w:uiPriority w:val="99"/>
    <w:semiHidden/>
    <w:unhideWhenUsed/>
    <w:rsid w:val="003A3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80"/>
    <w:rPr>
      <w:rFonts w:ascii="Tahoma" w:hAnsi="Tahoma" w:cs="Tahoma"/>
      <w:sz w:val="16"/>
      <w:szCs w:val="16"/>
    </w:rPr>
  </w:style>
  <w:style w:type="character" w:customStyle="1" w:styleId="anchor-text">
    <w:name w:val="anchor-text"/>
    <w:basedOn w:val="DefaultParagraphFont"/>
    <w:rsid w:val="0084560B"/>
  </w:style>
  <w:style w:type="paragraph" w:styleId="ListParagraph">
    <w:name w:val="List Paragraph"/>
    <w:basedOn w:val="Normal"/>
    <w:uiPriority w:val="34"/>
    <w:qFormat/>
    <w:rsid w:val="00ED324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D324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E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E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6E4C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B6485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6D1081"/>
  </w:style>
  <w:style w:type="paragraph" w:styleId="Header">
    <w:name w:val="header"/>
    <w:basedOn w:val="Normal"/>
    <w:link w:val="HeaderChar"/>
    <w:uiPriority w:val="99"/>
    <w:unhideWhenUsed/>
    <w:rsid w:val="00F8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50B"/>
  </w:style>
  <w:style w:type="paragraph" w:styleId="Footer">
    <w:name w:val="footer"/>
    <w:basedOn w:val="Normal"/>
    <w:link w:val="FooterChar"/>
    <w:uiPriority w:val="99"/>
    <w:unhideWhenUsed/>
    <w:rsid w:val="00F8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50B"/>
  </w:style>
  <w:style w:type="character" w:customStyle="1" w:styleId="Heading2Char">
    <w:name w:val="Heading 2 Char"/>
    <w:basedOn w:val="DefaultParagraphFont"/>
    <w:link w:val="Heading2"/>
    <w:uiPriority w:val="9"/>
    <w:semiHidden/>
    <w:rsid w:val="008900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9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utriscore.blog/2024/02/19/rebuttal-of-the-claims-against-the-nutri-score-made-by-two-lobbyists-in-pharmanutrition-in-an-effort-to-discredit-academic-research/" TargetMode="External"/><Relationship Id="rId2" Type="http://schemas.openxmlformats.org/officeDocument/2006/relationships/hyperlink" Target="https://www.santepubliquefrance.fr/en/nutri-scorehttps://www.santepubliquefrance.fr/en/nutri-score" TargetMode="External"/><Relationship Id="rId1" Type="http://schemas.openxmlformats.org/officeDocument/2006/relationships/hyperlink" Target="https://www.ncbi.nlm.nih.gov/pmc/articles/PMC546324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8d15db-7bde-4ea2-9c80-a6f0d21330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BC846C675FB4D9A16FCE97A80D6C3" ma:contentTypeVersion="11" ma:contentTypeDescription="Create a new document." ma:contentTypeScope="" ma:versionID="4c1499575f1b7300e6f00f7f3cf658ce">
  <xsd:schema xmlns:xsd="http://www.w3.org/2001/XMLSchema" xmlns:xs="http://www.w3.org/2001/XMLSchema" xmlns:p="http://schemas.microsoft.com/office/2006/metadata/properties" xmlns:ns3="fc8d15db-7bde-4ea2-9c80-a6f0d2133081" targetNamespace="http://schemas.microsoft.com/office/2006/metadata/properties" ma:root="true" ma:fieldsID="9b2a341c4f00c5e42813be1001c1a884" ns3:_="">
    <xsd:import namespace="fc8d15db-7bde-4ea2-9c80-a6f0d21330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d15db-7bde-4ea2-9c80-a6f0d2133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91C10-914A-4258-9720-A29632F1EF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73365-D796-4275-8CDF-2964CE7961B1}">
  <ds:schemaRefs>
    <ds:schemaRef ds:uri="http://schemas.microsoft.com/office/2006/metadata/properties"/>
    <ds:schemaRef ds:uri="http://schemas.microsoft.com/office/infopath/2007/PartnerControls"/>
    <ds:schemaRef ds:uri="fc8d15db-7bde-4ea2-9c80-a6f0d2133081"/>
  </ds:schemaRefs>
</ds:datastoreItem>
</file>

<file path=customXml/itemProps3.xml><?xml version="1.0" encoding="utf-8"?>
<ds:datastoreItem xmlns:ds="http://schemas.openxmlformats.org/officeDocument/2006/customXml" ds:itemID="{3CCD2E6F-8C83-438C-8BA9-FB67440CE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d15db-7bde-4ea2-9c80-a6f0d2133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83372-7D97-448D-AE7B-3D0E585C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1338</Words>
  <Characters>7644</Characters>
  <Application>Microsoft Office Word</Application>
  <DocSecurity>4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The University of Liverpool</Company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Garde, Amandine</dc:creator>
  <cp:lastModifiedBy>Garde, Amandine</cp:lastModifiedBy>
  <cp:revision>2</cp:revision>
  <dcterms:created xsi:type="dcterms:W3CDTF">2025-05-01T11:39:00Z</dcterms:created>
  <dcterms:modified xsi:type="dcterms:W3CDTF">2025-05-01T11:39:00Z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0x010100B1DBC846C675FB4D9A16FCE97A80D6C3</vt:lpwstr>
  </property>
</Properties>
</file>